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8D2F6" w14:textId="77777777" w:rsidR="00B96BFA" w:rsidRPr="002552CF" w:rsidRDefault="00B96BFA" w:rsidP="00B96BFA">
      <w:pPr>
        <w:spacing w:before="240" w:after="240" w:line="480" w:lineRule="auto"/>
        <w:jc w:val="both"/>
        <w:rPr>
          <w:rFonts w:ascii="Times New Roman" w:eastAsia="Times New Roman" w:hAnsi="Times New Roman" w:cs="Times New Roman"/>
          <w:b/>
          <w:sz w:val="24"/>
          <w:szCs w:val="24"/>
        </w:rPr>
      </w:pPr>
      <w:r w:rsidRPr="002552CF">
        <w:rPr>
          <w:rFonts w:ascii="Times New Roman" w:eastAsia="Times New Roman" w:hAnsi="Times New Roman" w:cs="Times New Roman"/>
          <w:b/>
          <w:sz w:val="24"/>
          <w:szCs w:val="24"/>
        </w:rPr>
        <w:t>Supplementary figures</w:t>
      </w:r>
    </w:p>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8494"/>
      </w:tblGrid>
      <w:tr w:rsidR="00B96BFA" w:rsidRPr="002552CF" w14:paraId="5A2E933C" w14:textId="77777777" w:rsidTr="00D82B4D">
        <w:tc>
          <w:tcPr>
            <w:tcW w:w="8494" w:type="dxa"/>
          </w:tcPr>
          <w:p w14:paraId="79A215E3" w14:textId="77777777" w:rsidR="00B96BFA" w:rsidRPr="002552CF" w:rsidRDefault="00B96BFA" w:rsidP="00D82B4D">
            <w:pPr>
              <w:spacing w:before="240" w:after="240" w:line="480" w:lineRule="auto"/>
              <w:jc w:val="both"/>
              <w:rPr>
                <w:rFonts w:ascii="Times New Roman" w:eastAsia="Times New Roman" w:hAnsi="Times New Roman" w:cs="Times New Roman"/>
                <w:b/>
                <w:sz w:val="20"/>
                <w:szCs w:val="20"/>
              </w:rPr>
            </w:pPr>
            <w:r w:rsidRPr="002552CF">
              <w:rPr>
                <w:rFonts w:ascii="Times New Roman" w:eastAsia="Times New Roman" w:hAnsi="Times New Roman" w:cs="Times New Roman"/>
                <w:b/>
                <w:noProof/>
                <w:sz w:val="20"/>
                <w:szCs w:val="20"/>
              </w:rPr>
              <w:drawing>
                <wp:inline distT="0" distB="0" distL="0" distR="0" wp14:anchorId="7E022A04" wp14:editId="3412D3F0">
                  <wp:extent cx="2569581" cy="2844328"/>
                  <wp:effectExtent l="0" t="0" r="0" b="0"/>
                  <wp:docPr id="2103867714" name="image1.png" descr="A close-up of several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several lines&#10;&#10;Description automatically generated"/>
                          <pic:cNvPicPr preferRelativeResize="0"/>
                        </pic:nvPicPr>
                        <pic:blipFill>
                          <a:blip r:embed="rId4"/>
                          <a:srcRect/>
                          <a:stretch>
                            <a:fillRect/>
                          </a:stretch>
                        </pic:blipFill>
                        <pic:spPr>
                          <a:xfrm>
                            <a:off x="0" y="0"/>
                            <a:ext cx="2569581" cy="2844328"/>
                          </a:xfrm>
                          <a:prstGeom prst="rect">
                            <a:avLst/>
                          </a:prstGeom>
                          <a:ln/>
                        </pic:spPr>
                      </pic:pic>
                    </a:graphicData>
                  </a:graphic>
                </wp:inline>
              </w:drawing>
            </w:r>
          </w:p>
        </w:tc>
      </w:tr>
    </w:tbl>
    <w:p w14:paraId="47D342AF" w14:textId="77777777" w:rsidR="00B96BFA" w:rsidRPr="002552CF" w:rsidRDefault="00B96BFA" w:rsidP="00B96BFA">
      <w:pPr>
        <w:spacing w:before="240" w:after="240" w:line="480" w:lineRule="auto"/>
        <w:jc w:val="both"/>
        <w:rPr>
          <w:rFonts w:ascii="Times New Roman" w:eastAsia="Times New Roman" w:hAnsi="Times New Roman" w:cs="Times New Roman"/>
          <w:sz w:val="20"/>
          <w:szCs w:val="20"/>
        </w:rPr>
      </w:pPr>
      <w:r w:rsidRPr="002552CF">
        <w:rPr>
          <w:rFonts w:ascii="Times New Roman" w:eastAsia="Times New Roman" w:hAnsi="Times New Roman" w:cs="Times New Roman"/>
          <w:b/>
          <w:sz w:val="20"/>
          <w:szCs w:val="20"/>
        </w:rPr>
        <w:t>Figure S1-</w:t>
      </w:r>
      <w:r w:rsidRPr="002552CF">
        <w:rPr>
          <w:rFonts w:ascii="Times New Roman" w:eastAsia="Times New Roman" w:hAnsi="Times New Roman" w:cs="Times New Roman"/>
          <w:sz w:val="20"/>
          <w:szCs w:val="20"/>
        </w:rPr>
        <w:t xml:space="preserve"> The overexpression of MST2</w:t>
      </w:r>
      <w:r w:rsidRPr="002552CF">
        <w:rPr>
          <w:rFonts w:ascii="Times New Roman" w:eastAsia="Times New Roman" w:hAnsi="Times New Roman" w:cs="Times New Roman"/>
          <w:sz w:val="20"/>
          <w:szCs w:val="20"/>
          <w:vertAlign w:val="superscript"/>
        </w:rPr>
        <w:t xml:space="preserve">Δ7 </w:t>
      </w:r>
      <w:r w:rsidRPr="002552CF">
        <w:rPr>
          <w:rFonts w:ascii="Times New Roman" w:eastAsia="Times New Roman" w:hAnsi="Times New Roman" w:cs="Times New Roman"/>
          <w:sz w:val="20"/>
          <w:szCs w:val="20"/>
        </w:rPr>
        <w:t>resulted in decreased phosphorylation of downstream proteins when compared to untreated cells. MCF10A cells were stably transfected with doxycycline (dox) inducible vector empty or bearing FFSS-MST2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xml:space="preserve"> (MCF10A-MST2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or FFSS-MST2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(MCF10A-MST2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The induction of 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by dox resulted in higher levels of phosphorylation in LATS, YAP and TAZ. Tubulin was used as an endogenous control.</w:t>
      </w:r>
    </w:p>
    <w:p w14:paraId="0EB1FDE8" w14:textId="77777777" w:rsidR="00B96BFA" w:rsidRPr="002552CF" w:rsidRDefault="00B96BFA" w:rsidP="00B96BFA">
      <w:pPr>
        <w:spacing w:before="240" w:after="240" w:line="480" w:lineRule="auto"/>
        <w:jc w:val="both"/>
        <w:rPr>
          <w:rFonts w:ascii="Times New Roman" w:eastAsia="Times New Roman" w:hAnsi="Times New Roman" w:cs="Times New Roman"/>
          <w:b/>
          <w:sz w:val="24"/>
          <w:szCs w:val="24"/>
        </w:rPr>
      </w:pPr>
    </w:p>
    <w:tbl>
      <w:tblPr>
        <w:tblW w:w="9153" w:type="dxa"/>
        <w:tblBorders>
          <w:top w:val="nil"/>
          <w:left w:val="nil"/>
          <w:bottom w:val="nil"/>
          <w:right w:val="nil"/>
          <w:insideH w:val="nil"/>
          <w:insideV w:val="nil"/>
        </w:tblBorders>
        <w:tblLayout w:type="fixed"/>
        <w:tblLook w:val="0400" w:firstRow="0" w:lastRow="0" w:firstColumn="0" w:lastColumn="0" w:noHBand="0" w:noVBand="1"/>
      </w:tblPr>
      <w:tblGrid>
        <w:gridCol w:w="9153"/>
      </w:tblGrid>
      <w:tr w:rsidR="00B96BFA" w:rsidRPr="002552CF" w14:paraId="3CAEB7BC" w14:textId="77777777" w:rsidTr="00D82B4D">
        <w:trPr>
          <w:trHeight w:val="12791"/>
        </w:trPr>
        <w:tc>
          <w:tcPr>
            <w:tcW w:w="9153" w:type="dxa"/>
          </w:tcPr>
          <w:p w14:paraId="5D6667F3" w14:textId="77777777" w:rsidR="00B96BFA" w:rsidRPr="002552CF" w:rsidRDefault="00B96BFA" w:rsidP="00D82B4D">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51597B06" wp14:editId="70D1710A">
                  <wp:extent cx="5669280" cy="7673340"/>
                  <wp:effectExtent l="0" t="0" r="0" b="3810"/>
                  <wp:docPr id="1099084097"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84097" name="Picture 2" descr="A screenshot of a computer scree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9280" cy="7673340"/>
                          </a:xfrm>
                          <a:prstGeom prst="rect">
                            <a:avLst/>
                          </a:prstGeom>
                          <a:noFill/>
                          <a:ln>
                            <a:noFill/>
                          </a:ln>
                        </pic:spPr>
                      </pic:pic>
                    </a:graphicData>
                  </a:graphic>
                </wp:inline>
              </w:drawing>
            </w:r>
          </w:p>
        </w:tc>
      </w:tr>
    </w:tbl>
    <w:p w14:paraId="15CB74B3" w14:textId="77777777" w:rsidR="00B96BFA" w:rsidRPr="002552CF" w:rsidRDefault="00B96BFA" w:rsidP="00B96BFA">
      <w:pPr>
        <w:spacing w:before="240" w:after="240" w:line="480" w:lineRule="auto"/>
        <w:jc w:val="both"/>
        <w:rPr>
          <w:rFonts w:ascii="Times New Roman" w:eastAsia="Times New Roman" w:hAnsi="Times New Roman" w:cs="Times New Roman"/>
          <w:sz w:val="20"/>
          <w:szCs w:val="20"/>
        </w:rPr>
      </w:pPr>
      <w:r w:rsidRPr="002552CF">
        <w:rPr>
          <w:rFonts w:ascii="Times New Roman" w:eastAsia="Times New Roman" w:hAnsi="Times New Roman" w:cs="Times New Roman"/>
          <w:b/>
          <w:sz w:val="20"/>
          <w:szCs w:val="20"/>
        </w:rPr>
        <w:lastRenderedPageBreak/>
        <w:t>Figure S2-</w:t>
      </w:r>
      <w:r w:rsidRPr="002552CF">
        <w:rPr>
          <w:rFonts w:ascii="Times New Roman" w:eastAsia="Times New Roman" w:hAnsi="Times New Roman" w:cs="Times New Roman"/>
          <w:sz w:val="20"/>
          <w:szCs w:val="20"/>
        </w:rPr>
        <w:t xml:space="preserve"> The overexpression of 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does not induce cell death. This figure is complimentary to Figure 4. A) and B) MCF10A cells bearing an empty vector, FFSS-MST2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xml:space="preserve"> or FFSS-MST2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constructs were induced with 0, 10 ng/mL and 50 ng/mL of Dox for 24 and 48h A) Live and dead assay showed that 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xml:space="preserve"> overexpression after 24h of induction with doxycycline does not result in increased cell death. But, in 48h (B) the overexpression of 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xml:space="preserve"> increased cell death whereas 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overexpression did not reproduce this outcome. (C) In a live and dead assay in performed on the U2OS cell line, under conditions similar to those for MCF10A cells, it was observed after 72h of doxycycline induction, the overexpression of MST2</w:t>
      </w:r>
      <w:r w:rsidRPr="002552CF">
        <w:rPr>
          <w:rFonts w:ascii="Times New Roman" w:eastAsia="Times New Roman" w:hAnsi="Times New Roman" w:cs="Times New Roman"/>
          <w:sz w:val="20"/>
          <w:szCs w:val="20"/>
          <w:vertAlign w:val="superscript"/>
        </w:rPr>
        <w:t>FL</w:t>
      </w:r>
      <w:r w:rsidRPr="002552CF">
        <w:rPr>
          <w:rFonts w:ascii="Times New Roman" w:eastAsia="Times New Roman" w:hAnsi="Times New Roman" w:cs="Times New Roman"/>
          <w:sz w:val="20"/>
          <w:szCs w:val="20"/>
        </w:rPr>
        <w:t xml:space="preserve"> led to an increase in cell death, which was not observed with MST2</w:t>
      </w:r>
      <w:r w:rsidRPr="002552CF">
        <w:rPr>
          <w:rFonts w:ascii="Times New Roman" w:eastAsia="Times New Roman" w:hAnsi="Times New Roman" w:cs="Times New Roman"/>
          <w:sz w:val="20"/>
          <w:szCs w:val="20"/>
          <w:vertAlign w:val="superscript"/>
        </w:rPr>
        <w:t>Δ7</w:t>
      </w:r>
      <w:r w:rsidRPr="002552CF">
        <w:rPr>
          <w:rFonts w:ascii="Times New Roman" w:eastAsia="Times New Roman" w:hAnsi="Times New Roman" w:cs="Times New Roman"/>
          <w:sz w:val="20"/>
          <w:szCs w:val="20"/>
        </w:rPr>
        <w:t xml:space="preserve"> overexpression, regardless of the cell type. Left: fluorescence microscope images of the live and dead assay. In this assay, DAPI (blue) stains all cell nuclei while propidium iodate (red) stains dead cells. Scale bar=200 µm. Right: graph showing mean±± SEM (n=3 independent replicates) of live or dead cells in the conditions indicated in the figure. </w:t>
      </w:r>
    </w:p>
    <w:tbl>
      <w:tblPr>
        <w:tblW w:w="8504" w:type="dxa"/>
        <w:tblBorders>
          <w:top w:val="nil"/>
          <w:left w:val="nil"/>
          <w:bottom w:val="nil"/>
          <w:right w:val="nil"/>
          <w:insideH w:val="nil"/>
          <w:insideV w:val="nil"/>
        </w:tblBorders>
        <w:tblLayout w:type="fixed"/>
        <w:tblLook w:val="0400" w:firstRow="0" w:lastRow="0" w:firstColumn="0" w:lastColumn="0" w:noHBand="0" w:noVBand="1"/>
      </w:tblPr>
      <w:tblGrid>
        <w:gridCol w:w="8504"/>
      </w:tblGrid>
      <w:tr w:rsidR="00B96BFA" w:rsidRPr="002552CF" w14:paraId="37681E81" w14:textId="77777777" w:rsidTr="00D82B4D">
        <w:tc>
          <w:tcPr>
            <w:tcW w:w="8504" w:type="dxa"/>
          </w:tcPr>
          <w:p w14:paraId="3948C2DB" w14:textId="77777777" w:rsidR="00B96BFA" w:rsidRPr="002552CF" w:rsidRDefault="00B96BFA" w:rsidP="00D82B4D">
            <w:pPr>
              <w:spacing w:before="240" w:after="240" w:line="480" w:lineRule="auto"/>
              <w:jc w:val="both"/>
              <w:rPr>
                <w:rFonts w:ascii="Times New Roman" w:eastAsia="Times New Roman" w:hAnsi="Times New Roman" w:cs="Times New Roman"/>
                <w:sz w:val="20"/>
                <w:szCs w:val="20"/>
              </w:rPr>
            </w:pPr>
            <w:r w:rsidRPr="002552CF">
              <w:rPr>
                <w:rFonts w:ascii="Times New Roman" w:eastAsia="Times New Roman" w:hAnsi="Times New Roman" w:cs="Times New Roman"/>
                <w:noProof/>
                <w:sz w:val="20"/>
                <w:szCs w:val="20"/>
              </w:rPr>
              <w:lastRenderedPageBreak/>
              <w:drawing>
                <wp:inline distT="0" distB="0" distL="0" distR="0" wp14:anchorId="2DEA80FF" wp14:editId="186393ED">
                  <wp:extent cx="5400040" cy="4456430"/>
                  <wp:effectExtent l="0" t="0" r="0" b="0"/>
                  <wp:docPr id="2103867715" name="image3.png" descr="A collage of graphs and char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ollage of graphs and charts&#10;&#10;Description automatically generated"/>
                          <pic:cNvPicPr preferRelativeResize="0"/>
                        </pic:nvPicPr>
                        <pic:blipFill>
                          <a:blip r:embed="rId6"/>
                          <a:srcRect/>
                          <a:stretch>
                            <a:fillRect/>
                          </a:stretch>
                        </pic:blipFill>
                        <pic:spPr>
                          <a:xfrm>
                            <a:off x="0" y="0"/>
                            <a:ext cx="5400040" cy="4456430"/>
                          </a:xfrm>
                          <a:prstGeom prst="rect">
                            <a:avLst/>
                          </a:prstGeom>
                          <a:ln/>
                        </pic:spPr>
                      </pic:pic>
                    </a:graphicData>
                  </a:graphic>
                </wp:inline>
              </w:drawing>
            </w:r>
          </w:p>
        </w:tc>
      </w:tr>
    </w:tbl>
    <w:p w14:paraId="306717A0" w14:textId="77777777" w:rsidR="00B96BFA" w:rsidRPr="002552CF" w:rsidRDefault="00B96BFA" w:rsidP="00B96BFA">
      <w:pPr>
        <w:spacing w:before="240" w:after="240" w:line="480" w:lineRule="auto"/>
        <w:jc w:val="both"/>
        <w:rPr>
          <w:rFonts w:ascii="Times New Roman" w:eastAsia="Times New Roman" w:hAnsi="Times New Roman" w:cs="Times New Roman"/>
          <w:sz w:val="20"/>
          <w:szCs w:val="20"/>
        </w:rPr>
      </w:pPr>
      <w:r w:rsidRPr="002552CF">
        <w:rPr>
          <w:rFonts w:ascii="Times New Roman" w:eastAsia="Times New Roman" w:hAnsi="Times New Roman" w:cs="Times New Roman"/>
          <w:b/>
          <w:sz w:val="20"/>
          <w:szCs w:val="20"/>
        </w:rPr>
        <w:t>Figure S3-</w:t>
      </w:r>
      <w:r w:rsidRPr="002552CF">
        <w:rPr>
          <w:rFonts w:ascii="Times New Roman" w:eastAsia="Times New Roman" w:hAnsi="Times New Roman" w:cs="Times New Roman"/>
          <w:sz w:val="20"/>
          <w:szCs w:val="20"/>
        </w:rPr>
        <w:t xml:space="preserve"> Disease-specific survival curve in different types of tumors. The curves indicate that expression of </w:t>
      </w:r>
      <w:r w:rsidRPr="002552CF">
        <w:rPr>
          <w:rFonts w:ascii="Times New Roman" w:eastAsia="Times New Roman" w:hAnsi="Times New Roman" w:cs="Times New Roman"/>
          <w:i/>
          <w:sz w:val="20"/>
          <w:szCs w:val="20"/>
        </w:rPr>
        <w:t>STK3</w:t>
      </w:r>
      <w:r w:rsidRPr="002552CF">
        <w:rPr>
          <w:rFonts w:ascii="Times New Roman" w:eastAsia="Times New Roman" w:hAnsi="Times New Roman" w:cs="Times New Roman"/>
          <w:i/>
          <w:sz w:val="20"/>
          <w:szCs w:val="20"/>
          <w:vertAlign w:val="superscript"/>
        </w:rPr>
        <w:t>Δ7</w:t>
      </w:r>
      <w:r w:rsidRPr="002552CF">
        <w:rPr>
          <w:rFonts w:ascii="Times New Roman" w:eastAsia="Times New Roman" w:hAnsi="Times New Roman" w:cs="Times New Roman"/>
          <w:sz w:val="20"/>
          <w:szCs w:val="20"/>
        </w:rPr>
        <w:t xml:space="preserve"> did not result in significantly worse survival when compared to patients who only expressed </w:t>
      </w:r>
      <w:r w:rsidRPr="002552CF">
        <w:rPr>
          <w:rFonts w:ascii="Times New Roman" w:eastAsia="Times New Roman" w:hAnsi="Times New Roman" w:cs="Times New Roman"/>
          <w:i/>
          <w:sz w:val="20"/>
          <w:szCs w:val="20"/>
        </w:rPr>
        <w:t xml:space="preserve">STK3 </w:t>
      </w:r>
      <w:r w:rsidRPr="002552CF">
        <w:rPr>
          <w:rFonts w:ascii="Times New Roman" w:eastAsia="Times New Roman" w:hAnsi="Times New Roman" w:cs="Times New Roman"/>
          <w:sz w:val="20"/>
          <w:szCs w:val="20"/>
        </w:rPr>
        <w:t>(J 6-7 and 7-8)</w:t>
      </w:r>
      <w:r w:rsidRPr="002552CF">
        <w:rPr>
          <w:rFonts w:ascii="Times New Roman" w:eastAsia="Times New Roman" w:hAnsi="Times New Roman" w:cs="Times New Roman"/>
          <w:sz w:val="20"/>
          <w:szCs w:val="20"/>
          <w:vertAlign w:val="superscript"/>
        </w:rPr>
        <w:t xml:space="preserve"> </w:t>
      </w:r>
      <w:r w:rsidRPr="002552CF">
        <w:rPr>
          <w:rFonts w:ascii="Times New Roman" w:eastAsia="Times New Roman" w:hAnsi="Times New Roman" w:cs="Times New Roman"/>
          <w:sz w:val="20"/>
          <w:szCs w:val="20"/>
        </w:rPr>
        <w:t>in Breast invasive carcinoma (BRCA), Head and Neck squamous cell carcinoma (HNSC), Lung squamous cell carcinoma (LUSC), Ovarian serous cystadenocarcinoma (OV).</w:t>
      </w:r>
    </w:p>
    <w:p w14:paraId="1EFA1A10" w14:textId="77777777" w:rsidR="003F1652" w:rsidRDefault="003F1652"/>
    <w:sectPr w:rsidR="003F16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A"/>
    <w:rsid w:val="003F1652"/>
    <w:rsid w:val="00B96B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3843"/>
  <w15:chartTrackingRefBased/>
  <w15:docId w15:val="{CBA14278-4891-46BD-B56E-3135F697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BFA"/>
    <w:pPr>
      <w:spacing w:after="0" w:line="276" w:lineRule="auto"/>
    </w:pPr>
    <w:rPr>
      <w:rFonts w:ascii="Arial" w:eastAsia="Arial" w:hAnsi="Arial" w:cs="Arial"/>
      <w:kern w:val="0"/>
      <w:lang w:val="en-US"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298</Words>
  <Characters>1704</Characters>
  <Application>Microsoft Office Word</Application>
  <DocSecurity>0</DocSecurity>
  <Lines>14</Lines>
  <Paragraphs>3</Paragraphs>
  <ScaleCrop>false</ScaleCrop>
  <Company>Springer Nature</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2024-01-05T19:05:00Z</dcterms:created>
  <dcterms:modified xsi:type="dcterms:W3CDTF">2024-01-05T19:06:00Z</dcterms:modified>
</cp:coreProperties>
</file>