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20C45" w14:textId="77777777" w:rsidR="00D91017" w:rsidRPr="00D91017" w:rsidRDefault="00D91017" w:rsidP="00D91017">
      <w:pPr>
        <w:rPr>
          <w:rFonts w:ascii="Calibri Light" w:hAnsi="Calibri Light"/>
          <w:b/>
          <w:bCs/>
          <w:sz w:val="28"/>
          <w:szCs w:val="28"/>
        </w:rPr>
      </w:pPr>
      <w:r w:rsidRPr="00D91017">
        <w:rPr>
          <w:b/>
          <w:bCs/>
          <w:sz w:val="28"/>
          <w:szCs w:val="28"/>
        </w:rPr>
        <w:t>Additional File 1</w:t>
      </w:r>
    </w:p>
    <w:p w14:paraId="30EDA170" w14:textId="77777777" w:rsidR="00D91017" w:rsidRDefault="00D91017" w:rsidP="00D91017">
      <w:pPr>
        <w:rPr>
          <w:rFonts w:ascii="Arial" w:hAnsi="Arial" w:cs="Arial"/>
          <w:sz w:val="27"/>
          <w:szCs w:val="27"/>
        </w:rPr>
      </w:pPr>
    </w:p>
    <w:p w14:paraId="27570E85" w14:textId="77777777" w:rsidR="00D91017" w:rsidRPr="00D91017" w:rsidRDefault="00D91017" w:rsidP="00D91017">
      <w:pPr>
        <w:rPr>
          <w:rFonts w:ascii="Times New Roman" w:hAnsi="Times New Roman" w:cs="Times New Roman"/>
        </w:rPr>
      </w:pPr>
      <w:r w:rsidRPr="00D91017">
        <w:rPr>
          <w:rFonts w:ascii="Times New Roman" w:hAnsi="Times New Roman" w:cs="Times New Roman"/>
        </w:rPr>
        <w:t>Secondary Initial Programme Theories</w:t>
      </w:r>
    </w:p>
    <w:p w14:paraId="51D4CD12" w14:textId="77777777" w:rsidR="00D91017" w:rsidRPr="00D91017" w:rsidRDefault="00D91017" w:rsidP="00D91017">
      <w:pPr>
        <w:rPr>
          <w:rFonts w:ascii="Times New Roman" w:hAnsi="Times New Roman" w:cs="Times New Roman"/>
        </w:rPr>
      </w:pPr>
    </w:p>
    <w:p w14:paraId="6BCC13B0" w14:textId="77777777" w:rsidR="00D91017" w:rsidRPr="00D91017" w:rsidRDefault="00D91017" w:rsidP="00D91017">
      <w:pPr>
        <w:rPr>
          <w:rFonts w:ascii="Times New Roman" w:eastAsia="Calibri" w:hAnsi="Times New Roman" w:cs="Times New Roman"/>
          <w:color w:val="000000" w:themeColor="text1"/>
        </w:rPr>
      </w:pPr>
      <w:r w:rsidRPr="00D91017">
        <w:rPr>
          <w:rFonts w:ascii="Times New Roman" w:eastAsia="Calibri" w:hAnsi="Times New Roman" w:cs="Times New Roman"/>
          <w:color w:val="000000" w:themeColor="text1"/>
        </w:rPr>
        <w:t>Legend: C: Context; M: Mechanism; O: Outcome; OT: Occupational Therapist</w:t>
      </w:r>
    </w:p>
    <w:p w14:paraId="0F1C3336" w14:textId="77777777" w:rsidR="00D91017" w:rsidRPr="00D91017" w:rsidRDefault="00D91017" w:rsidP="00D91017">
      <w:pPr>
        <w:pStyle w:val="ListParagraph"/>
        <w:numPr>
          <w:ilvl w:val="0"/>
          <w:numId w:val="2"/>
        </w:numPr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If Research OTs work on sites where managers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 xml:space="preserve">are more experienced with </w:t>
      </w:r>
      <w:proofErr w:type="gramStart"/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research, and</w:t>
      </w:r>
      <w:proofErr w:type="gramEnd"/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 xml:space="preserve"> understand the potential benefits of the trial (C)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, then, they will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attend more mentoring sessions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(O),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because the managers foster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collaboration and engagement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in the research activities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(M).</w:t>
      </w:r>
    </w:p>
    <w:p w14:paraId="47E5643A" w14:textId="77777777" w:rsidR="00D91017" w:rsidRPr="00D91017" w:rsidRDefault="00D91017" w:rsidP="00D91017">
      <w:pPr>
        <w:pStyle w:val="ListParagraph"/>
        <w:numPr>
          <w:ilvl w:val="0"/>
          <w:numId w:val="2"/>
        </w:numPr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If Research OTs experience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high levels of workload (C),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then, they will not be able to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attend all mentoring sessions (O),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because they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feel overwhelmed and lack time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for the mentoring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(M).</w:t>
      </w:r>
    </w:p>
    <w:p w14:paraId="4642D518" w14:textId="77777777" w:rsidR="00D91017" w:rsidRPr="00D91017" w:rsidRDefault="00D91017" w:rsidP="00D91017">
      <w:pPr>
        <w:pStyle w:val="ListParagraph"/>
        <w:numPr>
          <w:ilvl w:val="0"/>
          <w:numId w:val="2"/>
        </w:numPr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If research trials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provide research OTs with regular mentoring (C)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sessions, then, the mentees will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feel supported (O)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and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more engaged (O)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in the trial, because the mentors can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identify problems before/as they arise [timely support/ early identification] (M)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>.</w:t>
      </w:r>
    </w:p>
    <w:p w14:paraId="0CF5D343" w14:textId="77777777" w:rsidR="00D91017" w:rsidRPr="00D91017" w:rsidRDefault="00D91017" w:rsidP="00D91017">
      <w:pPr>
        <w:pStyle w:val="ListParagraph"/>
        <w:numPr>
          <w:ilvl w:val="0"/>
          <w:numId w:val="2"/>
        </w:numPr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If mentoring is provided in a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group setting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(C)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, then, the research OTs will feel more comfortable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sharing their problems (O)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, because the group setting fosters a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relationship of trust (M)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with the mentor and a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sense of belonging (M)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for the research OTs.</w:t>
      </w:r>
    </w:p>
    <w:p w14:paraId="4DB66723" w14:textId="77777777" w:rsidR="00D91017" w:rsidRPr="00D91017" w:rsidRDefault="00D91017" w:rsidP="00D91017">
      <w:pPr>
        <w:pStyle w:val="ListParagraph"/>
        <w:numPr>
          <w:ilvl w:val="0"/>
          <w:numId w:val="2"/>
        </w:numPr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If mentoring is provided in a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group setting (C),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then research OTs will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gain clinical guidance with intervention delivery (O)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and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share their knowledge (O)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to address issues that other research OTs are experiencing, because the group setting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 xml:space="preserve"> enables a shared learning environment (M) facilitated by the mentor (M).</w:t>
      </w:r>
    </w:p>
    <w:p w14:paraId="699F9396" w14:textId="77777777" w:rsidR="00D91017" w:rsidRPr="00D91017" w:rsidRDefault="00D91017" w:rsidP="00D91017">
      <w:pPr>
        <w:pStyle w:val="ListParagraph"/>
        <w:numPr>
          <w:ilvl w:val="0"/>
          <w:numId w:val="1"/>
        </w:numPr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If mentoring sessions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guide the completion of research data collection forms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(C)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, then the research OTs will be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more accurate in measuring the intervention delivered (e.g., content, dose) (O), return research data within the given timeline (O),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and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improve the overall quality of data collection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, because the mentors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monitor (M)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data collection and support research OTs to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reflect (M)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on how to complete the forms.</w:t>
      </w:r>
    </w:p>
    <w:p w14:paraId="29EDD495" w14:textId="77777777" w:rsidR="00D91017" w:rsidRPr="00D91017" w:rsidRDefault="00D91017" w:rsidP="00D91017">
      <w:pPr>
        <w:pStyle w:val="ListParagraph"/>
        <w:numPr>
          <w:ilvl w:val="0"/>
          <w:numId w:val="1"/>
        </w:numPr>
        <w:ind w:left="714" w:hanging="357"/>
        <w:rPr>
          <w:rFonts w:ascii="Times New Roman" w:hAnsi="Times New Roman" w:cs="Times New Roman"/>
          <w:color w:val="000000" w:themeColor="text1"/>
          <w:szCs w:val="24"/>
        </w:rPr>
      </w:pP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>If research OTs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 xml:space="preserve"> attend mentoring sessions regularly (C)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, then, they will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>deliver the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 xml:space="preserve">intervention with fidelity (O), </w:t>
      </w:r>
      <w:r w:rsidRPr="00D91017">
        <w:rPr>
          <w:rFonts w:ascii="Times New Roman" w:eastAsia="Calibri" w:hAnsi="Times New Roman" w:cs="Times New Roman"/>
          <w:color w:val="000000" w:themeColor="text1"/>
          <w:szCs w:val="24"/>
        </w:rPr>
        <w:t>because they develop a clear understanding of the intervention and trial processes and their role in it</w:t>
      </w:r>
      <w:r w:rsidRPr="00D91017">
        <w:rPr>
          <w:rFonts w:ascii="Times New Roman" w:eastAsia="Calibri" w:hAnsi="Times New Roman" w:cs="Times New Roman"/>
          <w:b/>
          <w:bCs/>
          <w:color w:val="000000" w:themeColor="text1"/>
          <w:szCs w:val="24"/>
        </w:rPr>
        <w:t xml:space="preserve"> (shared understanding/ believe in RETAKE) (M).</w:t>
      </w:r>
    </w:p>
    <w:p w14:paraId="240131F8" w14:textId="77777777" w:rsidR="00C625D9" w:rsidRDefault="00C625D9"/>
    <w:sectPr w:rsidR="00C625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C7512"/>
    <w:multiLevelType w:val="hybridMultilevel"/>
    <w:tmpl w:val="704C6DAC"/>
    <w:lvl w:ilvl="0" w:tplc="EB2A4E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17EA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E86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42B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EE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C4D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2C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3A7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9AB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188C7D"/>
    <w:multiLevelType w:val="hybridMultilevel"/>
    <w:tmpl w:val="6108FD54"/>
    <w:lvl w:ilvl="0" w:tplc="1870D8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7FAC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A7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6F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86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B68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4EC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2B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E7E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711143">
    <w:abstractNumId w:val="0"/>
  </w:num>
  <w:num w:numId="2" w16cid:durableId="1308826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17"/>
    <w:rsid w:val="002D7368"/>
    <w:rsid w:val="004B5E7E"/>
    <w:rsid w:val="00501A64"/>
    <w:rsid w:val="005E1F2D"/>
    <w:rsid w:val="00B13FEF"/>
    <w:rsid w:val="00C625D9"/>
    <w:rsid w:val="00D9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F6B91"/>
  <w15:chartTrackingRefBased/>
  <w15:docId w15:val="{6D1388ED-A432-234D-8ED4-062694357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17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10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91017"/>
    <w:pPr>
      <w:spacing w:before="200" w:after="200" w:line="276" w:lineRule="auto"/>
      <w:ind w:left="720"/>
      <w:contextualSpacing/>
    </w:pPr>
    <w:rPr>
      <w:rFonts w:eastAsiaTheme="minorEastAsia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De Dios perez (staff)</dc:creator>
  <cp:keywords/>
  <dc:description/>
  <cp:lastModifiedBy>Blanca De Dios perez (staff)</cp:lastModifiedBy>
  <cp:revision>1</cp:revision>
  <dcterms:created xsi:type="dcterms:W3CDTF">2023-12-11T07:41:00Z</dcterms:created>
  <dcterms:modified xsi:type="dcterms:W3CDTF">2023-12-11T07:41:00Z</dcterms:modified>
</cp:coreProperties>
</file>