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2776"/>
        <w:tblW w:w="999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3"/>
        <w:gridCol w:w="3973"/>
        <w:gridCol w:w="1130"/>
        <w:gridCol w:w="3866"/>
      </w:tblGrid>
      <w:tr w:rsidR="009B11CB" w:rsidRPr="004A02C9" w14:paraId="73AE5CE7" w14:textId="1C8522AE" w:rsidTr="00094C2F">
        <w:trPr>
          <w:trHeight w:val="250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17C96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55804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 description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89D4D" w14:textId="22E2D0CB" w:rsidR="009B11CB" w:rsidRPr="004A02C9" w:rsidRDefault="009B11CB" w:rsidP="00DA716B">
            <w:pPr>
              <w:wordWrap/>
              <w:adjustRightInd w:val="0"/>
              <w:spacing w:after="0" w:line="36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01E97" w14:textId="7270C94B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 description</w:t>
            </w:r>
          </w:p>
        </w:tc>
      </w:tr>
      <w:tr w:rsidR="009B11CB" w:rsidRPr="004A02C9" w14:paraId="560284E0" w14:textId="45F2553B" w:rsidTr="004A02C9">
        <w:trPr>
          <w:trHeight w:val="250"/>
        </w:trPr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</w:tcPr>
          <w:p w14:paraId="032F06C1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</w:t>
            </w:r>
          </w:p>
        </w:tc>
        <w:tc>
          <w:tcPr>
            <w:tcW w:w="3973" w:type="dxa"/>
            <w:tcBorders>
              <w:top w:val="single" w:sz="4" w:space="0" w:color="auto"/>
            </w:tcBorders>
            <w:shd w:val="clear" w:color="auto" w:fill="auto"/>
          </w:tcPr>
          <w:p w14:paraId="3E22BEE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</w:tcPr>
          <w:p w14:paraId="542929A8" w14:textId="63EA0E24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Gene22</w:t>
            </w:r>
          </w:p>
        </w:tc>
        <w:tc>
          <w:tcPr>
            <w:tcW w:w="3866" w:type="dxa"/>
            <w:tcBorders>
              <w:top w:val="single" w:sz="4" w:space="0" w:color="auto"/>
            </w:tcBorders>
            <w:shd w:val="clear" w:color="auto" w:fill="auto"/>
          </w:tcPr>
          <w:p w14:paraId="7CBC921F" w14:textId="252D6075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adenosine deaminase CECR1-A</w:t>
            </w:r>
          </w:p>
        </w:tc>
      </w:tr>
      <w:tr w:rsidR="009B11CB" w:rsidRPr="004A02C9" w14:paraId="2D220016" w14:textId="693E995C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39B077DE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</w:t>
            </w:r>
          </w:p>
        </w:tc>
        <w:tc>
          <w:tcPr>
            <w:tcW w:w="3973" w:type="dxa"/>
            <w:shd w:val="clear" w:color="auto" w:fill="auto"/>
          </w:tcPr>
          <w:p w14:paraId="41F3481B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  <w:tc>
          <w:tcPr>
            <w:tcW w:w="1130" w:type="dxa"/>
            <w:shd w:val="clear" w:color="auto" w:fill="auto"/>
          </w:tcPr>
          <w:p w14:paraId="2F1911EA" w14:textId="58DA3920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Gene23</w:t>
            </w:r>
          </w:p>
        </w:tc>
        <w:tc>
          <w:tcPr>
            <w:tcW w:w="3866" w:type="dxa"/>
            <w:shd w:val="clear" w:color="auto" w:fill="auto"/>
          </w:tcPr>
          <w:p w14:paraId="218E400E" w14:textId="46CE6B8C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not annotated on the database</w:t>
            </w:r>
          </w:p>
        </w:tc>
      </w:tr>
      <w:tr w:rsidR="009B11CB" w:rsidRPr="004A02C9" w14:paraId="055E7B25" w14:textId="693C268F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0C6A2263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</w:t>
            </w:r>
          </w:p>
        </w:tc>
        <w:tc>
          <w:tcPr>
            <w:tcW w:w="3973" w:type="dxa"/>
            <w:shd w:val="clear" w:color="auto" w:fill="auto"/>
          </w:tcPr>
          <w:p w14:paraId="5EB5F400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cyclic GMP-AMP synthase-like</w:t>
            </w:r>
          </w:p>
        </w:tc>
        <w:tc>
          <w:tcPr>
            <w:tcW w:w="1130" w:type="dxa"/>
            <w:shd w:val="clear" w:color="auto" w:fill="auto"/>
          </w:tcPr>
          <w:p w14:paraId="3F794073" w14:textId="7800BB6A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Gene24</w:t>
            </w:r>
          </w:p>
        </w:tc>
        <w:tc>
          <w:tcPr>
            <w:tcW w:w="3866" w:type="dxa"/>
            <w:shd w:val="clear" w:color="auto" w:fill="auto"/>
          </w:tcPr>
          <w:p w14:paraId="43A0351C" w14:textId="4F22BE61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beta-galactosidase-1-like protein 2</w:t>
            </w:r>
          </w:p>
        </w:tc>
      </w:tr>
      <w:tr w:rsidR="009B11CB" w:rsidRPr="004A02C9" w14:paraId="18CF6181" w14:textId="742241FE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14A6F770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Gene4</w:t>
            </w:r>
          </w:p>
        </w:tc>
        <w:tc>
          <w:tcPr>
            <w:tcW w:w="3973" w:type="dxa"/>
            <w:shd w:val="clear" w:color="auto" w:fill="auto"/>
          </w:tcPr>
          <w:p w14:paraId="646F319E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  <w:tc>
          <w:tcPr>
            <w:tcW w:w="1130" w:type="dxa"/>
            <w:shd w:val="clear" w:color="auto" w:fill="auto"/>
          </w:tcPr>
          <w:p w14:paraId="068C611C" w14:textId="02EE663C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Gene25</w:t>
            </w:r>
          </w:p>
        </w:tc>
        <w:tc>
          <w:tcPr>
            <w:tcW w:w="3866" w:type="dxa"/>
            <w:shd w:val="clear" w:color="auto" w:fill="auto"/>
          </w:tcPr>
          <w:p w14:paraId="614AB0C5" w14:textId="0ED4BADB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</w:t>
            </w:r>
          </w:p>
        </w:tc>
      </w:tr>
      <w:tr w:rsidR="009B11CB" w:rsidRPr="004A02C9" w14:paraId="5E13FCAE" w14:textId="096C6D61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66DC42F0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Gene5</w:t>
            </w:r>
          </w:p>
        </w:tc>
        <w:tc>
          <w:tcPr>
            <w:tcW w:w="3973" w:type="dxa"/>
            <w:shd w:val="clear" w:color="auto" w:fill="auto"/>
          </w:tcPr>
          <w:p w14:paraId="2B00F06B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double-stranded RNA-specific </w:t>
            </w:r>
            <w:proofErr w:type="spellStart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editase</w:t>
            </w:r>
            <w:proofErr w:type="spellEnd"/>
          </w:p>
        </w:tc>
        <w:tc>
          <w:tcPr>
            <w:tcW w:w="1130" w:type="dxa"/>
            <w:shd w:val="clear" w:color="auto" w:fill="auto"/>
          </w:tcPr>
          <w:p w14:paraId="183BD611" w14:textId="121119BD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Gene26</w:t>
            </w:r>
          </w:p>
        </w:tc>
        <w:tc>
          <w:tcPr>
            <w:tcW w:w="3866" w:type="dxa"/>
            <w:shd w:val="clear" w:color="auto" w:fill="auto"/>
          </w:tcPr>
          <w:p w14:paraId="1FACE6BA" w14:textId="3515184A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aldehyde dehydrogenase, mitochondrial</w:t>
            </w:r>
          </w:p>
        </w:tc>
      </w:tr>
      <w:tr w:rsidR="009B11CB" w:rsidRPr="004A02C9" w14:paraId="058DAD8C" w14:textId="471C21CC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3FD187D0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Gene6</w:t>
            </w:r>
          </w:p>
        </w:tc>
        <w:tc>
          <w:tcPr>
            <w:tcW w:w="3973" w:type="dxa"/>
            <w:shd w:val="clear" w:color="auto" w:fill="auto"/>
          </w:tcPr>
          <w:p w14:paraId="6453FFEA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</w:t>
            </w:r>
          </w:p>
        </w:tc>
        <w:tc>
          <w:tcPr>
            <w:tcW w:w="1130" w:type="dxa"/>
            <w:shd w:val="clear" w:color="auto" w:fill="auto"/>
          </w:tcPr>
          <w:p w14:paraId="131F2908" w14:textId="0551A44E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Gene27</w:t>
            </w:r>
          </w:p>
        </w:tc>
        <w:tc>
          <w:tcPr>
            <w:tcW w:w="3866" w:type="dxa"/>
            <w:shd w:val="clear" w:color="auto" w:fill="auto"/>
          </w:tcPr>
          <w:p w14:paraId="1D4959BE" w14:textId="2818FA83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cyclic GMP-AMP synthase-like</w:t>
            </w:r>
          </w:p>
        </w:tc>
      </w:tr>
      <w:tr w:rsidR="009B11CB" w:rsidRPr="004A02C9" w14:paraId="11B60E9D" w14:textId="22047E34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274778CD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Gene7</w:t>
            </w:r>
          </w:p>
        </w:tc>
        <w:tc>
          <w:tcPr>
            <w:tcW w:w="3973" w:type="dxa"/>
            <w:shd w:val="clear" w:color="auto" w:fill="auto"/>
          </w:tcPr>
          <w:p w14:paraId="7BF21900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sphingomyelin phosphodiesterase</w:t>
            </w:r>
          </w:p>
        </w:tc>
        <w:tc>
          <w:tcPr>
            <w:tcW w:w="1130" w:type="dxa"/>
            <w:shd w:val="clear" w:color="auto" w:fill="auto"/>
          </w:tcPr>
          <w:p w14:paraId="19D78DFC" w14:textId="614F3394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Gene28</w:t>
            </w:r>
          </w:p>
        </w:tc>
        <w:tc>
          <w:tcPr>
            <w:tcW w:w="3866" w:type="dxa"/>
            <w:shd w:val="clear" w:color="auto" w:fill="auto"/>
          </w:tcPr>
          <w:p w14:paraId="216A62DD" w14:textId="367A9340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asparagine--tRNA ligase, cytoplasmic-like</w:t>
            </w:r>
          </w:p>
        </w:tc>
      </w:tr>
      <w:tr w:rsidR="009B11CB" w:rsidRPr="004A02C9" w14:paraId="25331DAA" w14:textId="095F8730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105B4905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Gene8</w:t>
            </w:r>
          </w:p>
        </w:tc>
        <w:tc>
          <w:tcPr>
            <w:tcW w:w="3973" w:type="dxa"/>
            <w:shd w:val="clear" w:color="auto" w:fill="auto"/>
          </w:tcPr>
          <w:p w14:paraId="190D1032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probable tyrosyl-DNA phosphodiesterase</w:t>
            </w:r>
          </w:p>
        </w:tc>
        <w:tc>
          <w:tcPr>
            <w:tcW w:w="1130" w:type="dxa"/>
            <w:shd w:val="clear" w:color="auto" w:fill="auto"/>
          </w:tcPr>
          <w:p w14:paraId="1C8B8F06" w14:textId="176FD9F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Gene29</w:t>
            </w:r>
          </w:p>
        </w:tc>
        <w:tc>
          <w:tcPr>
            <w:tcW w:w="3866" w:type="dxa"/>
            <w:shd w:val="clear" w:color="auto" w:fill="auto"/>
          </w:tcPr>
          <w:p w14:paraId="30D1FA2E" w14:textId="390998CB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alpha-L-</w:t>
            </w:r>
            <w:proofErr w:type="spellStart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fucosidase</w:t>
            </w:r>
            <w:proofErr w:type="spellEnd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-like</w:t>
            </w:r>
          </w:p>
        </w:tc>
      </w:tr>
      <w:tr w:rsidR="009B11CB" w:rsidRPr="004A02C9" w14:paraId="451D8FA3" w14:textId="027783F7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3505D1E2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Gene9</w:t>
            </w:r>
          </w:p>
        </w:tc>
        <w:tc>
          <w:tcPr>
            <w:tcW w:w="3973" w:type="dxa"/>
            <w:shd w:val="clear" w:color="auto" w:fill="auto"/>
          </w:tcPr>
          <w:p w14:paraId="3B519DC0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ganglioside GM2 activator</w:t>
            </w:r>
          </w:p>
        </w:tc>
        <w:tc>
          <w:tcPr>
            <w:tcW w:w="1130" w:type="dxa"/>
            <w:shd w:val="clear" w:color="auto" w:fill="auto"/>
          </w:tcPr>
          <w:p w14:paraId="190F4264" w14:textId="40378933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Gene30</w:t>
            </w:r>
          </w:p>
        </w:tc>
        <w:tc>
          <w:tcPr>
            <w:tcW w:w="3866" w:type="dxa"/>
            <w:shd w:val="clear" w:color="auto" w:fill="auto"/>
          </w:tcPr>
          <w:p w14:paraId="3E0E589F" w14:textId="2D97411F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not annotated on the database</w:t>
            </w:r>
          </w:p>
        </w:tc>
      </w:tr>
      <w:tr w:rsidR="009B11CB" w:rsidRPr="004A02C9" w14:paraId="19A82B08" w14:textId="476AA6F4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1A1C4598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Gene10</w:t>
            </w:r>
          </w:p>
        </w:tc>
        <w:tc>
          <w:tcPr>
            <w:tcW w:w="3973" w:type="dxa"/>
            <w:shd w:val="clear" w:color="auto" w:fill="auto"/>
          </w:tcPr>
          <w:p w14:paraId="49A6A8D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  <w:tc>
          <w:tcPr>
            <w:tcW w:w="1130" w:type="dxa"/>
            <w:shd w:val="clear" w:color="auto" w:fill="auto"/>
          </w:tcPr>
          <w:p w14:paraId="43782100" w14:textId="1EAA02B4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Gene31</w:t>
            </w:r>
          </w:p>
        </w:tc>
        <w:tc>
          <w:tcPr>
            <w:tcW w:w="3866" w:type="dxa"/>
            <w:shd w:val="clear" w:color="auto" w:fill="auto"/>
          </w:tcPr>
          <w:p w14:paraId="6193AB4A" w14:textId="7B366EF5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not annotated on the database</w:t>
            </w:r>
          </w:p>
        </w:tc>
      </w:tr>
      <w:tr w:rsidR="009B11CB" w:rsidRPr="004A02C9" w14:paraId="55283B8E" w14:textId="791F2F1D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63878D19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Gene11</w:t>
            </w:r>
          </w:p>
        </w:tc>
        <w:tc>
          <w:tcPr>
            <w:tcW w:w="3973" w:type="dxa"/>
            <w:shd w:val="clear" w:color="auto" w:fill="auto"/>
          </w:tcPr>
          <w:p w14:paraId="623CE4F3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L-asparaginase</w:t>
            </w:r>
          </w:p>
        </w:tc>
        <w:tc>
          <w:tcPr>
            <w:tcW w:w="1130" w:type="dxa"/>
            <w:shd w:val="clear" w:color="auto" w:fill="auto"/>
          </w:tcPr>
          <w:p w14:paraId="21E4AEF3" w14:textId="724B965A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Gene32</w:t>
            </w:r>
          </w:p>
        </w:tc>
        <w:tc>
          <w:tcPr>
            <w:tcW w:w="3866" w:type="dxa"/>
            <w:shd w:val="clear" w:color="auto" w:fill="auto"/>
          </w:tcPr>
          <w:p w14:paraId="3C5F67B1" w14:textId="58D3E385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CD63 antigen-like</w:t>
            </w:r>
          </w:p>
        </w:tc>
      </w:tr>
      <w:tr w:rsidR="009B11CB" w:rsidRPr="004A02C9" w14:paraId="33875418" w14:textId="3319CA64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0381AB6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Gene12</w:t>
            </w:r>
          </w:p>
        </w:tc>
        <w:tc>
          <w:tcPr>
            <w:tcW w:w="3973" w:type="dxa"/>
            <w:shd w:val="clear" w:color="auto" w:fill="auto"/>
          </w:tcPr>
          <w:p w14:paraId="209948B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</w:t>
            </w:r>
          </w:p>
        </w:tc>
        <w:tc>
          <w:tcPr>
            <w:tcW w:w="1130" w:type="dxa"/>
            <w:shd w:val="clear" w:color="auto" w:fill="auto"/>
          </w:tcPr>
          <w:p w14:paraId="0B6E4C7A" w14:textId="53CC43A6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Gene33</w:t>
            </w:r>
          </w:p>
        </w:tc>
        <w:tc>
          <w:tcPr>
            <w:tcW w:w="3866" w:type="dxa"/>
            <w:shd w:val="clear" w:color="auto" w:fill="auto"/>
          </w:tcPr>
          <w:p w14:paraId="7F76370A" w14:textId="5E4C2B71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</w:tr>
      <w:tr w:rsidR="009B11CB" w:rsidRPr="004A02C9" w14:paraId="6942CC3B" w14:textId="752A7D3B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69B1FEB9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Gene13</w:t>
            </w:r>
          </w:p>
        </w:tc>
        <w:tc>
          <w:tcPr>
            <w:tcW w:w="3973" w:type="dxa"/>
            <w:shd w:val="clear" w:color="auto" w:fill="auto"/>
          </w:tcPr>
          <w:p w14:paraId="6C85EF86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proofErr w:type="spellStart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senecionine</w:t>
            </w:r>
            <w:proofErr w:type="spellEnd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N-oxygenase</w:t>
            </w:r>
          </w:p>
        </w:tc>
        <w:tc>
          <w:tcPr>
            <w:tcW w:w="1130" w:type="dxa"/>
            <w:shd w:val="clear" w:color="auto" w:fill="auto"/>
          </w:tcPr>
          <w:p w14:paraId="29338C7E" w14:textId="2B2B7CB9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Gene34</w:t>
            </w:r>
          </w:p>
        </w:tc>
        <w:tc>
          <w:tcPr>
            <w:tcW w:w="3866" w:type="dxa"/>
            <w:shd w:val="clear" w:color="auto" w:fill="auto"/>
          </w:tcPr>
          <w:p w14:paraId="7A133159" w14:textId="3E5C838C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cathepsin L-like proteinase</w:t>
            </w:r>
          </w:p>
        </w:tc>
      </w:tr>
      <w:tr w:rsidR="009B11CB" w:rsidRPr="004A02C9" w14:paraId="7C778BF9" w14:textId="4D591958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42A1EAA5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Gene14</w:t>
            </w:r>
          </w:p>
        </w:tc>
        <w:tc>
          <w:tcPr>
            <w:tcW w:w="3973" w:type="dxa"/>
            <w:shd w:val="clear" w:color="auto" w:fill="auto"/>
          </w:tcPr>
          <w:p w14:paraId="58B39568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proofErr w:type="spellStart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rotatin</w:t>
            </w:r>
            <w:proofErr w:type="spellEnd"/>
          </w:p>
        </w:tc>
        <w:tc>
          <w:tcPr>
            <w:tcW w:w="1130" w:type="dxa"/>
            <w:shd w:val="clear" w:color="auto" w:fill="auto"/>
          </w:tcPr>
          <w:p w14:paraId="03AA5D18" w14:textId="7E2F707E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Gene35</w:t>
            </w:r>
          </w:p>
        </w:tc>
        <w:tc>
          <w:tcPr>
            <w:tcW w:w="3866" w:type="dxa"/>
            <w:shd w:val="clear" w:color="auto" w:fill="auto"/>
          </w:tcPr>
          <w:p w14:paraId="6E2E221A" w14:textId="7CFB7B6B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not annotated on the database</w:t>
            </w:r>
          </w:p>
        </w:tc>
      </w:tr>
      <w:tr w:rsidR="009B11CB" w:rsidRPr="004A02C9" w14:paraId="0810DA23" w14:textId="7ADF372D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1141BD74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Gene15</w:t>
            </w:r>
          </w:p>
        </w:tc>
        <w:tc>
          <w:tcPr>
            <w:tcW w:w="3973" w:type="dxa"/>
            <w:shd w:val="clear" w:color="auto" w:fill="auto"/>
          </w:tcPr>
          <w:p w14:paraId="220DD77F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  <w:tc>
          <w:tcPr>
            <w:tcW w:w="1130" w:type="dxa"/>
            <w:shd w:val="clear" w:color="auto" w:fill="auto"/>
          </w:tcPr>
          <w:p w14:paraId="67CA98C7" w14:textId="56BABC91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Gene36</w:t>
            </w:r>
          </w:p>
        </w:tc>
        <w:tc>
          <w:tcPr>
            <w:tcW w:w="3866" w:type="dxa"/>
            <w:shd w:val="clear" w:color="auto" w:fill="auto"/>
          </w:tcPr>
          <w:p w14:paraId="6054C3BD" w14:textId="54E0FAE3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</w:t>
            </w:r>
          </w:p>
        </w:tc>
      </w:tr>
      <w:tr w:rsidR="009B11CB" w:rsidRPr="004A02C9" w14:paraId="0095CE33" w14:textId="2EE61662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098D30A2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Gene16</w:t>
            </w:r>
          </w:p>
        </w:tc>
        <w:tc>
          <w:tcPr>
            <w:tcW w:w="3973" w:type="dxa"/>
            <w:shd w:val="clear" w:color="auto" w:fill="auto"/>
          </w:tcPr>
          <w:p w14:paraId="088F6802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cyclic GMP-AMP synthase-like</w:t>
            </w:r>
          </w:p>
        </w:tc>
        <w:tc>
          <w:tcPr>
            <w:tcW w:w="1130" w:type="dxa"/>
            <w:shd w:val="clear" w:color="auto" w:fill="auto"/>
          </w:tcPr>
          <w:p w14:paraId="4D2EFB4A" w14:textId="5605CC1A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Gene37</w:t>
            </w:r>
          </w:p>
        </w:tc>
        <w:tc>
          <w:tcPr>
            <w:tcW w:w="3866" w:type="dxa"/>
            <w:shd w:val="clear" w:color="auto" w:fill="auto"/>
          </w:tcPr>
          <w:p w14:paraId="4BF57695" w14:textId="3773E207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</w:t>
            </w:r>
          </w:p>
        </w:tc>
      </w:tr>
      <w:tr w:rsidR="009B11CB" w:rsidRPr="004A02C9" w14:paraId="5837E056" w14:textId="22D308D3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0E143A38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Gene17</w:t>
            </w:r>
          </w:p>
        </w:tc>
        <w:tc>
          <w:tcPr>
            <w:tcW w:w="3973" w:type="dxa"/>
            <w:shd w:val="clear" w:color="auto" w:fill="auto"/>
          </w:tcPr>
          <w:p w14:paraId="390A38F5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serine protease P76</w:t>
            </w:r>
          </w:p>
        </w:tc>
        <w:tc>
          <w:tcPr>
            <w:tcW w:w="1130" w:type="dxa"/>
            <w:shd w:val="clear" w:color="auto" w:fill="auto"/>
          </w:tcPr>
          <w:p w14:paraId="11E2E8E5" w14:textId="73B3058D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Gene38</w:t>
            </w:r>
          </w:p>
        </w:tc>
        <w:tc>
          <w:tcPr>
            <w:tcW w:w="3866" w:type="dxa"/>
            <w:shd w:val="clear" w:color="auto" w:fill="auto"/>
          </w:tcPr>
          <w:p w14:paraId="15064033" w14:textId="35E8D85A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hypothetical protein</w:t>
            </w:r>
          </w:p>
        </w:tc>
      </w:tr>
      <w:tr w:rsidR="009B11CB" w:rsidRPr="004A02C9" w14:paraId="59BCC3EF" w14:textId="2BD9AB30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72A636C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Gene18</w:t>
            </w:r>
          </w:p>
        </w:tc>
        <w:tc>
          <w:tcPr>
            <w:tcW w:w="3973" w:type="dxa"/>
            <w:shd w:val="clear" w:color="auto" w:fill="auto"/>
          </w:tcPr>
          <w:p w14:paraId="6D9073F1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Uncharacterized protein</w:t>
            </w:r>
          </w:p>
        </w:tc>
        <w:tc>
          <w:tcPr>
            <w:tcW w:w="1130" w:type="dxa"/>
            <w:shd w:val="clear" w:color="auto" w:fill="auto"/>
          </w:tcPr>
          <w:p w14:paraId="1FC9FC35" w14:textId="40C0BE5A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Gene39</w:t>
            </w:r>
          </w:p>
        </w:tc>
        <w:tc>
          <w:tcPr>
            <w:tcW w:w="3866" w:type="dxa"/>
            <w:shd w:val="clear" w:color="auto" w:fill="auto"/>
          </w:tcPr>
          <w:p w14:paraId="58890EED" w14:textId="3D534B60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not annotated on the database</w:t>
            </w:r>
          </w:p>
        </w:tc>
      </w:tr>
      <w:tr w:rsidR="009B11CB" w:rsidRPr="004A02C9" w14:paraId="0A5CAC74" w14:textId="1D0E86AC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39B58A81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Gene19</w:t>
            </w:r>
          </w:p>
        </w:tc>
        <w:tc>
          <w:tcPr>
            <w:tcW w:w="3973" w:type="dxa"/>
            <w:shd w:val="clear" w:color="auto" w:fill="auto"/>
          </w:tcPr>
          <w:p w14:paraId="048F592C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not annotated on the database</w:t>
            </w:r>
          </w:p>
        </w:tc>
        <w:tc>
          <w:tcPr>
            <w:tcW w:w="1130" w:type="dxa"/>
            <w:shd w:val="clear" w:color="auto" w:fill="auto"/>
          </w:tcPr>
          <w:p w14:paraId="1CD0EE85" w14:textId="3F7F830F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Gene40</w:t>
            </w:r>
          </w:p>
        </w:tc>
        <w:tc>
          <w:tcPr>
            <w:tcW w:w="3866" w:type="dxa"/>
            <w:shd w:val="clear" w:color="auto" w:fill="auto"/>
          </w:tcPr>
          <w:p w14:paraId="51512F87" w14:textId="19D3A07B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neutral alpha-glucosidase C</w:t>
            </w:r>
          </w:p>
        </w:tc>
      </w:tr>
      <w:tr w:rsidR="009B11CB" w:rsidRPr="004A02C9" w14:paraId="404CAE59" w14:textId="32992CFA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20508BD9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Gene20</w:t>
            </w:r>
          </w:p>
        </w:tc>
        <w:tc>
          <w:tcPr>
            <w:tcW w:w="3973" w:type="dxa"/>
            <w:shd w:val="clear" w:color="auto" w:fill="auto"/>
          </w:tcPr>
          <w:p w14:paraId="4D11D60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adenosine deaminase CECR1-like</w:t>
            </w:r>
          </w:p>
        </w:tc>
        <w:tc>
          <w:tcPr>
            <w:tcW w:w="1130" w:type="dxa"/>
            <w:shd w:val="clear" w:color="auto" w:fill="auto"/>
          </w:tcPr>
          <w:p w14:paraId="40870E97" w14:textId="66C053D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Gene41</w:t>
            </w:r>
          </w:p>
        </w:tc>
        <w:tc>
          <w:tcPr>
            <w:tcW w:w="3866" w:type="dxa"/>
            <w:shd w:val="clear" w:color="auto" w:fill="auto"/>
          </w:tcPr>
          <w:p w14:paraId="395F51FB" w14:textId="7B5D520B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proofErr w:type="spellStart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myb</w:t>
            </w:r>
            <w:proofErr w:type="spellEnd"/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/SANT-like DNA-binding domain-containing protein 3</w:t>
            </w:r>
          </w:p>
        </w:tc>
      </w:tr>
      <w:tr w:rsidR="009B11CB" w:rsidRPr="004A02C9" w14:paraId="4384AC7B" w14:textId="18D8D7E3" w:rsidTr="004A02C9">
        <w:trPr>
          <w:trHeight w:val="250"/>
        </w:trPr>
        <w:tc>
          <w:tcPr>
            <w:tcW w:w="1023" w:type="dxa"/>
            <w:shd w:val="clear" w:color="auto" w:fill="auto"/>
          </w:tcPr>
          <w:p w14:paraId="58C96412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Gene21</w:t>
            </w:r>
          </w:p>
        </w:tc>
        <w:tc>
          <w:tcPr>
            <w:tcW w:w="3973" w:type="dxa"/>
            <w:shd w:val="clear" w:color="auto" w:fill="auto"/>
          </w:tcPr>
          <w:p w14:paraId="4110FB47" w14:textId="77777777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Gram-negative bacteria binding protein 1</w:t>
            </w:r>
          </w:p>
        </w:tc>
        <w:tc>
          <w:tcPr>
            <w:tcW w:w="1130" w:type="dxa"/>
            <w:shd w:val="clear" w:color="auto" w:fill="auto"/>
          </w:tcPr>
          <w:p w14:paraId="0B8419FB" w14:textId="46216243" w:rsidR="009B11CB" w:rsidRPr="004A02C9" w:rsidRDefault="009B11CB" w:rsidP="00DA716B">
            <w:pPr>
              <w:wordWrap/>
              <w:adjustRightInd w:val="0"/>
              <w:spacing w:after="0" w:line="36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Gene42</w:t>
            </w:r>
          </w:p>
        </w:tc>
        <w:tc>
          <w:tcPr>
            <w:tcW w:w="3866" w:type="dxa"/>
            <w:shd w:val="clear" w:color="auto" w:fill="auto"/>
          </w:tcPr>
          <w:p w14:paraId="51DEE0CD" w14:textId="09C37E55" w:rsidR="009B11CB" w:rsidRPr="004A02C9" w:rsidRDefault="009B11CB" w:rsidP="00DA716B">
            <w:pPr>
              <w:wordWrap/>
              <w:adjustRightInd w:val="0"/>
              <w:spacing w:after="0" w:line="360" w:lineRule="auto"/>
              <w:ind w:rightChars="-13" w:right="-26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4A02C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hypothetical protein</w:t>
            </w:r>
          </w:p>
        </w:tc>
      </w:tr>
    </w:tbl>
    <w:p w14:paraId="6D019696" w14:textId="6D41CFCA" w:rsidR="004A02C9" w:rsidRPr="004A02C9" w:rsidRDefault="004A02C9" w:rsidP="00DA716B">
      <w:pPr>
        <w:spacing w:line="360" w:lineRule="auto"/>
        <w:ind w:rightChars="-11" w:right="-22" w:hanging="1"/>
        <w:rPr>
          <w:rFonts w:ascii="Arial" w:hAnsi="Arial" w:cs="Arial"/>
          <w:b/>
          <w:bCs/>
          <w:sz w:val="24"/>
          <w:szCs w:val="28"/>
        </w:rPr>
      </w:pPr>
      <w:r w:rsidRPr="004A02C9">
        <w:rPr>
          <w:rFonts w:ascii="Arial" w:hAnsi="Arial" w:cs="Arial"/>
          <w:b/>
          <w:bCs/>
          <w:sz w:val="24"/>
          <w:szCs w:val="28"/>
        </w:rPr>
        <w:t xml:space="preserve">Table S4. </w:t>
      </w:r>
      <w:r w:rsidRPr="004A02C9">
        <w:rPr>
          <w:rFonts w:ascii="Arial" w:hAnsi="Arial" w:cs="Arial"/>
          <w:sz w:val="24"/>
          <w:szCs w:val="28"/>
        </w:rPr>
        <w:t>Genes simultaneously upregulated in the PE-fed group compared to both the Bran-fed and Starved groups</w:t>
      </w:r>
      <w:r>
        <w:rPr>
          <w:rFonts w:ascii="Arial" w:hAnsi="Arial" w:cs="Arial"/>
          <w:sz w:val="24"/>
          <w:szCs w:val="28"/>
        </w:rPr>
        <w:t>.</w:t>
      </w:r>
    </w:p>
    <w:sectPr w:rsidR="004A02C9" w:rsidRPr="004A02C9" w:rsidSect="004A02C9">
      <w:pgSz w:w="11906" w:h="16838"/>
      <w:pgMar w:top="1701" w:right="1133" w:bottom="1440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E1291" w14:textId="77777777" w:rsidR="00CE73C2" w:rsidRDefault="00CE73C2" w:rsidP="00106901">
      <w:pPr>
        <w:spacing w:after="0" w:line="240" w:lineRule="auto"/>
      </w:pPr>
      <w:r>
        <w:separator/>
      </w:r>
    </w:p>
  </w:endnote>
  <w:endnote w:type="continuationSeparator" w:id="0">
    <w:p w14:paraId="4128649D" w14:textId="77777777" w:rsidR="00CE73C2" w:rsidRDefault="00CE73C2" w:rsidP="0010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E93FA" w14:textId="77777777" w:rsidR="00CE73C2" w:rsidRDefault="00CE73C2" w:rsidP="00106901">
      <w:pPr>
        <w:spacing w:after="0" w:line="240" w:lineRule="auto"/>
      </w:pPr>
      <w:r>
        <w:separator/>
      </w:r>
    </w:p>
  </w:footnote>
  <w:footnote w:type="continuationSeparator" w:id="0">
    <w:p w14:paraId="3DD7F928" w14:textId="77777777" w:rsidR="00CE73C2" w:rsidRDefault="00CE73C2" w:rsidP="00106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57"/>
    <w:rsid w:val="00094C2F"/>
    <w:rsid w:val="00106901"/>
    <w:rsid w:val="00376D30"/>
    <w:rsid w:val="003C24D1"/>
    <w:rsid w:val="004A02C9"/>
    <w:rsid w:val="005B6FDC"/>
    <w:rsid w:val="00773058"/>
    <w:rsid w:val="008D3457"/>
    <w:rsid w:val="009B11CB"/>
    <w:rsid w:val="00A701FC"/>
    <w:rsid w:val="00AE301F"/>
    <w:rsid w:val="00CE73C2"/>
    <w:rsid w:val="00DA716B"/>
    <w:rsid w:val="00E9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B8F11"/>
  <w15:chartTrackingRefBased/>
  <w15:docId w15:val="{03987F4B-F296-405F-AC2D-CEC6CFAF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9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6901"/>
  </w:style>
  <w:style w:type="paragraph" w:styleId="a4">
    <w:name w:val="footer"/>
    <w:basedOn w:val="a"/>
    <w:link w:val="Char0"/>
    <w:uiPriority w:val="99"/>
    <w:unhideWhenUsed/>
    <w:rsid w:val="001069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리플라 주식회사</dc:creator>
  <cp:keywords/>
  <dc:description/>
  <cp:lastModifiedBy>리플라 주식회사</cp:lastModifiedBy>
  <cp:revision>3</cp:revision>
  <dcterms:created xsi:type="dcterms:W3CDTF">2023-12-04T07:26:00Z</dcterms:created>
  <dcterms:modified xsi:type="dcterms:W3CDTF">2023-12-04T07:27:00Z</dcterms:modified>
</cp:coreProperties>
</file>