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A5825" w14:textId="322345BC" w:rsidR="002058EA" w:rsidRPr="00A63C4A" w:rsidRDefault="002058EA" w:rsidP="002058EA">
      <w:pPr>
        <w:pStyle w:val="Heading1"/>
        <w:ind w:left="0"/>
      </w:pPr>
      <w:r w:rsidRPr="00A63C4A">
        <w:t>Supplementary Information</w:t>
      </w:r>
    </w:p>
    <w:p w14:paraId="39745171" w14:textId="77777777" w:rsidR="002058EA" w:rsidRPr="00A63C4A" w:rsidRDefault="002058EA" w:rsidP="002058EA">
      <w:pPr>
        <w:spacing w:line="240" w:lineRule="auto"/>
      </w:pPr>
    </w:p>
    <w:p w14:paraId="3E653943" w14:textId="435D9D22" w:rsidR="002058EA" w:rsidRPr="00A63C4A" w:rsidRDefault="002058EA" w:rsidP="002058EA">
      <w:pPr>
        <w:pStyle w:val="Title"/>
        <w:spacing w:before="0"/>
        <w:ind w:left="0"/>
        <w:rPr>
          <w:sz w:val="24"/>
          <w:szCs w:val="24"/>
        </w:rPr>
      </w:pPr>
      <w:r w:rsidRPr="00A63C4A">
        <w:rPr>
          <w:sz w:val="24"/>
          <w:szCs w:val="24"/>
        </w:rPr>
        <w:t xml:space="preserve">HER2 </w:t>
      </w:r>
      <w:r w:rsidR="00FB335B" w:rsidRPr="00A63C4A">
        <w:rPr>
          <w:sz w:val="24"/>
          <w:szCs w:val="24"/>
        </w:rPr>
        <w:t xml:space="preserve">quantitative continuous scoring for accurate patient selection </w:t>
      </w:r>
      <w:r w:rsidRPr="00A63C4A">
        <w:rPr>
          <w:sz w:val="24"/>
          <w:szCs w:val="24"/>
        </w:rPr>
        <w:t xml:space="preserve">in </w:t>
      </w:r>
      <w:r w:rsidR="00237A65" w:rsidRPr="00A63C4A">
        <w:rPr>
          <w:sz w:val="24"/>
          <w:szCs w:val="24"/>
        </w:rPr>
        <w:br/>
      </w:r>
      <w:r w:rsidRPr="00A63C4A">
        <w:rPr>
          <w:sz w:val="24"/>
          <w:szCs w:val="24"/>
        </w:rPr>
        <w:t xml:space="preserve">HER2-negative </w:t>
      </w:r>
      <w:r w:rsidR="00FB335B" w:rsidRPr="00A63C4A">
        <w:rPr>
          <w:sz w:val="24"/>
          <w:szCs w:val="24"/>
        </w:rPr>
        <w:t>trastuzumab deruxtecan</w:t>
      </w:r>
      <w:r w:rsidRPr="00A63C4A">
        <w:rPr>
          <w:sz w:val="24"/>
          <w:szCs w:val="24"/>
        </w:rPr>
        <w:t>–</w:t>
      </w:r>
      <w:r w:rsidR="00FB335B" w:rsidRPr="00A63C4A">
        <w:rPr>
          <w:sz w:val="24"/>
          <w:szCs w:val="24"/>
        </w:rPr>
        <w:t>tr</w:t>
      </w:r>
      <w:r w:rsidRPr="00A63C4A">
        <w:rPr>
          <w:sz w:val="24"/>
          <w:szCs w:val="24"/>
        </w:rPr>
        <w:t xml:space="preserve">eated </w:t>
      </w:r>
      <w:r w:rsidR="00FB335B" w:rsidRPr="00A63C4A">
        <w:rPr>
          <w:sz w:val="24"/>
          <w:szCs w:val="24"/>
        </w:rPr>
        <w:t>b</w:t>
      </w:r>
      <w:r w:rsidRPr="00A63C4A">
        <w:rPr>
          <w:sz w:val="24"/>
          <w:szCs w:val="24"/>
        </w:rPr>
        <w:t xml:space="preserve">reast </w:t>
      </w:r>
      <w:r w:rsidR="00FB335B" w:rsidRPr="00A63C4A">
        <w:rPr>
          <w:sz w:val="24"/>
          <w:szCs w:val="24"/>
        </w:rPr>
        <w:t>c</w:t>
      </w:r>
      <w:r w:rsidRPr="00A63C4A">
        <w:rPr>
          <w:sz w:val="24"/>
          <w:szCs w:val="24"/>
        </w:rPr>
        <w:t>ancer</w:t>
      </w:r>
    </w:p>
    <w:p w14:paraId="4C5297AE" w14:textId="77777777" w:rsidR="002058EA" w:rsidRPr="00A63C4A" w:rsidRDefault="002058EA" w:rsidP="002058EA">
      <w:pPr>
        <w:tabs>
          <w:tab w:val="left" w:pos="6110"/>
        </w:tabs>
      </w:pPr>
      <w:r w:rsidRPr="00A63C4A">
        <w:t xml:space="preserve"> </w:t>
      </w:r>
      <w:r w:rsidRPr="00A63C4A">
        <w:tab/>
      </w:r>
    </w:p>
    <w:p w14:paraId="1791CDF9" w14:textId="4108EAA4" w:rsidR="002058EA" w:rsidRPr="00A63C4A" w:rsidRDefault="002058EA" w:rsidP="002058EA">
      <w:r w:rsidRPr="00A63C4A">
        <w:t>Ansh Kapil</w:t>
      </w:r>
      <w:r w:rsidRPr="00A63C4A">
        <w:rPr>
          <w:vertAlign w:val="superscript"/>
        </w:rPr>
        <w:t>1</w:t>
      </w:r>
      <w:r w:rsidRPr="00A63C4A">
        <w:t>, Andreas Spitzm</w:t>
      </w:r>
      <w:r w:rsidRPr="00A63C4A">
        <w:rPr>
          <w:rFonts w:cs="Arial"/>
        </w:rPr>
        <w:t>ü</w:t>
      </w:r>
      <w:r w:rsidRPr="00A63C4A">
        <w:t>ller</w:t>
      </w:r>
      <w:r w:rsidRPr="00A63C4A">
        <w:rPr>
          <w:vertAlign w:val="superscript"/>
        </w:rPr>
        <w:t>1</w:t>
      </w:r>
      <w:r w:rsidRPr="00A63C4A">
        <w:t>, Nicolas Brieu</w:t>
      </w:r>
      <w:r w:rsidRPr="00A63C4A">
        <w:rPr>
          <w:vertAlign w:val="superscript"/>
        </w:rPr>
        <w:t>1</w:t>
      </w:r>
      <w:r w:rsidRPr="00A63C4A">
        <w:t>, Susanne Haneder</w:t>
      </w:r>
      <w:r w:rsidRPr="00A63C4A">
        <w:rPr>
          <w:vertAlign w:val="superscript"/>
        </w:rPr>
        <w:t>1</w:t>
      </w:r>
      <w:r w:rsidRPr="00A63C4A">
        <w:t xml:space="preserve">, </w:t>
      </w:r>
      <w:r w:rsidR="00BC424C" w:rsidRPr="00A63C4A">
        <w:br/>
      </w:r>
      <w:r w:rsidRPr="00A63C4A">
        <w:t>Anatoliy Shumilov</w:t>
      </w:r>
      <w:r w:rsidRPr="00A63C4A">
        <w:rPr>
          <w:vertAlign w:val="superscript"/>
        </w:rPr>
        <w:t>1</w:t>
      </w:r>
      <w:r w:rsidRPr="00A63C4A">
        <w:t>, Armin Meier</w:t>
      </w:r>
      <w:r w:rsidRPr="00A63C4A">
        <w:rPr>
          <w:vertAlign w:val="superscript"/>
        </w:rPr>
        <w:t>1</w:t>
      </w:r>
      <w:r w:rsidRPr="00A63C4A">
        <w:t>, Fabiola Cecchi</w:t>
      </w:r>
      <w:r w:rsidRPr="00A63C4A">
        <w:rPr>
          <w:vertAlign w:val="superscript"/>
        </w:rPr>
        <w:t>2</w:t>
      </w:r>
      <w:r w:rsidRPr="00A63C4A">
        <w:t>, Alice Barkell</w:t>
      </w:r>
      <w:r w:rsidRPr="00A63C4A">
        <w:rPr>
          <w:vertAlign w:val="superscript"/>
        </w:rPr>
        <w:t>3</w:t>
      </w:r>
      <w:r w:rsidRPr="00A63C4A">
        <w:t>, Nathalie Harder</w:t>
      </w:r>
      <w:r w:rsidRPr="00A63C4A">
        <w:rPr>
          <w:vertAlign w:val="superscript"/>
        </w:rPr>
        <w:t>1</w:t>
      </w:r>
      <w:r w:rsidRPr="00A63C4A">
        <w:t>, Katrin Schneider</w:t>
      </w:r>
      <w:r w:rsidRPr="00A63C4A">
        <w:rPr>
          <w:vertAlign w:val="superscript"/>
        </w:rPr>
        <w:t>1</w:t>
      </w:r>
      <w:r w:rsidRPr="00A63C4A">
        <w:t>, Ana Hidalgo-Sastre</w:t>
      </w:r>
      <w:r w:rsidRPr="00A63C4A">
        <w:rPr>
          <w:vertAlign w:val="superscript"/>
        </w:rPr>
        <w:t>1</w:t>
      </w:r>
      <w:r w:rsidRPr="00A63C4A">
        <w:t>, Regina Alleze</w:t>
      </w:r>
      <w:r w:rsidRPr="00A63C4A">
        <w:rPr>
          <w:vertAlign w:val="superscript"/>
        </w:rPr>
        <w:t>1</w:t>
      </w:r>
      <w:r w:rsidRPr="00A63C4A">
        <w:t>, Markus Schick</w:t>
      </w:r>
      <w:r w:rsidRPr="00A63C4A">
        <w:rPr>
          <w:vertAlign w:val="superscript"/>
        </w:rPr>
        <w:t>1</w:t>
      </w:r>
      <w:r w:rsidRPr="00A63C4A">
        <w:t xml:space="preserve">, </w:t>
      </w:r>
      <w:r w:rsidR="00BC424C" w:rsidRPr="00A63C4A">
        <w:br/>
      </w:r>
      <w:r w:rsidRPr="00A63C4A">
        <w:t>Günter Schmidt</w:t>
      </w:r>
      <w:r w:rsidRPr="00A63C4A">
        <w:rPr>
          <w:vertAlign w:val="superscript"/>
        </w:rPr>
        <w:t>1</w:t>
      </w:r>
      <w:r w:rsidRPr="00A63C4A">
        <w:t>, Hadassah Sade</w:t>
      </w:r>
      <w:r w:rsidRPr="00A63C4A">
        <w:rPr>
          <w:vertAlign w:val="superscript"/>
        </w:rPr>
        <w:t>1</w:t>
      </w:r>
      <w:r w:rsidRPr="00A63C4A">
        <w:t>, Zenta Tsuchihashi</w:t>
      </w:r>
      <w:r w:rsidRPr="00A63C4A">
        <w:rPr>
          <w:vertAlign w:val="superscript"/>
        </w:rPr>
        <w:t>4</w:t>
      </w:r>
      <w:r w:rsidRPr="00A63C4A">
        <w:t>, Fumitaka Suto</w:t>
      </w:r>
      <w:r w:rsidRPr="00A63C4A">
        <w:rPr>
          <w:vertAlign w:val="superscript"/>
        </w:rPr>
        <w:t>4</w:t>
      </w:r>
      <w:r w:rsidRPr="00A63C4A">
        <w:t xml:space="preserve">, </w:t>
      </w:r>
      <w:r w:rsidR="00BC424C" w:rsidRPr="00A63C4A">
        <w:br/>
      </w:r>
      <w:r w:rsidRPr="00A63C4A">
        <w:t>Mark Gustavson</w:t>
      </w:r>
      <w:r w:rsidRPr="00A63C4A">
        <w:rPr>
          <w:vertAlign w:val="superscript"/>
        </w:rPr>
        <w:t>2</w:t>
      </w:r>
      <w:r w:rsidRPr="00A63C4A">
        <w:t>, J. Carl Barrett</w:t>
      </w:r>
      <w:r w:rsidRPr="00A63C4A">
        <w:rPr>
          <w:vertAlign w:val="superscript"/>
        </w:rPr>
        <w:t>2</w:t>
      </w:r>
      <w:r w:rsidR="005E6163" w:rsidRPr="00A63C4A">
        <w:t xml:space="preserve"> &amp;</w:t>
      </w:r>
      <w:r w:rsidRPr="00A63C4A">
        <w:t xml:space="preserve"> Danielle Carroll</w:t>
      </w:r>
      <w:r w:rsidRPr="00A63C4A">
        <w:rPr>
          <w:vertAlign w:val="superscript"/>
        </w:rPr>
        <w:t>3</w:t>
      </w:r>
    </w:p>
    <w:p w14:paraId="4F97822D" w14:textId="77777777" w:rsidR="002058EA" w:rsidRPr="00A63C4A" w:rsidRDefault="002058EA" w:rsidP="002058EA"/>
    <w:p w14:paraId="0269E573" w14:textId="77777777" w:rsidR="002058EA" w:rsidRPr="00A63C4A" w:rsidRDefault="002058EA" w:rsidP="002058EA">
      <w:pPr>
        <w:rPr>
          <w:rFonts w:cs="Arial"/>
          <w:szCs w:val="24"/>
        </w:rPr>
      </w:pPr>
      <w:r w:rsidRPr="00A63C4A">
        <w:rPr>
          <w:rFonts w:cs="Arial"/>
          <w:szCs w:val="24"/>
          <w:vertAlign w:val="superscript"/>
        </w:rPr>
        <w:t>1</w:t>
      </w:r>
      <w:r w:rsidRPr="00A63C4A">
        <w:rPr>
          <w:rFonts w:cs="Arial"/>
          <w:szCs w:val="24"/>
        </w:rPr>
        <w:t xml:space="preserve">Computational Pathology, Oncology R&amp;D, AstraZeneca, Munich, Germany </w:t>
      </w:r>
      <w:r w:rsidRPr="00A63C4A">
        <w:rPr>
          <w:rFonts w:cs="Arial"/>
          <w:szCs w:val="24"/>
          <w:vertAlign w:val="superscript"/>
        </w:rPr>
        <w:t>2</w:t>
      </w:r>
      <w:r w:rsidRPr="00A63C4A">
        <w:rPr>
          <w:rFonts w:cs="Arial"/>
          <w:szCs w:val="24"/>
        </w:rPr>
        <w:t xml:space="preserve">Translational Medicine, Oncology R&amp;D, AstraZeneca, Gaithersburg, MD, USA </w:t>
      </w:r>
      <w:r w:rsidRPr="00A63C4A">
        <w:rPr>
          <w:rFonts w:cs="Arial"/>
          <w:szCs w:val="24"/>
          <w:vertAlign w:val="superscript"/>
        </w:rPr>
        <w:t>3</w:t>
      </w:r>
      <w:r w:rsidRPr="00A63C4A">
        <w:rPr>
          <w:rFonts w:cs="Arial"/>
          <w:szCs w:val="24"/>
        </w:rPr>
        <w:t xml:space="preserve">Translational Medicine, Oncology R&amp;D, AstraZeneca, Cambridge, UK </w:t>
      </w:r>
    </w:p>
    <w:p w14:paraId="33940BE0" w14:textId="77777777" w:rsidR="002058EA" w:rsidRPr="00A63C4A" w:rsidRDefault="002058EA" w:rsidP="002058EA">
      <w:pPr>
        <w:rPr>
          <w:rFonts w:cs="Arial"/>
          <w:szCs w:val="24"/>
        </w:rPr>
      </w:pPr>
      <w:r w:rsidRPr="00A63C4A">
        <w:rPr>
          <w:rFonts w:cs="Arial"/>
          <w:szCs w:val="24"/>
          <w:vertAlign w:val="superscript"/>
        </w:rPr>
        <w:t>4</w:t>
      </w:r>
      <w:r w:rsidRPr="00A63C4A">
        <w:rPr>
          <w:rFonts w:cs="Arial"/>
          <w:szCs w:val="24"/>
        </w:rPr>
        <w:t>Translational Science, Daiichi Sankyo, Inc., Basking Ridge, NJ, USA</w:t>
      </w:r>
    </w:p>
    <w:p w14:paraId="5B09D8A8" w14:textId="77777777" w:rsidR="002058EA" w:rsidRPr="00A63C4A" w:rsidRDefault="002058EA">
      <w:pPr>
        <w:spacing w:line="240" w:lineRule="auto"/>
        <w:rPr>
          <w:rFonts w:eastAsia="Arial" w:cs="Arial"/>
          <w:b/>
          <w:bCs/>
          <w:szCs w:val="24"/>
        </w:rPr>
      </w:pPr>
      <w:r w:rsidRPr="00A63C4A">
        <w:br w:type="page"/>
      </w:r>
    </w:p>
    <w:p w14:paraId="48AB786F" w14:textId="35C34E43" w:rsidR="002058EA" w:rsidRPr="00A63C4A" w:rsidRDefault="002058EA" w:rsidP="002058EA">
      <w:pPr>
        <w:pStyle w:val="BodyText"/>
        <w:ind w:right="1229"/>
        <w:rPr>
          <w:rFonts w:cs="Arial"/>
          <w:sz w:val="24"/>
          <w:szCs w:val="24"/>
        </w:rPr>
      </w:pPr>
      <w:r w:rsidRPr="00A63C4A">
        <w:rPr>
          <w:rFonts w:cs="Arial"/>
          <w:b/>
          <w:sz w:val="24"/>
          <w:szCs w:val="24"/>
        </w:rPr>
        <w:lastRenderedPageBreak/>
        <w:t xml:space="preserve">Supplementary Table </w:t>
      </w:r>
      <w:r w:rsidR="00C318A3" w:rsidRPr="00A63C4A">
        <w:rPr>
          <w:rFonts w:cs="Arial"/>
          <w:b/>
          <w:sz w:val="24"/>
          <w:szCs w:val="24"/>
        </w:rPr>
        <w:t>S</w:t>
      </w:r>
      <w:r w:rsidRPr="00A63C4A">
        <w:rPr>
          <w:rFonts w:cs="Arial"/>
          <w:b/>
          <w:sz w:val="24"/>
          <w:szCs w:val="24"/>
        </w:rPr>
        <w:t xml:space="preserve">1. </w:t>
      </w:r>
      <w:r w:rsidRPr="00A63C4A">
        <w:rPr>
          <w:rFonts w:cs="Arial"/>
          <w:sz w:val="24"/>
          <w:szCs w:val="24"/>
        </w:rPr>
        <w:t>Terms and definitions used in this manuscript.</w:t>
      </w:r>
    </w:p>
    <w:tbl>
      <w:tblPr>
        <w:tblW w:w="95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0"/>
        <w:gridCol w:w="4680"/>
        <w:gridCol w:w="2430"/>
      </w:tblGrid>
      <w:tr w:rsidR="002058EA" w:rsidRPr="00A63C4A" w14:paraId="6ABF5965" w14:textId="77777777" w:rsidTr="006218A8">
        <w:trPr>
          <w:trHeight w:val="510"/>
        </w:trPr>
        <w:tc>
          <w:tcPr>
            <w:tcW w:w="2430" w:type="dxa"/>
            <w:shd w:val="clear" w:color="auto" w:fill="BFBFBF" w:themeFill="background1" w:themeFillShade="BF"/>
            <w:vAlign w:val="center"/>
          </w:tcPr>
          <w:p w14:paraId="03E326F7" w14:textId="4CC555CE" w:rsidR="00CA6856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b/>
                <w:sz w:val="20"/>
                <w:szCs w:val="20"/>
              </w:rPr>
            </w:pPr>
            <w:r w:rsidRPr="00A63C4A">
              <w:rPr>
                <w:rFonts w:cs="Arial"/>
                <w:b/>
                <w:sz w:val="20"/>
                <w:szCs w:val="20"/>
              </w:rPr>
              <w:t>Term</w:t>
            </w:r>
          </w:p>
        </w:tc>
        <w:tc>
          <w:tcPr>
            <w:tcW w:w="4680" w:type="dxa"/>
            <w:shd w:val="clear" w:color="auto" w:fill="BFBFBF" w:themeFill="background1" w:themeFillShade="BF"/>
            <w:vAlign w:val="center"/>
          </w:tcPr>
          <w:p w14:paraId="3C5A8F8C" w14:textId="77777777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b/>
                <w:sz w:val="20"/>
                <w:szCs w:val="20"/>
              </w:rPr>
            </w:pPr>
            <w:r w:rsidRPr="00A63C4A">
              <w:rPr>
                <w:rFonts w:cs="Arial"/>
                <w:b/>
                <w:sz w:val="20"/>
                <w:szCs w:val="20"/>
              </w:rPr>
              <w:t>Definition</w:t>
            </w:r>
          </w:p>
        </w:tc>
        <w:tc>
          <w:tcPr>
            <w:tcW w:w="2430" w:type="dxa"/>
            <w:shd w:val="clear" w:color="auto" w:fill="BFBFBF" w:themeFill="background1" w:themeFillShade="BF"/>
            <w:vAlign w:val="center"/>
          </w:tcPr>
          <w:p w14:paraId="7941C213" w14:textId="77777777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b/>
                <w:sz w:val="20"/>
                <w:szCs w:val="20"/>
              </w:rPr>
            </w:pPr>
            <w:r w:rsidRPr="00A63C4A">
              <w:rPr>
                <w:rFonts w:cs="Arial"/>
                <w:b/>
                <w:sz w:val="20"/>
                <w:szCs w:val="20"/>
              </w:rPr>
              <w:t>Reference</w:t>
            </w:r>
          </w:p>
        </w:tc>
      </w:tr>
      <w:tr w:rsidR="002058EA" w:rsidRPr="00A63C4A" w14:paraId="69E9FFF0" w14:textId="77777777" w:rsidTr="00CA6856">
        <w:trPr>
          <w:trHeight w:val="720"/>
        </w:trPr>
        <w:tc>
          <w:tcPr>
            <w:tcW w:w="2430" w:type="dxa"/>
            <w:vAlign w:val="center"/>
          </w:tcPr>
          <w:p w14:paraId="49D579B1" w14:textId="77777777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  <w:r w:rsidRPr="00A63C4A">
              <w:rPr>
                <w:rFonts w:cs="Arial"/>
                <w:sz w:val="20"/>
                <w:szCs w:val="20"/>
              </w:rPr>
              <w:t>HER2 IHC status 3+</w:t>
            </w:r>
          </w:p>
        </w:tc>
        <w:tc>
          <w:tcPr>
            <w:tcW w:w="4680" w:type="dxa"/>
            <w:vAlign w:val="center"/>
          </w:tcPr>
          <w:p w14:paraId="1DAA5AC3" w14:textId="77777777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  <w:r w:rsidRPr="00A63C4A">
              <w:rPr>
                <w:rFonts w:cs="Arial"/>
                <w:sz w:val="20"/>
                <w:szCs w:val="20"/>
              </w:rPr>
              <w:t xml:space="preserve">Circumferential membrane staining that is complete, intense, and in </w:t>
            </w:r>
            <w:r w:rsidRPr="00A63C4A">
              <w:rPr>
                <w:rFonts w:cs="Arial"/>
                <w:i/>
                <w:sz w:val="20"/>
                <w:szCs w:val="20"/>
              </w:rPr>
              <w:t>&gt;</w:t>
            </w:r>
            <w:r w:rsidRPr="00A63C4A">
              <w:rPr>
                <w:rFonts w:cs="Arial"/>
                <w:sz w:val="20"/>
                <w:szCs w:val="20"/>
              </w:rPr>
              <w:t>10% of tumor cells</w:t>
            </w:r>
          </w:p>
        </w:tc>
        <w:tc>
          <w:tcPr>
            <w:tcW w:w="2430" w:type="dxa"/>
            <w:vAlign w:val="center"/>
          </w:tcPr>
          <w:p w14:paraId="2B68AE0D" w14:textId="74505974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  <w:r w:rsidRPr="00A63C4A">
              <w:rPr>
                <w:rFonts w:cs="Arial"/>
                <w:sz w:val="20"/>
                <w:szCs w:val="20"/>
              </w:rPr>
              <w:t>2018 ASCO/CAP</w:t>
            </w:r>
            <w:r w:rsidR="009A4074" w:rsidRPr="00A63C4A">
              <w:rPr>
                <w:rFonts w:cs="Arial"/>
                <w:color w:val="0000FF"/>
                <w:sz w:val="20"/>
                <w:szCs w:val="20"/>
                <w:vertAlign w:val="superscript"/>
              </w:rPr>
              <w:t>1</w:t>
            </w:r>
          </w:p>
        </w:tc>
      </w:tr>
      <w:tr w:rsidR="002058EA" w:rsidRPr="00A63C4A" w14:paraId="716AE458" w14:textId="77777777" w:rsidTr="00CA6856">
        <w:trPr>
          <w:trHeight w:val="481"/>
        </w:trPr>
        <w:tc>
          <w:tcPr>
            <w:tcW w:w="2430" w:type="dxa"/>
            <w:vAlign w:val="center"/>
          </w:tcPr>
          <w:p w14:paraId="510C8483" w14:textId="77777777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  <w:r w:rsidRPr="00A63C4A">
              <w:rPr>
                <w:rFonts w:cs="Arial"/>
                <w:sz w:val="20"/>
                <w:szCs w:val="20"/>
              </w:rPr>
              <w:t>HER2 IHC status 2+</w:t>
            </w:r>
          </w:p>
        </w:tc>
        <w:tc>
          <w:tcPr>
            <w:tcW w:w="4680" w:type="dxa"/>
            <w:vAlign w:val="center"/>
          </w:tcPr>
          <w:p w14:paraId="684465C3" w14:textId="77777777" w:rsidR="002058EA" w:rsidRPr="00A63C4A" w:rsidRDefault="002058EA" w:rsidP="0071224E">
            <w:pPr>
              <w:pStyle w:val="TableParagraph"/>
              <w:spacing w:line="240" w:lineRule="auto"/>
              <w:ind w:left="113" w:hanging="10"/>
              <w:rPr>
                <w:rFonts w:cs="Arial"/>
                <w:sz w:val="20"/>
                <w:szCs w:val="20"/>
              </w:rPr>
            </w:pPr>
            <w:r w:rsidRPr="00A63C4A">
              <w:rPr>
                <w:rFonts w:cs="Arial"/>
                <w:sz w:val="20"/>
                <w:szCs w:val="20"/>
              </w:rPr>
              <w:t xml:space="preserve">Weak to moderate complete membrane staining observed in </w:t>
            </w:r>
            <w:r w:rsidRPr="00A63C4A">
              <w:rPr>
                <w:rFonts w:cs="Arial"/>
                <w:i/>
                <w:sz w:val="20"/>
                <w:szCs w:val="20"/>
              </w:rPr>
              <w:t>&gt;</w:t>
            </w:r>
            <w:r w:rsidRPr="00A63C4A">
              <w:rPr>
                <w:rFonts w:cs="Arial"/>
                <w:sz w:val="20"/>
                <w:szCs w:val="20"/>
              </w:rPr>
              <w:t>10% of tumor cells</w:t>
            </w:r>
          </w:p>
        </w:tc>
        <w:tc>
          <w:tcPr>
            <w:tcW w:w="2430" w:type="dxa"/>
            <w:vAlign w:val="center"/>
          </w:tcPr>
          <w:p w14:paraId="2300D151" w14:textId="3D4DA772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  <w:r w:rsidRPr="00A63C4A">
              <w:rPr>
                <w:rFonts w:cs="Arial"/>
                <w:sz w:val="20"/>
                <w:szCs w:val="20"/>
              </w:rPr>
              <w:t>2018 ASCO/CAP</w:t>
            </w:r>
            <w:r w:rsidR="009A4074" w:rsidRPr="00A63C4A">
              <w:rPr>
                <w:rFonts w:cs="Arial"/>
                <w:color w:val="0000FF"/>
                <w:sz w:val="20"/>
                <w:szCs w:val="20"/>
                <w:vertAlign w:val="superscript"/>
              </w:rPr>
              <w:t>1</w:t>
            </w:r>
          </w:p>
        </w:tc>
      </w:tr>
      <w:tr w:rsidR="002058EA" w:rsidRPr="00A63C4A" w14:paraId="6A02DFF4" w14:textId="77777777" w:rsidTr="00CA6856">
        <w:trPr>
          <w:trHeight w:val="720"/>
        </w:trPr>
        <w:tc>
          <w:tcPr>
            <w:tcW w:w="2430" w:type="dxa"/>
            <w:vAlign w:val="center"/>
          </w:tcPr>
          <w:p w14:paraId="2CC6EE98" w14:textId="77777777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  <w:r w:rsidRPr="00A63C4A">
              <w:rPr>
                <w:rFonts w:cs="Arial"/>
                <w:sz w:val="20"/>
                <w:szCs w:val="20"/>
              </w:rPr>
              <w:t>HER2 IHC status 1+</w:t>
            </w:r>
          </w:p>
        </w:tc>
        <w:tc>
          <w:tcPr>
            <w:tcW w:w="4680" w:type="dxa"/>
            <w:vAlign w:val="center"/>
          </w:tcPr>
          <w:p w14:paraId="66BC02FA" w14:textId="77777777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  <w:r w:rsidRPr="00A63C4A">
              <w:rPr>
                <w:rFonts w:cs="Arial"/>
                <w:sz w:val="20"/>
                <w:szCs w:val="20"/>
              </w:rPr>
              <w:t xml:space="preserve">Incomplete membrane staining that is faint or barely perceptible and within </w:t>
            </w:r>
            <w:r w:rsidRPr="00A63C4A">
              <w:rPr>
                <w:rFonts w:cs="Arial"/>
                <w:i/>
                <w:sz w:val="20"/>
                <w:szCs w:val="20"/>
              </w:rPr>
              <w:t>&gt;</w:t>
            </w:r>
            <w:r w:rsidRPr="00A63C4A">
              <w:rPr>
                <w:rFonts w:cs="Arial"/>
                <w:sz w:val="20"/>
                <w:szCs w:val="20"/>
              </w:rPr>
              <w:t>10% of the invasive tumor cells</w:t>
            </w:r>
          </w:p>
        </w:tc>
        <w:tc>
          <w:tcPr>
            <w:tcW w:w="2430" w:type="dxa"/>
            <w:vAlign w:val="center"/>
          </w:tcPr>
          <w:p w14:paraId="55CB0EC8" w14:textId="284C6FA9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  <w:r w:rsidRPr="00A63C4A">
              <w:rPr>
                <w:rFonts w:cs="Arial"/>
                <w:sz w:val="20"/>
                <w:szCs w:val="20"/>
              </w:rPr>
              <w:t>2018 ASCO/CAP</w:t>
            </w:r>
            <w:r w:rsidR="009A4074" w:rsidRPr="00A63C4A">
              <w:rPr>
                <w:rFonts w:cs="Arial"/>
                <w:color w:val="0000FF"/>
                <w:sz w:val="20"/>
                <w:szCs w:val="20"/>
                <w:vertAlign w:val="superscript"/>
              </w:rPr>
              <w:t>1</w:t>
            </w:r>
          </w:p>
        </w:tc>
      </w:tr>
      <w:tr w:rsidR="002058EA" w:rsidRPr="00A63C4A" w14:paraId="1BFF4F52" w14:textId="77777777" w:rsidTr="00CA6856">
        <w:trPr>
          <w:trHeight w:val="959"/>
        </w:trPr>
        <w:tc>
          <w:tcPr>
            <w:tcW w:w="2430" w:type="dxa"/>
            <w:vAlign w:val="center"/>
          </w:tcPr>
          <w:p w14:paraId="0B56708E" w14:textId="77777777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  <w:r w:rsidRPr="00A63C4A">
              <w:rPr>
                <w:rFonts w:cs="Arial"/>
                <w:sz w:val="20"/>
                <w:szCs w:val="20"/>
              </w:rPr>
              <w:t>HER2 IHC status 0</w:t>
            </w:r>
          </w:p>
        </w:tc>
        <w:tc>
          <w:tcPr>
            <w:tcW w:w="4680" w:type="dxa"/>
            <w:vAlign w:val="center"/>
          </w:tcPr>
          <w:p w14:paraId="0E28B40E" w14:textId="77777777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  <w:r w:rsidRPr="00A63C4A">
              <w:rPr>
                <w:rFonts w:cs="Arial"/>
                <w:sz w:val="20"/>
                <w:szCs w:val="20"/>
              </w:rPr>
              <w:t>No staining observed or incomplete membrane staining that is faint or barely perceptible and within ≤10% of the invasive tumor cells</w:t>
            </w:r>
          </w:p>
        </w:tc>
        <w:tc>
          <w:tcPr>
            <w:tcW w:w="2430" w:type="dxa"/>
            <w:vAlign w:val="center"/>
          </w:tcPr>
          <w:p w14:paraId="4A9046F7" w14:textId="3A41AA91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  <w:r w:rsidRPr="00A63C4A">
              <w:rPr>
                <w:rFonts w:cs="Arial"/>
                <w:sz w:val="20"/>
                <w:szCs w:val="20"/>
              </w:rPr>
              <w:t>2018 ASCO/CAP</w:t>
            </w:r>
            <w:r w:rsidR="009A4074" w:rsidRPr="00A63C4A">
              <w:rPr>
                <w:rFonts w:cs="Arial"/>
                <w:color w:val="0000FF"/>
                <w:sz w:val="20"/>
                <w:szCs w:val="20"/>
                <w:vertAlign w:val="superscript"/>
              </w:rPr>
              <w:t>1</w:t>
            </w:r>
          </w:p>
        </w:tc>
      </w:tr>
      <w:tr w:rsidR="002058EA" w:rsidRPr="00A63C4A" w14:paraId="69D2CF57" w14:textId="77777777" w:rsidTr="00CA6856">
        <w:trPr>
          <w:trHeight w:val="476"/>
        </w:trPr>
        <w:tc>
          <w:tcPr>
            <w:tcW w:w="2430" w:type="dxa"/>
            <w:vAlign w:val="center"/>
          </w:tcPr>
          <w:p w14:paraId="2C92AB3F" w14:textId="3B5B9D06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  <w:r w:rsidRPr="00A63C4A">
              <w:rPr>
                <w:rFonts w:cs="Arial"/>
                <w:sz w:val="20"/>
                <w:szCs w:val="20"/>
              </w:rPr>
              <w:t>HER2-positive case</w:t>
            </w:r>
          </w:p>
        </w:tc>
        <w:tc>
          <w:tcPr>
            <w:tcW w:w="4680" w:type="dxa"/>
            <w:vAlign w:val="center"/>
          </w:tcPr>
          <w:p w14:paraId="11C05B0B" w14:textId="373AF9A4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  <w:r w:rsidRPr="00A63C4A">
              <w:rPr>
                <w:rFonts w:cs="Arial"/>
                <w:sz w:val="20"/>
                <w:szCs w:val="20"/>
              </w:rPr>
              <w:t>HER2 IHC status 3+ or HER2 IHC status 2+ and ISH</w:t>
            </w:r>
            <w:r w:rsidR="00230BEE" w:rsidRPr="00A63C4A">
              <w:rPr>
                <w:rFonts w:cs="Arial"/>
                <w:sz w:val="20"/>
                <w:szCs w:val="20"/>
              </w:rPr>
              <w:t>+</w:t>
            </w:r>
            <w:r w:rsidRPr="00A63C4A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430" w:type="dxa"/>
            <w:vAlign w:val="center"/>
          </w:tcPr>
          <w:p w14:paraId="1B716F98" w14:textId="3D3B6DF4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  <w:r w:rsidRPr="00A63C4A">
              <w:rPr>
                <w:rFonts w:cs="Arial"/>
                <w:sz w:val="20"/>
                <w:szCs w:val="20"/>
              </w:rPr>
              <w:t>2018 ASCO/CAP</w:t>
            </w:r>
            <w:r w:rsidR="009A4074" w:rsidRPr="00A63C4A">
              <w:rPr>
                <w:rFonts w:cs="Arial"/>
                <w:color w:val="0000FF"/>
                <w:sz w:val="20"/>
                <w:szCs w:val="20"/>
                <w:vertAlign w:val="superscript"/>
              </w:rPr>
              <w:t>1</w:t>
            </w:r>
          </w:p>
        </w:tc>
      </w:tr>
      <w:tr w:rsidR="002058EA" w:rsidRPr="00A63C4A" w14:paraId="27435D4A" w14:textId="77777777" w:rsidTr="00CA6856">
        <w:trPr>
          <w:trHeight w:val="481"/>
        </w:trPr>
        <w:tc>
          <w:tcPr>
            <w:tcW w:w="2430" w:type="dxa"/>
            <w:vAlign w:val="center"/>
          </w:tcPr>
          <w:p w14:paraId="5769347D" w14:textId="77777777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  <w:r w:rsidRPr="00A63C4A">
              <w:rPr>
                <w:rFonts w:cs="Arial"/>
                <w:sz w:val="20"/>
                <w:szCs w:val="20"/>
              </w:rPr>
              <w:t>HER2-low case</w:t>
            </w:r>
          </w:p>
        </w:tc>
        <w:tc>
          <w:tcPr>
            <w:tcW w:w="4680" w:type="dxa"/>
            <w:vAlign w:val="center"/>
          </w:tcPr>
          <w:p w14:paraId="7A0F9139" w14:textId="3C6F9DC4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  <w:r w:rsidRPr="00A63C4A">
              <w:rPr>
                <w:rFonts w:cs="Arial"/>
                <w:sz w:val="20"/>
                <w:szCs w:val="20"/>
              </w:rPr>
              <w:t>HER2 IHC status 1+</w:t>
            </w:r>
            <w:r w:rsidR="003D5B88">
              <w:rPr>
                <w:rFonts w:cs="Arial"/>
                <w:sz w:val="20"/>
                <w:szCs w:val="20"/>
              </w:rPr>
              <w:t xml:space="preserve"> </w:t>
            </w:r>
            <w:r w:rsidRPr="00A63C4A">
              <w:rPr>
                <w:rFonts w:cs="Arial"/>
                <w:sz w:val="20"/>
                <w:szCs w:val="20"/>
              </w:rPr>
              <w:t>or HER2 IHC status 2+ and ISH</w:t>
            </w:r>
            <w:r w:rsidR="00F275A9" w:rsidRPr="00A63C4A">
              <w:rPr>
                <w:rFonts w:cs="Arial"/>
                <w:sz w:val="20"/>
                <w:szCs w:val="20"/>
              </w:rPr>
              <w:t>−</w:t>
            </w:r>
            <w:r w:rsidRPr="00A63C4A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430" w:type="dxa"/>
            <w:vAlign w:val="center"/>
          </w:tcPr>
          <w:p w14:paraId="4243348A" w14:textId="3E3733BB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  <w:r w:rsidRPr="00A63C4A">
              <w:rPr>
                <w:rFonts w:cs="Arial"/>
                <w:sz w:val="20"/>
                <w:szCs w:val="20"/>
              </w:rPr>
              <w:t>Miglietta et al.</w:t>
            </w:r>
            <w:r w:rsidR="009A4074" w:rsidRPr="00A63C4A">
              <w:rPr>
                <w:rFonts w:cs="Arial"/>
                <w:color w:val="0000FF"/>
                <w:sz w:val="20"/>
                <w:szCs w:val="20"/>
                <w:vertAlign w:val="superscript"/>
              </w:rPr>
              <w:t>2</w:t>
            </w:r>
          </w:p>
        </w:tc>
      </w:tr>
      <w:tr w:rsidR="002058EA" w:rsidRPr="00A63C4A" w14:paraId="0F4BBFAA" w14:textId="77777777" w:rsidTr="00CA6856">
        <w:trPr>
          <w:trHeight w:val="1671"/>
        </w:trPr>
        <w:tc>
          <w:tcPr>
            <w:tcW w:w="2430" w:type="dxa"/>
            <w:vAlign w:val="center"/>
          </w:tcPr>
          <w:p w14:paraId="5E5E9A7A" w14:textId="77777777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  <w:r w:rsidRPr="00A63C4A">
              <w:rPr>
                <w:rFonts w:cs="Arial"/>
                <w:sz w:val="20"/>
                <w:szCs w:val="20"/>
              </w:rPr>
              <w:t>HER2 QCS score</w:t>
            </w:r>
          </w:p>
        </w:tc>
        <w:tc>
          <w:tcPr>
            <w:tcW w:w="4680" w:type="dxa"/>
            <w:vAlign w:val="center"/>
          </w:tcPr>
          <w:p w14:paraId="6E5915CE" w14:textId="0F711007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  <w:r w:rsidRPr="00A63C4A">
              <w:rPr>
                <w:rFonts w:cs="Arial"/>
                <w:sz w:val="20"/>
                <w:szCs w:val="20"/>
              </w:rPr>
              <w:t xml:space="preserve">Statistical aggregation of OD and spatial properties of tumor cells in a WSI. Common aggregation methods involve computation of quantiles of the distribution of OD values of tumor cells or of the </w:t>
            </w:r>
            <w:r w:rsidR="003236C1" w:rsidRPr="00A63C4A">
              <w:rPr>
                <w:rFonts w:cs="Arial"/>
                <w:sz w:val="20"/>
                <w:szCs w:val="20"/>
              </w:rPr>
              <w:br/>
              <w:t>%</w:t>
            </w:r>
            <w:r w:rsidRPr="00A63C4A">
              <w:rPr>
                <w:rFonts w:cs="Arial"/>
                <w:sz w:val="20"/>
                <w:szCs w:val="20"/>
              </w:rPr>
              <w:t xml:space="preserve"> OD-positive tumor cells</w:t>
            </w:r>
          </w:p>
        </w:tc>
        <w:tc>
          <w:tcPr>
            <w:tcW w:w="2430" w:type="dxa"/>
            <w:vAlign w:val="center"/>
          </w:tcPr>
          <w:p w14:paraId="6AA677B8" w14:textId="77777777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</w:p>
        </w:tc>
      </w:tr>
      <w:tr w:rsidR="002058EA" w:rsidRPr="00A63C4A" w14:paraId="7D505813" w14:textId="77777777" w:rsidTr="00CA6856">
        <w:trPr>
          <w:trHeight w:val="476"/>
        </w:trPr>
        <w:tc>
          <w:tcPr>
            <w:tcW w:w="2430" w:type="dxa"/>
            <w:vAlign w:val="center"/>
          </w:tcPr>
          <w:p w14:paraId="68048CDC" w14:textId="77777777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  <w:r w:rsidRPr="00A63C4A">
              <w:rPr>
                <w:rFonts w:cs="Arial"/>
                <w:sz w:val="20"/>
                <w:szCs w:val="20"/>
              </w:rPr>
              <w:t>HER2 QCS-positive</w:t>
            </w:r>
          </w:p>
          <w:p w14:paraId="119CC54B" w14:textId="77777777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  <w:r w:rsidRPr="00A63C4A">
              <w:rPr>
                <w:rFonts w:cs="Arial"/>
                <w:sz w:val="20"/>
                <w:szCs w:val="20"/>
              </w:rPr>
              <w:t>case</w:t>
            </w:r>
          </w:p>
        </w:tc>
        <w:tc>
          <w:tcPr>
            <w:tcW w:w="4680" w:type="dxa"/>
            <w:vAlign w:val="center"/>
          </w:tcPr>
          <w:p w14:paraId="46497AE7" w14:textId="77777777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  <w:r w:rsidRPr="00A63C4A">
              <w:rPr>
                <w:rFonts w:cs="Arial"/>
                <w:sz w:val="20"/>
                <w:szCs w:val="20"/>
              </w:rPr>
              <w:t>HER2 QCS score of a WSI is larger than a predefined cut point</w:t>
            </w:r>
          </w:p>
        </w:tc>
        <w:tc>
          <w:tcPr>
            <w:tcW w:w="2430" w:type="dxa"/>
            <w:vAlign w:val="center"/>
          </w:tcPr>
          <w:p w14:paraId="0BFCD3A7" w14:textId="77777777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</w:p>
        </w:tc>
      </w:tr>
      <w:tr w:rsidR="002058EA" w:rsidRPr="00A63C4A" w14:paraId="416A1F26" w14:textId="77777777" w:rsidTr="00CA6856">
        <w:trPr>
          <w:trHeight w:val="954"/>
        </w:trPr>
        <w:tc>
          <w:tcPr>
            <w:tcW w:w="2430" w:type="dxa"/>
            <w:vAlign w:val="center"/>
          </w:tcPr>
          <w:p w14:paraId="0E4FC9C4" w14:textId="497A5FA3" w:rsidR="002058EA" w:rsidRPr="00A63C4A" w:rsidRDefault="002058EA" w:rsidP="0071224E">
            <w:pPr>
              <w:pStyle w:val="TableParagraph"/>
              <w:tabs>
                <w:tab w:val="left" w:pos="1220"/>
              </w:tabs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  <w:r w:rsidRPr="00A63C4A">
              <w:rPr>
                <w:rFonts w:cs="Arial"/>
                <w:sz w:val="20"/>
                <w:szCs w:val="20"/>
              </w:rPr>
              <w:t>Membrane</w:t>
            </w:r>
            <w:r w:rsidR="00534A3F" w:rsidRPr="00A63C4A">
              <w:rPr>
                <w:rFonts w:cs="Arial"/>
                <w:sz w:val="20"/>
                <w:szCs w:val="20"/>
              </w:rPr>
              <w:t xml:space="preserve"> </w:t>
            </w:r>
            <w:r w:rsidRPr="00A63C4A">
              <w:rPr>
                <w:rFonts w:cs="Arial"/>
                <w:sz w:val="20"/>
                <w:szCs w:val="20"/>
              </w:rPr>
              <w:t>OD</w:t>
            </w:r>
          </w:p>
        </w:tc>
        <w:tc>
          <w:tcPr>
            <w:tcW w:w="4680" w:type="dxa"/>
            <w:vAlign w:val="center"/>
          </w:tcPr>
          <w:p w14:paraId="25FC173B" w14:textId="1505ACA7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  <w:r w:rsidRPr="00A63C4A">
              <w:rPr>
                <w:rFonts w:cs="Arial"/>
                <w:sz w:val="20"/>
                <w:szCs w:val="20"/>
              </w:rPr>
              <w:t>Estimation of the amount of DAB and</w:t>
            </w:r>
            <w:r w:rsidR="009F71FA" w:rsidRPr="00A63C4A">
              <w:rPr>
                <w:rFonts w:cs="Arial"/>
                <w:sz w:val="20"/>
                <w:szCs w:val="20"/>
              </w:rPr>
              <w:t>,</w:t>
            </w:r>
            <w:r w:rsidRPr="00A63C4A">
              <w:rPr>
                <w:rFonts w:cs="Arial"/>
                <w:sz w:val="20"/>
                <w:szCs w:val="20"/>
              </w:rPr>
              <w:t xml:space="preserve"> therefore</w:t>
            </w:r>
            <w:r w:rsidR="009B2B57" w:rsidRPr="00A63C4A">
              <w:rPr>
                <w:rFonts w:cs="Arial"/>
                <w:sz w:val="20"/>
                <w:szCs w:val="20"/>
              </w:rPr>
              <w:t>,</w:t>
            </w:r>
            <w:r w:rsidRPr="00A63C4A">
              <w:rPr>
                <w:rFonts w:cs="Arial"/>
                <w:sz w:val="20"/>
                <w:szCs w:val="20"/>
              </w:rPr>
              <w:t xml:space="preserve"> HER2 protein on tumor cell membrane using the HSD algorithm for digital WSIs</w:t>
            </w:r>
          </w:p>
        </w:tc>
        <w:tc>
          <w:tcPr>
            <w:tcW w:w="2430" w:type="dxa"/>
            <w:vAlign w:val="center"/>
          </w:tcPr>
          <w:p w14:paraId="531400A8" w14:textId="77777777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</w:p>
        </w:tc>
      </w:tr>
      <w:tr w:rsidR="002058EA" w:rsidRPr="00A63C4A" w14:paraId="47983750" w14:textId="77777777" w:rsidTr="00CA6856">
        <w:trPr>
          <w:trHeight w:val="715"/>
        </w:trPr>
        <w:tc>
          <w:tcPr>
            <w:tcW w:w="2430" w:type="dxa"/>
            <w:vAlign w:val="center"/>
          </w:tcPr>
          <w:p w14:paraId="1F39C0C9" w14:textId="77777777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  <w:r w:rsidRPr="00A63C4A">
              <w:rPr>
                <w:rFonts w:cs="Arial"/>
                <w:sz w:val="20"/>
                <w:szCs w:val="20"/>
              </w:rPr>
              <w:t>OD-positive cell</w:t>
            </w:r>
          </w:p>
        </w:tc>
        <w:tc>
          <w:tcPr>
            <w:tcW w:w="4680" w:type="dxa"/>
            <w:vAlign w:val="center"/>
          </w:tcPr>
          <w:p w14:paraId="05A5998B" w14:textId="2E8A898B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  <w:r w:rsidRPr="00A63C4A">
              <w:rPr>
                <w:rFonts w:cs="Arial"/>
                <w:sz w:val="20"/>
                <w:szCs w:val="20"/>
              </w:rPr>
              <w:t>Tumor cell</w:t>
            </w:r>
            <w:r w:rsidR="00B44A56" w:rsidRPr="00A63C4A">
              <w:rPr>
                <w:rFonts w:cs="Arial"/>
                <w:sz w:val="20"/>
                <w:szCs w:val="20"/>
              </w:rPr>
              <w:t>s</w:t>
            </w:r>
            <w:r w:rsidRPr="00A63C4A">
              <w:rPr>
                <w:rFonts w:cs="Arial"/>
                <w:sz w:val="20"/>
                <w:szCs w:val="20"/>
              </w:rPr>
              <w:t xml:space="preserve"> that </w:t>
            </w:r>
            <w:proofErr w:type="gramStart"/>
            <w:r w:rsidRPr="00A63C4A">
              <w:rPr>
                <w:rFonts w:cs="Arial"/>
                <w:sz w:val="20"/>
                <w:szCs w:val="20"/>
              </w:rPr>
              <w:t>shows</w:t>
            </w:r>
            <w:proofErr w:type="gramEnd"/>
            <w:r w:rsidRPr="00A63C4A">
              <w:rPr>
                <w:rFonts w:cs="Arial"/>
                <w:sz w:val="20"/>
                <w:szCs w:val="20"/>
              </w:rPr>
              <w:t xml:space="preserve"> an average membrane and/or cytoplasm OD larger than a predefined threshold</w:t>
            </w:r>
          </w:p>
        </w:tc>
        <w:tc>
          <w:tcPr>
            <w:tcW w:w="2430" w:type="dxa"/>
            <w:vAlign w:val="center"/>
          </w:tcPr>
          <w:p w14:paraId="3D0017A7" w14:textId="77777777" w:rsidR="002058EA" w:rsidRPr="00A63C4A" w:rsidRDefault="002058EA" w:rsidP="0071224E">
            <w:pPr>
              <w:pStyle w:val="TableParagraph"/>
              <w:spacing w:line="240" w:lineRule="auto"/>
              <w:ind w:left="113"/>
              <w:rPr>
                <w:rFonts w:cs="Arial"/>
                <w:sz w:val="20"/>
                <w:szCs w:val="20"/>
              </w:rPr>
            </w:pPr>
          </w:p>
        </w:tc>
      </w:tr>
    </w:tbl>
    <w:p w14:paraId="6F105F8E" w14:textId="77777777" w:rsidR="000F1FAB" w:rsidRPr="00A63C4A" w:rsidRDefault="000F1FAB" w:rsidP="000F1FAB">
      <w:pPr>
        <w:pStyle w:val="BodyText"/>
        <w:spacing w:line="240" w:lineRule="auto"/>
        <w:rPr>
          <w:rFonts w:cs="Arial"/>
        </w:rPr>
      </w:pPr>
    </w:p>
    <w:p w14:paraId="40E11611" w14:textId="175AC1BA" w:rsidR="002058EA" w:rsidRPr="00A63C4A" w:rsidRDefault="002058EA" w:rsidP="00066E04">
      <w:pPr>
        <w:pStyle w:val="BodyText"/>
        <w:spacing w:line="360" w:lineRule="auto"/>
      </w:pPr>
      <w:r w:rsidRPr="00A63C4A">
        <w:rPr>
          <w:rFonts w:cs="Arial"/>
        </w:rPr>
        <w:t>ASCO, American Society of Clinical Oncology; CAP, College of American Pathologists; DAB, 3,3'-diaminobenzidine; HER2, human epidermal growth factor receptor 2; HSD, hue saturation density; IHC, immunohistochemistry; ISH, in situ hybridization; OD, optical density; QCS, quantitative continuous scoring; WSI, whole-slide image.</w:t>
      </w:r>
    </w:p>
    <w:p w14:paraId="161869CA" w14:textId="77777777" w:rsidR="002058EA" w:rsidRPr="00A63C4A" w:rsidRDefault="002058EA" w:rsidP="00066E04">
      <w:pPr>
        <w:spacing w:line="360" w:lineRule="auto"/>
        <w:rPr>
          <w:rFonts w:eastAsia="Arial" w:cs="Arial"/>
          <w:b/>
          <w:bCs/>
          <w:sz w:val="20"/>
          <w:szCs w:val="20"/>
        </w:rPr>
      </w:pPr>
      <w:r w:rsidRPr="00A63C4A">
        <w:rPr>
          <w:sz w:val="20"/>
          <w:szCs w:val="20"/>
        </w:rPr>
        <w:br w:type="page"/>
      </w:r>
    </w:p>
    <w:p w14:paraId="4FE82DDF" w14:textId="6BD61221" w:rsidR="00D7514C" w:rsidRPr="00A63C4A" w:rsidRDefault="00D7514C" w:rsidP="00D7514C">
      <w:pPr>
        <w:pStyle w:val="Heading1"/>
        <w:ind w:left="0"/>
      </w:pPr>
      <w:bookmarkStart w:id="0" w:name="_bookmark37"/>
      <w:bookmarkStart w:id="1" w:name="_bookmark38"/>
      <w:bookmarkStart w:id="2" w:name="_bookmark39"/>
      <w:bookmarkStart w:id="3" w:name="_bookmark40"/>
      <w:bookmarkEnd w:id="0"/>
      <w:bookmarkEnd w:id="1"/>
      <w:bookmarkEnd w:id="2"/>
      <w:bookmarkEnd w:id="3"/>
      <w:r w:rsidRPr="00A63C4A">
        <w:lastRenderedPageBreak/>
        <w:t>Additional Kaplan-Meier analysis curves for progression-free survival with data from NCT02564900 (DS8201-A-J101</w:t>
      </w:r>
      <w:r w:rsidR="00183BC6" w:rsidRPr="00A63C4A">
        <w:t xml:space="preserve"> [J101]</w:t>
      </w:r>
      <w:r w:rsidRPr="00A63C4A">
        <w:t>)</w:t>
      </w:r>
    </w:p>
    <w:p w14:paraId="1934ACFD" w14:textId="77777777" w:rsidR="00D7514C" w:rsidRPr="00A63C4A" w:rsidRDefault="00D7514C" w:rsidP="00D7514C">
      <w:pPr>
        <w:pStyle w:val="BodyText"/>
        <w:rPr>
          <w:rFonts w:cs="Arial"/>
          <w:b/>
          <w:sz w:val="24"/>
          <w:szCs w:val="24"/>
        </w:rPr>
      </w:pPr>
    </w:p>
    <w:p w14:paraId="14DD2BBF" w14:textId="38A0D84A" w:rsidR="00D7514C" w:rsidRPr="00A63C4A" w:rsidRDefault="00D7514C" w:rsidP="00D7514C">
      <w:pPr>
        <w:pStyle w:val="BodyText"/>
        <w:ind w:right="138"/>
        <w:rPr>
          <w:rFonts w:cs="Arial"/>
          <w:sz w:val="24"/>
          <w:szCs w:val="24"/>
        </w:rPr>
      </w:pPr>
      <w:r w:rsidRPr="00A63C4A">
        <w:rPr>
          <w:rFonts w:cs="Arial"/>
          <w:b/>
          <w:sz w:val="24"/>
          <w:szCs w:val="24"/>
        </w:rPr>
        <w:t xml:space="preserve">Supplementary Figure </w:t>
      </w:r>
      <w:r w:rsidR="00BF39B1" w:rsidRPr="00A63C4A">
        <w:rPr>
          <w:rFonts w:cs="Arial"/>
          <w:b/>
          <w:sz w:val="24"/>
          <w:szCs w:val="24"/>
        </w:rPr>
        <w:t>S</w:t>
      </w:r>
      <w:r w:rsidR="00DC6EBA" w:rsidRPr="00A63C4A">
        <w:rPr>
          <w:rFonts w:cs="Arial"/>
          <w:b/>
          <w:sz w:val="24"/>
          <w:szCs w:val="24"/>
        </w:rPr>
        <w:t>1</w:t>
      </w:r>
      <w:r w:rsidRPr="00A63C4A">
        <w:rPr>
          <w:rFonts w:cs="Arial"/>
          <w:b/>
          <w:sz w:val="24"/>
          <w:szCs w:val="24"/>
        </w:rPr>
        <w:t xml:space="preserve">. </w:t>
      </w:r>
      <w:r w:rsidRPr="00A63C4A">
        <w:rPr>
          <w:rFonts w:cs="Arial"/>
          <w:sz w:val="24"/>
          <w:szCs w:val="24"/>
        </w:rPr>
        <w:t xml:space="preserve">Kaplan-Meier curves for patient stratification on </w:t>
      </w:r>
      <w:r w:rsidR="00183BC6" w:rsidRPr="00A63C4A">
        <w:rPr>
          <w:rFonts w:cs="Arial"/>
          <w:sz w:val="24"/>
          <w:szCs w:val="24"/>
        </w:rPr>
        <w:t>J101</w:t>
      </w:r>
      <w:r w:rsidRPr="00A63C4A">
        <w:rPr>
          <w:rFonts w:cs="Arial"/>
          <w:sz w:val="24"/>
          <w:szCs w:val="24"/>
        </w:rPr>
        <w:t xml:space="preserve"> data set using the stromal TIL densities on (</w:t>
      </w:r>
      <w:r w:rsidR="006400A3" w:rsidRPr="00A63C4A">
        <w:rPr>
          <w:rFonts w:cs="Arial"/>
          <w:b/>
          <w:bCs/>
          <w:sz w:val="24"/>
          <w:szCs w:val="24"/>
        </w:rPr>
        <w:t>A</w:t>
      </w:r>
      <w:r w:rsidRPr="00A63C4A">
        <w:rPr>
          <w:rFonts w:cs="Arial"/>
          <w:sz w:val="24"/>
          <w:szCs w:val="24"/>
        </w:rPr>
        <w:t xml:space="preserve">) </w:t>
      </w:r>
      <w:r w:rsidR="00183BC6" w:rsidRPr="00A63C4A">
        <w:rPr>
          <w:rFonts w:cs="Arial"/>
          <w:sz w:val="24"/>
          <w:szCs w:val="24"/>
        </w:rPr>
        <w:t xml:space="preserve">the </w:t>
      </w:r>
      <w:r w:rsidRPr="00A63C4A">
        <w:rPr>
          <w:rFonts w:cs="Arial"/>
          <w:sz w:val="24"/>
          <w:szCs w:val="24"/>
        </w:rPr>
        <w:t>full cohort, (</w:t>
      </w:r>
      <w:r w:rsidR="006400A3" w:rsidRPr="00A63C4A">
        <w:rPr>
          <w:rFonts w:cs="Arial"/>
          <w:b/>
          <w:bCs/>
          <w:sz w:val="24"/>
          <w:szCs w:val="24"/>
        </w:rPr>
        <w:t>B</w:t>
      </w:r>
      <w:r w:rsidRPr="00A63C4A">
        <w:rPr>
          <w:rFonts w:cs="Arial"/>
          <w:sz w:val="24"/>
          <w:szCs w:val="24"/>
        </w:rPr>
        <w:t xml:space="preserve">) </w:t>
      </w:r>
      <w:r w:rsidR="00183BC6" w:rsidRPr="00A63C4A">
        <w:rPr>
          <w:rFonts w:cs="Arial"/>
          <w:sz w:val="24"/>
          <w:szCs w:val="24"/>
        </w:rPr>
        <w:t xml:space="preserve">the </w:t>
      </w:r>
      <w:r w:rsidRPr="00A63C4A">
        <w:rPr>
          <w:rFonts w:cs="Arial"/>
          <w:sz w:val="24"/>
          <w:szCs w:val="24"/>
        </w:rPr>
        <w:t>HER2-negative cohort, and</w:t>
      </w:r>
      <w:r w:rsidRPr="00A63C4A">
        <w:rPr>
          <w:rFonts w:cs="Arial"/>
          <w:b/>
          <w:bCs/>
          <w:sz w:val="24"/>
          <w:szCs w:val="24"/>
        </w:rPr>
        <w:t xml:space="preserve"> </w:t>
      </w:r>
      <w:r w:rsidR="00183BC6" w:rsidRPr="00A63C4A">
        <w:rPr>
          <w:rFonts w:cs="Arial"/>
          <w:sz w:val="24"/>
          <w:szCs w:val="24"/>
        </w:rPr>
        <w:t>(</w:t>
      </w:r>
      <w:r w:rsidR="006400A3" w:rsidRPr="00A63C4A">
        <w:rPr>
          <w:rFonts w:cs="Arial"/>
          <w:b/>
          <w:bCs/>
          <w:sz w:val="24"/>
          <w:szCs w:val="24"/>
        </w:rPr>
        <w:t>C</w:t>
      </w:r>
      <w:r w:rsidR="006400A3" w:rsidRPr="00A63C4A">
        <w:rPr>
          <w:rFonts w:cs="Arial"/>
          <w:sz w:val="24"/>
          <w:szCs w:val="24"/>
        </w:rPr>
        <w:t>)</w:t>
      </w:r>
      <w:r w:rsidRPr="00A63C4A">
        <w:rPr>
          <w:rFonts w:cs="Arial"/>
          <w:sz w:val="24"/>
          <w:szCs w:val="24"/>
        </w:rPr>
        <w:t xml:space="preserve"> </w:t>
      </w:r>
      <w:r w:rsidR="00183BC6" w:rsidRPr="00A63C4A">
        <w:rPr>
          <w:rFonts w:cs="Arial"/>
          <w:sz w:val="24"/>
          <w:szCs w:val="24"/>
        </w:rPr>
        <w:t xml:space="preserve">the </w:t>
      </w:r>
      <w:r w:rsidRPr="00A63C4A">
        <w:rPr>
          <w:rFonts w:cs="Arial"/>
          <w:sz w:val="24"/>
          <w:szCs w:val="24"/>
        </w:rPr>
        <w:t xml:space="preserve">HER2-positive cohort. HER2, human epidermal growth factor receptor 2; </w:t>
      </w:r>
      <w:r w:rsidR="00183BC6" w:rsidRPr="00A63C4A">
        <w:rPr>
          <w:rFonts w:cs="Arial"/>
          <w:sz w:val="24"/>
          <w:szCs w:val="24"/>
        </w:rPr>
        <w:t xml:space="preserve">sTIL, stromal tumor-infiltrating lymphocyte; </w:t>
      </w:r>
      <w:r w:rsidRPr="00A63C4A">
        <w:rPr>
          <w:rFonts w:cs="Arial"/>
          <w:sz w:val="24"/>
          <w:szCs w:val="24"/>
        </w:rPr>
        <w:t>TIL, tumor-infiltrating lymphocyte.</w:t>
      </w:r>
    </w:p>
    <w:p w14:paraId="4C20D84C" w14:textId="03C9031A" w:rsidR="00890E80" w:rsidRPr="00A63C4A" w:rsidRDefault="00890E80" w:rsidP="00D7514C">
      <w:pPr>
        <w:pStyle w:val="BodyText"/>
        <w:ind w:right="138"/>
        <w:rPr>
          <w:rFonts w:cs="Arial"/>
          <w:b/>
          <w:bCs/>
          <w:sz w:val="24"/>
          <w:szCs w:val="24"/>
        </w:rPr>
      </w:pPr>
    </w:p>
    <w:p w14:paraId="03E3FCF5" w14:textId="7482771F" w:rsidR="00D7514C" w:rsidRPr="00A63C4A" w:rsidRDefault="006400A3" w:rsidP="00D7514C">
      <w:pPr>
        <w:pStyle w:val="BodyText"/>
        <w:ind w:right="138"/>
        <w:rPr>
          <w:rFonts w:cs="Arial"/>
          <w:b/>
          <w:bCs/>
          <w:sz w:val="24"/>
          <w:szCs w:val="24"/>
        </w:rPr>
      </w:pPr>
      <w:r w:rsidRPr="00A63C4A">
        <w:rPr>
          <w:rFonts w:cs="Arial"/>
          <w:b/>
          <w:bCs/>
          <w:sz w:val="24"/>
          <w:szCs w:val="24"/>
        </w:rPr>
        <w:t>A</w:t>
      </w:r>
      <w:r w:rsidR="00D7514C" w:rsidRPr="00A63C4A">
        <w:rPr>
          <w:rFonts w:cs="Arial"/>
          <w:b/>
          <w:bCs/>
          <w:sz w:val="24"/>
          <w:szCs w:val="24"/>
        </w:rPr>
        <w:t xml:space="preserve"> </w:t>
      </w:r>
      <w:r w:rsidR="00D7514C" w:rsidRPr="00A63C4A">
        <w:rPr>
          <w:rFonts w:cs="Arial"/>
          <w:b/>
          <w:bCs/>
          <w:noProof/>
          <w:sz w:val="24"/>
          <w:szCs w:val="24"/>
        </w:rPr>
        <w:drawing>
          <wp:inline distT="0" distB="0" distL="0" distR="0" wp14:anchorId="3439F583" wp14:editId="717B5A23">
            <wp:extent cx="5943600" cy="3709670"/>
            <wp:effectExtent l="0" t="0" r="0" b="5080"/>
            <wp:docPr id="34" name="Picture 3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Chart, line char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4DFC9" w14:textId="77777777" w:rsidR="006400A3" w:rsidRPr="00A63C4A" w:rsidRDefault="006400A3" w:rsidP="00D7514C">
      <w:pPr>
        <w:pStyle w:val="BodyText"/>
        <w:ind w:right="138"/>
        <w:rPr>
          <w:rFonts w:cs="Arial"/>
          <w:b/>
          <w:bCs/>
          <w:sz w:val="24"/>
          <w:szCs w:val="24"/>
        </w:rPr>
      </w:pPr>
    </w:p>
    <w:p w14:paraId="6DE206F6" w14:textId="77777777" w:rsidR="006400A3" w:rsidRPr="00A63C4A" w:rsidRDefault="006400A3" w:rsidP="00D7514C">
      <w:pPr>
        <w:pStyle w:val="BodyText"/>
        <w:ind w:right="138"/>
        <w:rPr>
          <w:rFonts w:cs="Arial"/>
          <w:b/>
          <w:bCs/>
          <w:sz w:val="24"/>
          <w:szCs w:val="24"/>
        </w:rPr>
      </w:pPr>
    </w:p>
    <w:p w14:paraId="2FEBB845" w14:textId="3E5F0FA4" w:rsidR="006400A3" w:rsidRPr="00A63C4A" w:rsidRDefault="006400A3" w:rsidP="00D7514C">
      <w:pPr>
        <w:pStyle w:val="BodyText"/>
        <w:ind w:right="138"/>
        <w:rPr>
          <w:rFonts w:cs="Arial"/>
          <w:b/>
          <w:bCs/>
          <w:sz w:val="24"/>
          <w:szCs w:val="24"/>
        </w:rPr>
      </w:pPr>
      <w:r w:rsidRPr="00A63C4A">
        <w:rPr>
          <w:rFonts w:cs="Arial"/>
          <w:b/>
          <w:bCs/>
          <w:sz w:val="24"/>
          <w:szCs w:val="24"/>
        </w:rPr>
        <w:lastRenderedPageBreak/>
        <w:t>B</w:t>
      </w:r>
    </w:p>
    <w:p w14:paraId="5DAA79C4" w14:textId="700E3B3A" w:rsidR="006400A3" w:rsidRPr="00A63C4A" w:rsidRDefault="006400A3" w:rsidP="00D7514C">
      <w:pPr>
        <w:pStyle w:val="BodyText"/>
        <w:ind w:right="138"/>
        <w:rPr>
          <w:rFonts w:cs="Arial"/>
          <w:b/>
          <w:bCs/>
          <w:sz w:val="24"/>
          <w:szCs w:val="24"/>
        </w:rPr>
      </w:pPr>
      <w:r w:rsidRPr="00A63C4A">
        <w:rPr>
          <w:rFonts w:cs="Arial"/>
          <w:b/>
          <w:bCs/>
          <w:noProof/>
          <w:sz w:val="24"/>
          <w:szCs w:val="24"/>
        </w:rPr>
        <w:drawing>
          <wp:inline distT="0" distB="0" distL="0" distR="0" wp14:anchorId="6D0316E7" wp14:editId="2A929F6B">
            <wp:extent cx="5629275" cy="3507471"/>
            <wp:effectExtent l="0" t="0" r="0" b="0"/>
            <wp:docPr id="35" name="Picture 35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picture containing char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38716" cy="3513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2B2B8" w14:textId="0D52439C" w:rsidR="006400A3" w:rsidRPr="00A63C4A" w:rsidRDefault="006400A3" w:rsidP="00D7514C">
      <w:pPr>
        <w:pStyle w:val="BodyText"/>
        <w:ind w:right="138"/>
        <w:rPr>
          <w:rFonts w:cs="Arial"/>
          <w:b/>
          <w:bCs/>
          <w:sz w:val="24"/>
          <w:szCs w:val="24"/>
        </w:rPr>
      </w:pPr>
      <w:r w:rsidRPr="00A63C4A">
        <w:rPr>
          <w:rFonts w:cs="Arial"/>
          <w:b/>
          <w:bCs/>
          <w:sz w:val="24"/>
          <w:szCs w:val="24"/>
        </w:rPr>
        <w:t>C</w:t>
      </w:r>
    </w:p>
    <w:p w14:paraId="1BDAFAEE" w14:textId="77777777" w:rsidR="00D7514C" w:rsidRPr="00A63C4A" w:rsidRDefault="00D7514C" w:rsidP="00D7514C">
      <w:pPr>
        <w:pStyle w:val="BodyText"/>
        <w:ind w:right="138"/>
        <w:rPr>
          <w:rFonts w:cs="Arial"/>
          <w:b/>
          <w:bCs/>
          <w:sz w:val="24"/>
          <w:szCs w:val="24"/>
        </w:rPr>
      </w:pPr>
      <w:r w:rsidRPr="00A63C4A">
        <w:rPr>
          <w:rFonts w:cs="Arial"/>
          <w:b/>
          <w:bCs/>
          <w:noProof/>
          <w:sz w:val="24"/>
          <w:szCs w:val="24"/>
        </w:rPr>
        <w:drawing>
          <wp:inline distT="0" distB="0" distL="0" distR="0" wp14:anchorId="3F9B5334" wp14:editId="73EB11BE">
            <wp:extent cx="5577840" cy="3502468"/>
            <wp:effectExtent l="0" t="0" r="3810" b="3175"/>
            <wp:docPr id="36" name="Picture 3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3502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D931BC" w14:textId="3A55AB8C" w:rsidR="00D7514C" w:rsidRPr="00A63C4A" w:rsidRDefault="00D7514C" w:rsidP="00D7514C">
      <w:pPr>
        <w:pStyle w:val="BodyText"/>
        <w:ind w:right="138"/>
        <w:rPr>
          <w:rFonts w:cs="Arial"/>
          <w:sz w:val="24"/>
          <w:szCs w:val="24"/>
        </w:rPr>
      </w:pPr>
      <w:r w:rsidRPr="00A63C4A">
        <w:rPr>
          <w:rFonts w:cs="Arial"/>
          <w:b/>
          <w:sz w:val="24"/>
          <w:szCs w:val="24"/>
        </w:rPr>
        <w:lastRenderedPageBreak/>
        <w:t xml:space="preserve">Supplementary Figure </w:t>
      </w:r>
      <w:r w:rsidR="00BF39B1" w:rsidRPr="00A63C4A">
        <w:rPr>
          <w:rFonts w:cs="Arial"/>
          <w:b/>
          <w:sz w:val="24"/>
          <w:szCs w:val="24"/>
        </w:rPr>
        <w:t>S</w:t>
      </w:r>
      <w:r w:rsidR="00DC6EBA" w:rsidRPr="00A63C4A">
        <w:rPr>
          <w:rFonts w:cs="Arial"/>
          <w:b/>
          <w:sz w:val="24"/>
          <w:szCs w:val="24"/>
        </w:rPr>
        <w:t>2</w:t>
      </w:r>
      <w:r w:rsidRPr="00A63C4A">
        <w:rPr>
          <w:rFonts w:cs="Arial"/>
          <w:b/>
          <w:sz w:val="24"/>
          <w:szCs w:val="24"/>
        </w:rPr>
        <w:t xml:space="preserve">. </w:t>
      </w:r>
      <w:r w:rsidRPr="00A63C4A">
        <w:rPr>
          <w:rFonts w:cs="Arial"/>
          <w:sz w:val="24"/>
          <w:szCs w:val="24"/>
        </w:rPr>
        <w:t xml:space="preserve">Kaplan-Meier curves for patient stratification on </w:t>
      </w:r>
      <w:r w:rsidR="00183BC6" w:rsidRPr="00A63C4A">
        <w:rPr>
          <w:rFonts w:cs="Arial"/>
          <w:sz w:val="24"/>
          <w:szCs w:val="24"/>
        </w:rPr>
        <w:t>J101</w:t>
      </w:r>
      <w:r w:rsidRPr="00A63C4A">
        <w:rPr>
          <w:rFonts w:cs="Arial"/>
          <w:sz w:val="24"/>
          <w:szCs w:val="24"/>
        </w:rPr>
        <w:t xml:space="preserve"> data set using the bivariate combination of best HER2 QCS-based features and sTIL densities. Stratification using % OD-positive cells or sTIL density for (</w:t>
      </w:r>
      <w:r w:rsidR="006400A3" w:rsidRPr="00A63C4A">
        <w:rPr>
          <w:rFonts w:cs="Arial"/>
          <w:b/>
          <w:bCs/>
          <w:sz w:val="24"/>
          <w:szCs w:val="24"/>
        </w:rPr>
        <w:t>A</w:t>
      </w:r>
      <w:r w:rsidRPr="00A63C4A">
        <w:rPr>
          <w:rFonts w:cs="Arial"/>
          <w:sz w:val="24"/>
          <w:szCs w:val="24"/>
        </w:rPr>
        <w:t xml:space="preserve">) </w:t>
      </w:r>
      <w:r w:rsidR="00183BC6" w:rsidRPr="00A63C4A">
        <w:rPr>
          <w:rFonts w:cs="Arial"/>
          <w:sz w:val="24"/>
          <w:szCs w:val="24"/>
        </w:rPr>
        <w:t xml:space="preserve">the </w:t>
      </w:r>
      <w:r w:rsidRPr="00A63C4A">
        <w:rPr>
          <w:rFonts w:cs="Arial"/>
          <w:sz w:val="24"/>
          <w:szCs w:val="24"/>
        </w:rPr>
        <w:t>full cohort, (</w:t>
      </w:r>
      <w:r w:rsidR="006400A3" w:rsidRPr="00A63C4A">
        <w:rPr>
          <w:rFonts w:cs="Arial"/>
          <w:b/>
          <w:bCs/>
          <w:sz w:val="24"/>
          <w:szCs w:val="24"/>
        </w:rPr>
        <w:t>B</w:t>
      </w:r>
      <w:r w:rsidRPr="00A63C4A">
        <w:rPr>
          <w:rFonts w:cs="Arial"/>
          <w:sz w:val="24"/>
          <w:szCs w:val="24"/>
        </w:rPr>
        <w:t xml:space="preserve">) </w:t>
      </w:r>
      <w:r w:rsidR="00183BC6" w:rsidRPr="00A63C4A">
        <w:rPr>
          <w:rFonts w:cs="Arial"/>
          <w:sz w:val="24"/>
          <w:szCs w:val="24"/>
        </w:rPr>
        <w:t xml:space="preserve">the </w:t>
      </w:r>
      <w:r w:rsidRPr="00A63C4A">
        <w:rPr>
          <w:rFonts w:cs="Arial"/>
          <w:sz w:val="24"/>
          <w:szCs w:val="24"/>
        </w:rPr>
        <w:t>HER2-negative cohort, and (</w:t>
      </w:r>
      <w:r w:rsidR="006400A3" w:rsidRPr="00A63C4A">
        <w:rPr>
          <w:rFonts w:cs="Arial"/>
          <w:b/>
          <w:bCs/>
          <w:sz w:val="24"/>
          <w:szCs w:val="24"/>
        </w:rPr>
        <w:t>C</w:t>
      </w:r>
      <w:r w:rsidRPr="00A63C4A">
        <w:rPr>
          <w:rFonts w:cs="Arial"/>
          <w:sz w:val="24"/>
          <w:szCs w:val="24"/>
        </w:rPr>
        <w:t xml:space="preserve">) </w:t>
      </w:r>
      <w:r w:rsidR="00183BC6" w:rsidRPr="00A63C4A">
        <w:rPr>
          <w:rFonts w:cs="Arial"/>
          <w:sz w:val="24"/>
          <w:szCs w:val="24"/>
        </w:rPr>
        <w:t xml:space="preserve">the </w:t>
      </w:r>
      <w:r w:rsidRPr="00A63C4A">
        <w:rPr>
          <w:rFonts w:cs="Arial"/>
          <w:sz w:val="24"/>
          <w:szCs w:val="24"/>
        </w:rPr>
        <w:t>HER2-positive cohort. Stratification using bSPS or sTIL density for (</w:t>
      </w:r>
      <w:r w:rsidR="006400A3" w:rsidRPr="00A63C4A">
        <w:rPr>
          <w:rFonts w:cs="Arial"/>
          <w:b/>
          <w:bCs/>
          <w:sz w:val="24"/>
          <w:szCs w:val="24"/>
        </w:rPr>
        <w:t>D</w:t>
      </w:r>
      <w:r w:rsidRPr="00A63C4A">
        <w:rPr>
          <w:rFonts w:cs="Arial"/>
          <w:sz w:val="24"/>
          <w:szCs w:val="24"/>
        </w:rPr>
        <w:t xml:space="preserve">) </w:t>
      </w:r>
      <w:r w:rsidR="00183BC6" w:rsidRPr="00A63C4A">
        <w:rPr>
          <w:rFonts w:cs="Arial"/>
          <w:sz w:val="24"/>
          <w:szCs w:val="24"/>
        </w:rPr>
        <w:t xml:space="preserve">the </w:t>
      </w:r>
      <w:r w:rsidRPr="00A63C4A">
        <w:rPr>
          <w:rFonts w:cs="Arial"/>
          <w:sz w:val="24"/>
          <w:szCs w:val="24"/>
        </w:rPr>
        <w:t>full cohort, (</w:t>
      </w:r>
      <w:r w:rsidR="006400A3" w:rsidRPr="00A63C4A">
        <w:rPr>
          <w:rFonts w:cs="Arial"/>
          <w:b/>
          <w:bCs/>
          <w:sz w:val="24"/>
          <w:szCs w:val="24"/>
        </w:rPr>
        <w:t>E</w:t>
      </w:r>
      <w:r w:rsidRPr="00A63C4A">
        <w:rPr>
          <w:rFonts w:cs="Arial"/>
          <w:sz w:val="24"/>
          <w:szCs w:val="24"/>
        </w:rPr>
        <w:t xml:space="preserve">) </w:t>
      </w:r>
      <w:r w:rsidR="00183BC6" w:rsidRPr="00A63C4A">
        <w:rPr>
          <w:rFonts w:cs="Arial"/>
          <w:sz w:val="24"/>
          <w:szCs w:val="24"/>
        </w:rPr>
        <w:t xml:space="preserve">the </w:t>
      </w:r>
      <w:r w:rsidRPr="00A63C4A">
        <w:rPr>
          <w:rFonts w:cs="Arial"/>
          <w:sz w:val="24"/>
          <w:szCs w:val="24"/>
        </w:rPr>
        <w:t>HER2-negative cohort, and (</w:t>
      </w:r>
      <w:r w:rsidR="006400A3" w:rsidRPr="00A63C4A">
        <w:rPr>
          <w:rFonts w:cs="Arial"/>
          <w:b/>
          <w:bCs/>
          <w:sz w:val="24"/>
          <w:szCs w:val="24"/>
        </w:rPr>
        <w:t>F</w:t>
      </w:r>
      <w:r w:rsidRPr="00A63C4A">
        <w:rPr>
          <w:rFonts w:cs="Arial"/>
          <w:sz w:val="24"/>
          <w:szCs w:val="24"/>
        </w:rPr>
        <w:t xml:space="preserve">) </w:t>
      </w:r>
      <w:r w:rsidR="00183BC6" w:rsidRPr="00A63C4A">
        <w:rPr>
          <w:rFonts w:cs="Arial"/>
          <w:sz w:val="24"/>
          <w:szCs w:val="24"/>
        </w:rPr>
        <w:t xml:space="preserve">the </w:t>
      </w:r>
      <w:r w:rsidRPr="00A63C4A">
        <w:rPr>
          <w:rFonts w:cs="Arial"/>
          <w:sz w:val="24"/>
          <w:szCs w:val="24"/>
        </w:rPr>
        <w:t xml:space="preserve">HER2-positive cohort. </w:t>
      </w:r>
      <w:proofErr w:type="spellStart"/>
      <w:r w:rsidRPr="00A63C4A">
        <w:rPr>
          <w:rFonts w:cs="Arial"/>
          <w:sz w:val="24"/>
          <w:szCs w:val="24"/>
        </w:rPr>
        <w:t>bSPS</w:t>
      </w:r>
      <w:proofErr w:type="spellEnd"/>
      <w:r w:rsidRPr="00A63C4A">
        <w:rPr>
          <w:rFonts w:cs="Arial"/>
          <w:sz w:val="24"/>
          <w:szCs w:val="24"/>
        </w:rPr>
        <w:t>, binary spatial pro</w:t>
      </w:r>
      <w:r w:rsidR="00CA5FA6" w:rsidRPr="00A63C4A">
        <w:rPr>
          <w:rFonts w:cs="Arial"/>
          <w:sz w:val="24"/>
          <w:szCs w:val="24"/>
        </w:rPr>
        <w:t>xim</w:t>
      </w:r>
      <w:r w:rsidRPr="00A63C4A">
        <w:rPr>
          <w:rFonts w:cs="Arial"/>
          <w:sz w:val="24"/>
          <w:szCs w:val="24"/>
        </w:rPr>
        <w:t xml:space="preserve">ity scores; HER2, human epidermal growth factor receptor 2; </w:t>
      </w:r>
      <w:r w:rsidR="00183BC6" w:rsidRPr="00A63C4A">
        <w:rPr>
          <w:rFonts w:cs="Arial"/>
          <w:sz w:val="24"/>
          <w:szCs w:val="24"/>
        </w:rPr>
        <w:t xml:space="preserve">Neg, negative; </w:t>
      </w:r>
      <w:r w:rsidRPr="00A63C4A">
        <w:rPr>
          <w:rFonts w:cs="Arial"/>
          <w:sz w:val="24"/>
          <w:szCs w:val="24"/>
        </w:rPr>
        <w:t xml:space="preserve">OD, optical density; </w:t>
      </w:r>
      <w:r w:rsidR="00183BC6" w:rsidRPr="00A63C4A">
        <w:rPr>
          <w:rFonts w:cs="Arial"/>
          <w:sz w:val="24"/>
          <w:szCs w:val="24"/>
        </w:rPr>
        <w:t xml:space="preserve">Pos, positive; </w:t>
      </w:r>
      <w:r w:rsidR="00CF155F" w:rsidRPr="00A63C4A">
        <w:rPr>
          <w:rFonts w:cs="Arial"/>
          <w:sz w:val="24"/>
          <w:szCs w:val="24"/>
        </w:rPr>
        <w:br/>
      </w:r>
      <w:r w:rsidRPr="00A63C4A">
        <w:rPr>
          <w:rFonts w:cs="Arial"/>
          <w:sz w:val="24"/>
          <w:szCs w:val="24"/>
        </w:rPr>
        <w:t>QCS, quantitative continuous scoring; sTIL, stromal tumor-infiltrating lymphocyte.</w:t>
      </w:r>
    </w:p>
    <w:p w14:paraId="3955D8C2" w14:textId="24BBE1DA" w:rsidR="00D7514C" w:rsidRPr="00A63C4A" w:rsidRDefault="006400A3" w:rsidP="00D7514C">
      <w:pPr>
        <w:pStyle w:val="BodyText"/>
        <w:ind w:right="138"/>
        <w:rPr>
          <w:rFonts w:cs="Arial"/>
          <w:sz w:val="24"/>
          <w:szCs w:val="24"/>
        </w:rPr>
      </w:pPr>
      <w:r w:rsidRPr="00A63C4A">
        <w:rPr>
          <w:rFonts w:cs="Arial"/>
          <w:b/>
          <w:bCs/>
          <w:sz w:val="24"/>
          <w:szCs w:val="24"/>
        </w:rPr>
        <w:t>A</w:t>
      </w:r>
      <w:r w:rsidR="00D7514C" w:rsidRPr="00A63C4A">
        <w:rPr>
          <w:rFonts w:cs="Arial"/>
          <w:sz w:val="24"/>
          <w:szCs w:val="24"/>
        </w:rPr>
        <w:t xml:space="preserve"> </w:t>
      </w:r>
      <w:r w:rsidR="00D7514C" w:rsidRPr="00A63C4A">
        <w:rPr>
          <w:rFonts w:cs="Arial"/>
          <w:noProof/>
          <w:sz w:val="24"/>
          <w:szCs w:val="24"/>
        </w:rPr>
        <w:drawing>
          <wp:inline distT="0" distB="0" distL="0" distR="0" wp14:anchorId="0E1BA103" wp14:editId="6C1D20BA">
            <wp:extent cx="5943600" cy="3717925"/>
            <wp:effectExtent l="0" t="0" r="0" b="0"/>
            <wp:docPr id="37" name="Picture 3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Chart, line char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94DB0" w14:textId="4AE293E6" w:rsidR="00D7514C" w:rsidRPr="00A63C4A" w:rsidRDefault="00AB4E01" w:rsidP="00D7514C">
      <w:pPr>
        <w:pStyle w:val="BodyText"/>
        <w:keepNext/>
        <w:widowControl/>
        <w:ind w:right="144"/>
        <w:rPr>
          <w:rFonts w:cs="Arial"/>
          <w:sz w:val="24"/>
          <w:szCs w:val="24"/>
        </w:rPr>
      </w:pPr>
      <w:r w:rsidRPr="00A63C4A">
        <w:rPr>
          <w:rFonts w:cs="Arial"/>
          <w:b/>
          <w:bCs/>
          <w:sz w:val="24"/>
          <w:szCs w:val="24"/>
        </w:rPr>
        <w:lastRenderedPageBreak/>
        <w:t>B</w:t>
      </w:r>
      <w:r w:rsidR="00D7514C" w:rsidRPr="00A63C4A">
        <w:rPr>
          <w:rFonts w:cs="Arial"/>
          <w:sz w:val="24"/>
          <w:szCs w:val="24"/>
        </w:rPr>
        <w:t xml:space="preserve"> </w:t>
      </w:r>
      <w:r w:rsidR="00D7514C" w:rsidRPr="00A63C4A">
        <w:rPr>
          <w:rFonts w:cs="Arial"/>
          <w:noProof/>
          <w:sz w:val="24"/>
          <w:szCs w:val="24"/>
        </w:rPr>
        <w:drawing>
          <wp:inline distT="0" distB="0" distL="0" distR="0" wp14:anchorId="7B63A01C" wp14:editId="347D66E6">
            <wp:extent cx="5743575" cy="3575007"/>
            <wp:effectExtent l="0" t="0" r="0" b="6985"/>
            <wp:docPr id="38" name="Picture 38" descr="Chart, box and whisker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Chart, box and whisker chart&#10;&#10;Description automatically generated with medium confidenc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49638" cy="3578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63028" w14:textId="5C2C841A" w:rsidR="00D7514C" w:rsidRPr="00A63C4A" w:rsidRDefault="00AB4E01" w:rsidP="00D7514C">
      <w:pPr>
        <w:pStyle w:val="BodyText"/>
        <w:ind w:right="138"/>
        <w:rPr>
          <w:rFonts w:cs="Arial"/>
          <w:sz w:val="24"/>
          <w:szCs w:val="24"/>
        </w:rPr>
      </w:pPr>
      <w:r w:rsidRPr="00A63C4A">
        <w:rPr>
          <w:rFonts w:cs="Arial"/>
          <w:b/>
          <w:bCs/>
          <w:sz w:val="24"/>
          <w:szCs w:val="24"/>
        </w:rPr>
        <w:t>C</w:t>
      </w:r>
      <w:r w:rsidR="00D7514C" w:rsidRPr="00A63C4A">
        <w:rPr>
          <w:rFonts w:cs="Arial"/>
          <w:sz w:val="24"/>
          <w:szCs w:val="24"/>
        </w:rPr>
        <w:t xml:space="preserve"> </w:t>
      </w:r>
      <w:r w:rsidR="00D7514C" w:rsidRPr="00A63C4A">
        <w:rPr>
          <w:rFonts w:cs="Arial"/>
          <w:noProof/>
          <w:sz w:val="24"/>
          <w:szCs w:val="24"/>
        </w:rPr>
        <w:drawing>
          <wp:inline distT="0" distB="0" distL="0" distR="0" wp14:anchorId="4DDC8AA7" wp14:editId="49E14B9D">
            <wp:extent cx="5791200" cy="3614550"/>
            <wp:effectExtent l="0" t="0" r="0" b="5080"/>
            <wp:docPr id="39" name="Picture 39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Chart, line char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94036" cy="361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2327E" w14:textId="2E8A3AC5" w:rsidR="00D7514C" w:rsidRPr="00A63C4A" w:rsidRDefault="00AB4E01" w:rsidP="00D7514C">
      <w:pPr>
        <w:pStyle w:val="BodyText"/>
        <w:ind w:right="138"/>
        <w:rPr>
          <w:rFonts w:cs="Arial"/>
          <w:sz w:val="24"/>
          <w:szCs w:val="24"/>
        </w:rPr>
      </w:pPr>
      <w:r w:rsidRPr="00A63C4A">
        <w:rPr>
          <w:rFonts w:cs="Arial"/>
          <w:b/>
          <w:bCs/>
          <w:sz w:val="24"/>
          <w:szCs w:val="24"/>
        </w:rPr>
        <w:lastRenderedPageBreak/>
        <w:t>D</w:t>
      </w:r>
      <w:r w:rsidR="00D7514C" w:rsidRPr="00A63C4A">
        <w:rPr>
          <w:rFonts w:cs="Arial"/>
          <w:sz w:val="24"/>
          <w:szCs w:val="24"/>
        </w:rPr>
        <w:t xml:space="preserve"> </w:t>
      </w:r>
      <w:r w:rsidR="00D7514C" w:rsidRPr="00A63C4A">
        <w:rPr>
          <w:rFonts w:cs="Arial"/>
          <w:noProof/>
          <w:sz w:val="24"/>
          <w:szCs w:val="24"/>
        </w:rPr>
        <w:drawing>
          <wp:inline distT="0" distB="0" distL="0" distR="0" wp14:anchorId="7F753AAF" wp14:editId="631E9981">
            <wp:extent cx="5705475" cy="3570798"/>
            <wp:effectExtent l="0" t="0" r="0" b="0"/>
            <wp:docPr id="40" name="Picture 4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Chart, line char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12191" cy="357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7DBF3" w14:textId="0B39EA01" w:rsidR="00D7514C" w:rsidRPr="00A63C4A" w:rsidRDefault="00AB4E01" w:rsidP="00D7514C">
      <w:pPr>
        <w:pStyle w:val="BodyText"/>
        <w:ind w:right="138"/>
        <w:rPr>
          <w:rFonts w:cs="Arial"/>
          <w:sz w:val="24"/>
          <w:szCs w:val="24"/>
        </w:rPr>
      </w:pPr>
      <w:r w:rsidRPr="00A63C4A">
        <w:rPr>
          <w:rFonts w:cs="Arial"/>
          <w:b/>
          <w:bCs/>
          <w:sz w:val="24"/>
          <w:szCs w:val="24"/>
        </w:rPr>
        <w:t>E</w:t>
      </w:r>
      <w:r w:rsidR="00D7514C" w:rsidRPr="00A63C4A">
        <w:rPr>
          <w:rFonts w:cs="Arial"/>
          <w:sz w:val="24"/>
          <w:szCs w:val="24"/>
        </w:rPr>
        <w:t xml:space="preserve"> </w:t>
      </w:r>
      <w:r w:rsidR="00D7514C" w:rsidRPr="00A63C4A">
        <w:rPr>
          <w:rFonts w:cs="Arial"/>
          <w:noProof/>
          <w:sz w:val="24"/>
          <w:szCs w:val="24"/>
        </w:rPr>
        <w:drawing>
          <wp:inline distT="0" distB="0" distL="0" distR="0" wp14:anchorId="2C6CE91E" wp14:editId="27F3D10B">
            <wp:extent cx="5715000" cy="3592635"/>
            <wp:effectExtent l="0" t="0" r="0" b="8255"/>
            <wp:docPr id="41" name="Picture 4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Char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17636" cy="3594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DBA65" w14:textId="6B17B2BF" w:rsidR="00D7514C" w:rsidRPr="00A63C4A" w:rsidRDefault="00AB4E01" w:rsidP="00D7514C">
      <w:pPr>
        <w:pStyle w:val="BodyText"/>
        <w:ind w:right="138"/>
        <w:rPr>
          <w:rFonts w:cs="Arial"/>
          <w:sz w:val="24"/>
          <w:szCs w:val="24"/>
        </w:rPr>
      </w:pPr>
      <w:r w:rsidRPr="00A63C4A">
        <w:rPr>
          <w:rFonts w:cs="Arial"/>
          <w:b/>
          <w:bCs/>
          <w:sz w:val="24"/>
          <w:szCs w:val="24"/>
        </w:rPr>
        <w:lastRenderedPageBreak/>
        <w:t>F</w:t>
      </w:r>
      <w:r w:rsidR="00D7514C" w:rsidRPr="00A63C4A">
        <w:rPr>
          <w:rFonts w:cs="Arial"/>
          <w:sz w:val="24"/>
          <w:szCs w:val="24"/>
        </w:rPr>
        <w:t xml:space="preserve"> </w:t>
      </w:r>
      <w:r w:rsidR="00D7514C" w:rsidRPr="00A63C4A">
        <w:rPr>
          <w:rFonts w:cs="Arial"/>
          <w:noProof/>
          <w:sz w:val="24"/>
          <w:szCs w:val="24"/>
        </w:rPr>
        <w:drawing>
          <wp:inline distT="0" distB="0" distL="0" distR="0" wp14:anchorId="2233C2AC" wp14:editId="4FA74B0B">
            <wp:extent cx="5943600" cy="3732530"/>
            <wp:effectExtent l="0" t="0" r="0" b="1270"/>
            <wp:docPr id="42" name="Picture 4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Chart, line char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46240" w14:textId="77777777" w:rsidR="00D7514C" w:rsidRPr="00A63C4A" w:rsidRDefault="00D7514C" w:rsidP="00D7514C">
      <w:pPr>
        <w:spacing w:line="240" w:lineRule="auto"/>
        <w:rPr>
          <w:rFonts w:cs="Arial"/>
          <w:szCs w:val="24"/>
        </w:rPr>
      </w:pPr>
      <w:r w:rsidRPr="00A63C4A">
        <w:rPr>
          <w:rFonts w:cs="Arial"/>
          <w:szCs w:val="24"/>
        </w:rPr>
        <w:br w:type="page"/>
      </w:r>
    </w:p>
    <w:p w14:paraId="41BF4DF2" w14:textId="5F10221E" w:rsidR="00D7514C" w:rsidRPr="00A63C4A" w:rsidRDefault="00D7514C" w:rsidP="00D7514C">
      <w:pPr>
        <w:pStyle w:val="Heading1"/>
        <w:ind w:left="0" w:right="151"/>
      </w:pPr>
      <w:r w:rsidRPr="00A63C4A">
        <w:lastRenderedPageBreak/>
        <w:t xml:space="preserve">Application of </w:t>
      </w:r>
      <w:r w:rsidR="00606350" w:rsidRPr="00A63C4A">
        <w:t>quantitative continuous scoring</w:t>
      </w:r>
      <w:r w:rsidRPr="00A63C4A">
        <w:t>-</w:t>
      </w:r>
      <w:r w:rsidR="00890E80" w:rsidRPr="00A63C4A">
        <w:t>b</w:t>
      </w:r>
      <w:r w:rsidRPr="00A63C4A">
        <w:t xml:space="preserve">ased </w:t>
      </w:r>
      <w:r w:rsidR="00890E80" w:rsidRPr="00A63C4A">
        <w:t>a</w:t>
      </w:r>
      <w:r w:rsidRPr="00A63C4A">
        <w:t xml:space="preserve">nalysis on </w:t>
      </w:r>
      <w:r w:rsidR="00EE6F11" w:rsidRPr="00A63C4A">
        <w:t>immuno-oncology–</w:t>
      </w:r>
      <w:r w:rsidR="00890E80" w:rsidRPr="00A63C4A">
        <w:t>t</w:t>
      </w:r>
      <w:r w:rsidRPr="00A63C4A">
        <w:t>reated (</w:t>
      </w:r>
      <w:r w:rsidR="00890E80" w:rsidRPr="00A63C4A">
        <w:t>a</w:t>
      </w:r>
      <w:r w:rsidRPr="00A63C4A">
        <w:t>nti–PD-L1–</w:t>
      </w:r>
      <w:r w:rsidR="00890E80" w:rsidRPr="00A63C4A">
        <w:t>t</w:t>
      </w:r>
      <w:r w:rsidRPr="00A63C4A">
        <w:t xml:space="preserve">reated) </w:t>
      </w:r>
      <w:r w:rsidR="00890E80" w:rsidRPr="00A63C4A">
        <w:t>c</w:t>
      </w:r>
      <w:r w:rsidRPr="00A63C4A">
        <w:t xml:space="preserve">linical </w:t>
      </w:r>
      <w:r w:rsidR="00890E80" w:rsidRPr="00A63C4A">
        <w:t>t</w:t>
      </w:r>
      <w:r w:rsidRPr="00A63C4A">
        <w:t xml:space="preserve">rial </w:t>
      </w:r>
      <w:proofErr w:type="gramStart"/>
      <w:r w:rsidR="00890E80" w:rsidRPr="00A63C4A">
        <w:t>d</w:t>
      </w:r>
      <w:r w:rsidRPr="00A63C4A">
        <w:t>ata</w:t>
      </w:r>
      <w:proofErr w:type="gramEnd"/>
    </w:p>
    <w:p w14:paraId="631E19F9" w14:textId="48028CFB" w:rsidR="00D7514C" w:rsidRPr="00A63C4A" w:rsidRDefault="00D7514C" w:rsidP="00D7514C">
      <w:pPr>
        <w:pStyle w:val="BodyText"/>
        <w:ind w:right="136" w:hanging="7"/>
        <w:rPr>
          <w:rFonts w:cs="Arial"/>
          <w:sz w:val="24"/>
          <w:szCs w:val="24"/>
        </w:rPr>
      </w:pPr>
      <w:r w:rsidRPr="00A63C4A">
        <w:rPr>
          <w:rFonts w:cs="Arial"/>
          <w:sz w:val="24"/>
          <w:szCs w:val="24"/>
        </w:rPr>
        <w:t>The pathologist’s visual assessment of tumor proportion score (TPS) on anti</w:t>
      </w:r>
      <w:r w:rsidR="00E03CB1" w:rsidRPr="00A63C4A">
        <w:rPr>
          <w:rFonts w:cs="Arial"/>
          <w:sz w:val="24"/>
          <w:szCs w:val="24"/>
        </w:rPr>
        <w:t>–</w:t>
      </w:r>
      <w:r w:rsidRPr="00A63C4A">
        <w:rPr>
          <w:rFonts w:cs="Arial"/>
          <w:sz w:val="24"/>
          <w:szCs w:val="24"/>
        </w:rPr>
        <w:t>programmed death</w:t>
      </w:r>
      <w:r w:rsidR="000B7019" w:rsidRPr="00A63C4A">
        <w:rPr>
          <w:rFonts w:cs="Arial"/>
          <w:sz w:val="24"/>
          <w:szCs w:val="24"/>
        </w:rPr>
        <w:t>-</w:t>
      </w:r>
      <w:r w:rsidRPr="00A63C4A">
        <w:rPr>
          <w:rFonts w:cs="Arial"/>
          <w:sz w:val="24"/>
          <w:szCs w:val="24"/>
        </w:rPr>
        <w:t>ligand 1 (PD-L1)–stained tissue samples is an established method to select patients with metastatic non-small cell lung cancer (NSCLC) who are likely to respond to anti</w:t>
      </w:r>
      <w:r w:rsidR="00A10DDB" w:rsidRPr="00A63C4A">
        <w:rPr>
          <w:rFonts w:cs="Arial"/>
          <w:sz w:val="24"/>
          <w:szCs w:val="24"/>
        </w:rPr>
        <w:t>–</w:t>
      </w:r>
      <w:r w:rsidR="00FF161E" w:rsidRPr="00A63C4A">
        <w:rPr>
          <w:rFonts w:cs="Arial"/>
          <w:sz w:val="24"/>
          <w:szCs w:val="24"/>
        </w:rPr>
        <w:t>PD</w:t>
      </w:r>
      <w:r w:rsidR="00C32A94" w:rsidRPr="00A63C4A">
        <w:rPr>
          <w:rFonts w:cs="Arial"/>
          <w:sz w:val="24"/>
          <w:szCs w:val="24"/>
        </w:rPr>
        <w:t>-L1</w:t>
      </w:r>
      <w:r w:rsidR="00EF4BBC" w:rsidRPr="00A63C4A">
        <w:rPr>
          <w:rFonts w:cs="Arial"/>
          <w:sz w:val="24"/>
          <w:szCs w:val="24"/>
        </w:rPr>
        <w:t xml:space="preserve"> </w:t>
      </w:r>
      <w:r w:rsidRPr="00A63C4A">
        <w:rPr>
          <w:rFonts w:cs="Arial"/>
          <w:sz w:val="24"/>
          <w:szCs w:val="24"/>
        </w:rPr>
        <w:t>/</w:t>
      </w:r>
      <w:r w:rsidR="00EF4BBC" w:rsidRPr="00A63C4A">
        <w:rPr>
          <w:rFonts w:cs="Arial"/>
          <w:sz w:val="24"/>
          <w:szCs w:val="24"/>
        </w:rPr>
        <w:t xml:space="preserve"> </w:t>
      </w:r>
      <w:r w:rsidRPr="00A63C4A">
        <w:rPr>
          <w:rFonts w:cs="Arial"/>
          <w:sz w:val="24"/>
          <w:szCs w:val="24"/>
        </w:rPr>
        <w:t>PD-L1 monotherapy</w:t>
      </w:r>
      <w:r w:rsidR="003E3DBB" w:rsidRPr="00A63C4A">
        <w:rPr>
          <w:rFonts w:cs="Arial"/>
          <w:color w:val="0000FF"/>
          <w:sz w:val="24"/>
          <w:szCs w:val="24"/>
          <w:vertAlign w:val="superscript"/>
        </w:rPr>
        <w:t>3</w:t>
      </w:r>
      <w:r w:rsidRPr="00A63C4A">
        <w:rPr>
          <w:rFonts w:cs="Arial"/>
          <w:sz w:val="24"/>
          <w:szCs w:val="24"/>
        </w:rPr>
        <w:t xml:space="preserve">. The quantitative continuous scoring (QCS)-based analysis of PD-L1 can redefine the PD-L1 TPS estimation by allowing PD-L1 to be scored in a more objective and quantifiable </w:t>
      </w:r>
      <w:r w:rsidR="001162B1" w:rsidRPr="00A63C4A">
        <w:rPr>
          <w:rFonts w:cs="Arial"/>
          <w:sz w:val="24"/>
          <w:szCs w:val="24"/>
        </w:rPr>
        <w:t>manner</w:t>
      </w:r>
      <w:r w:rsidRPr="00A63C4A">
        <w:rPr>
          <w:rFonts w:cs="Arial"/>
          <w:sz w:val="24"/>
          <w:szCs w:val="24"/>
        </w:rPr>
        <w:t>.</w:t>
      </w:r>
    </w:p>
    <w:p w14:paraId="14D7563A" w14:textId="77777777" w:rsidR="00D7514C" w:rsidRPr="00A63C4A" w:rsidRDefault="00D7514C" w:rsidP="00D7514C">
      <w:pPr>
        <w:pStyle w:val="BodyText"/>
        <w:rPr>
          <w:rFonts w:cs="Arial"/>
          <w:sz w:val="24"/>
          <w:szCs w:val="24"/>
        </w:rPr>
      </w:pPr>
    </w:p>
    <w:p w14:paraId="12C8626C" w14:textId="1E6DD8AC" w:rsidR="00C87312" w:rsidRPr="00A63C4A" w:rsidRDefault="00C87312" w:rsidP="00C87312">
      <w:pPr>
        <w:pStyle w:val="BodyText"/>
        <w:ind w:right="148"/>
        <w:rPr>
          <w:rFonts w:cs="Arial"/>
          <w:sz w:val="24"/>
          <w:szCs w:val="24"/>
        </w:rPr>
      </w:pPr>
      <w:r w:rsidRPr="00A63C4A">
        <w:rPr>
          <w:rFonts w:cs="Arial"/>
          <w:sz w:val="24"/>
          <w:szCs w:val="24"/>
        </w:rPr>
        <w:t>By applying the QCS-based image analysis pipeline using</w:t>
      </w:r>
      <w:r w:rsidR="003E3DBB" w:rsidRPr="00A63C4A">
        <w:rPr>
          <w:rFonts w:cs="Arial"/>
          <w:color w:val="0000FF"/>
          <w:sz w:val="24"/>
          <w:szCs w:val="24"/>
          <w:vertAlign w:val="superscript"/>
        </w:rPr>
        <w:t>4</w:t>
      </w:r>
      <w:r w:rsidRPr="00A63C4A">
        <w:rPr>
          <w:rFonts w:cs="Arial"/>
          <w:color w:val="0000FF"/>
          <w:sz w:val="24"/>
          <w:szCs w:val="24"/>
        </w:rPr>
        <w:t xml:space="preserve"> </w:t>
      </w:r>
      <w:r w:rsidRPr="00A63C4A">
        <w:rPr>
          <w:rFonts w:cs="Arial"/>
          <w:sz w:val="24"/>
          <w:szCs w:val="24"/>
        </w:rPr>
        <w:t>the epithelial segmentation model, the PD-L1 expression of each tumor cell compartment was estimated by the respective optical density (OD) of 3,3-diaminobenzidine</w:t>
      </w:r>
      <w:r w:rsidR="00F17B0D" w:rsidRPr="00A63C4A">
        <w:rPr>
          <w:rFonts w:cs="Arial"/>
          <w:sz w:val="24"/>
          <w:szCs w:val="24"/>
        </w:rPr>
        <w:t xml:space="preserve"> (DAB)</w:t>
      </w:r>
      <w:r w:rsidRPr="00A63C4A">
        <w:rPr>
          <w:rFonts w:cs="Arial"/>
          <w:sz w:val="24"/>
          <w:szCs w:val="24"/>
        </w:rPr>
        <w:t xml:space="preserve">, and tumor cells with a membrane OD greater than </w:t>
      </w:r>
      <w:proofErr w:type="spellStart"/>
      <w:r w:rsidRPr="00A63C4A">
        <w:rPr>
          <w:rFonts w:cs="Arial"/>
          <w:iCs/>
          <w:sz w:val="24"/>
          <w:szCs w:val="24"/>
        </w:rPr>
        <w:t>OD</w:t>
      </w:r>
      <w:r w:rsidRPr="00A63C4A">
        <w:rPr>
          <w:rFonts w:cs="Arial"/>
          <w:iCs/>
          <w:sz w:val="24"/>
          <w:szCs w:val="24"/>
          <w:vertAlign w:val="subscript"/>
        </w:rPr>
        <w:t>threshold</w:t>
      </w:r>
      <w:proofErr w:type="spellEnd"/>
      <w:r w:rsidRPr="00A63C4A">
        <w:rPr>
          <w:rFonts w:cs="Arial"/>
          <w:iCs/>
          <w:sz w:val="24"/>
          <w:szCs w:val="24"/>
        </w:rPr>
        <w:t xml:space="preserve"> </w:t>
      </w:r>
      <w:r w:rsidR="0010110F">
        <w:rPr>
          <w:rFonts w:cs="Arial"/>
          <w:iCs/>
          <w:sz w:val="24"/>
          <w:szCs w:val="24"/>
        </w:rPr>
        <w:t>(</w:t>
      </w:r>
      <w:r w:rsidR="007E643F" w:rsidRPr="007E643F">
        <w:rPr>
          <w:rFonts w:cs="Arial"/>
          <w:iCs/>
          <w:sz w:val="24"/>
          <w:szCs w:val="24"/>
        </w:rPr>
        <w:t>refers to the OD threshold set to label a cell OD positive</w:t>
      </w:r>
      <w:r w:rsidR="006A5DF0">
        <w:rPr>
          <w:rFonts w:cs="Arial"/>
          <w:iCs/>
          <w:sz w:val="24"/>
          <w:szCs w:val="24"/>
        </w:rPr>
        <w:t xml:space="preserve">) </w:t>
      </w:r>
      <w:r w:rsidR="00D13C83" w:rsidRPr="00A63C4A">
        <w:rPr>
          <w:rFonts w:cs="Arial"/>
          <w:iCs/>
          <w:sz w:val="24"/>
          <w:szCs w:val="24"/>
        </w:rPr>
        <w:t>we</w:t>
      </w:r>
      <w:r w:rsidRPr="00A63C4A">
        <w:rPr>
          <w:rFonts w:cs="Arial"/>
          <w:sz w:val="24"/>
          <w:szCs w:val="24"/>
        </w:rPr>
        <w:t xml:space="preserve">re considered OD positive. A slide comprising a greater percentage of OD-positive tumor cells than a cut-point value </w:t>
      </w:r>
      <w:r w:rsidR="00D13C83" w:rsidRPr="00A63C4A">
        <w:rPr>
          <w:rFonts w:cs="Arial"/>
          <w:sz w:val="24"/>
          <w:szCs w:val="24"/>
        </w:rPr>
        <w:t>wa</w:t>
      </w:r>
      <w:r w:rsidRPr="00A63C4A">
        <w:rPr>
          <w:rFonts w:cs="Arial"/>
          <w:sz w:val="24"/>
          <w:szCs w:val="24"/>
        </w:rPr>
        <w:t>s considered QCS positive (</w:t>
      </w:r>
      <w:r w:rsidR="0025780D" w:rsidRPr="00A63C4A">
        <w:rPr>
          <w:rFonts w:cs="Arial"/>
          <w:sz w:val="24"/>
          <w:szCs w:val="24"/>
        </w:rPr>
        <w:t xml:space="preserve">see Supplementary </w:t>
      </w:r>
      <w:r w:rsidRPr="00A63C4A">
        <w:rPr>
          <w:rFonts w:cs="Arial"/>
          <w:sz w:val="24"/>
          <w:szCs w:val="24"/>
        </w:rPr>
        <w:t>Fig</w:t>
      </w:r>
      <w:r w:rsidR="00181277" w:rsidRPr="00A63C4A">
        <w:rPr>
          <w:rFonts w:cs="Arial"/>
          <w:sz w:val="24"/>
          <w:szCs w:val="24"/>
        </w:rPr>
        <w:t>.</w:t>
      </w:r>
      <w:r w:rsidRPr="00A63C4A">
        <w:rPr>
          <w:rFonts w:cs="Arial"/>
          <w:b/>
          <w:bCs/>
          <w:sz w:val="24"/>
          <w:szCs w:val="24"/>
        </w:rPr>
        <w:t xml:space="preserve"> </w:t>
      </w:r>
      <w:r w:rsidRPr="00A63C4A">
        <w:rPr>
          <w:rFonts w:cs="Arial"/>
          <w:b/>
          <w:bCs/>
          <w:color w:val="0000FF"/>
          <w:sz w:val="24"/>
          <w:szCs w:val="24"/>
        </w:rPr>
        <w:t>S</w:t>
      </w:r>
      <w:r w:rsidR="00475127">
        <w:rPr>
          <w:rFonts w:cs="Arial"/>
          <w:b/>
          <w:bCs/>
          <w:color w:val="0000FF"/>
          <w:sz w:val="24"/>
          <w:szCs w:val="24"/>
        </w:rPr>
        <w:t>3</w:t>
      </w:r>
      <w:r w:rsidRPr="00A63C4A">
        <w:rPr>
          <w:rFonts w:cs="Arial"/>
          <w:sz w:val="24"/>
          <w:szCs w:val="24"/>
        </w:rPr>
        <w:t xml:space="preserve">). </w:t>
      </w:r>
    </w:p>
    <w:p w14:paraId="2413B0B6" w14:textId="77777777" w:rsidR="00D7514C" w:rsidRPr="00A63C4A" w:rsidRDefault="00D7514C" w:rsidP="00D7514C">
      <w:pPr>
        <w:spacing w:line="240" w:lineRule="auto"/>
        <w:rPr>
          <w:rFonts w:cs="Arial"/>
          <w:b/>
          <w:szCs w:val="24"/>
        </w:rPr>
      </w:pPr>
      <w:r w:rsidRPr="00A63C4A">
        <w:rPr>
          <w:rFonts w:cs="Arial"/>
          <w:b/>
          <w:szCs w:val="24"/>
        </w:rPr>
        <w:br w:type="page"/>
      </w:r>
    </w:p>
    <w:p w14:paraId="226EEE17" w14:textId="595F573A" w:rsidR="00D7514C" w:rsidRPr="00A63C4A" w:rsidRDefault="00D7514C" w:rsidP="00D7514C">
      <w:pPr>
        <w:pStyle w:val="BodyText"/>
        <w:ind w:right="148"/>
        <w:rPr>
          <w:rFonts w:cs="Arial"/>
          <w:sz w:val="24"/>
          <w:szCs w:val="24"/>
        </w:rPr>
      </w:pPr>
      <w:r w:rsidRPr="00A63C4A">
        <w:rPr>
          <w:rFonts w:cs="Arial"/>
          <w:b/>
          <w:sz w:val="24"/>
          <w:szCs w:val="24"/>
        </w:rPr>
        <w:lastRenderedPageBreak/>
        <w:t xml:space="preserve">Supplementary Figure </w:t>
      </w:r>
      <w:r w:rsidR="00BF39B1" w:rsidRPr="00A63C4A">
        <w:rPr>
          <w:rFonts w:cs="Arial"/>
          <w:b/>
          <w:sz w:val="24"/>
          <w:szCs w:val="24"/>
        </w:rPr>
        <w:t>S</w:t>
      </w:r>
      <w:r w:rsidR="00DC6EBA" w:rsidRPr="00A63C4A">
        <w:rPr>
          <w:rFonts w:cs="Arial"/>
          <w:b/>
          <w:sz w:val="24"/>
          <w:szCs w:val="24"/>
        </w:rPr>
        <w:t>3</w:t>
      </w:r>
      <w:r w:rsidRPr="00A63C4A">
        <w:rPr>
          <w:rFonts w:cs="Arial"/>
          <w:b/>
          <w:sz w:val="24"/>
          <w:szCs w:val="24"/>
        </w:rPr>
        <w:t xml:space="preserve">. </w:t>
      </w:r>
      <w:r w:rsidRPr="00A63C4A">
        <w:rPr>
          <w:rFonts w:cs="Arial"/>
          <w:sz w:val="24"/>
          <w:szCs w:val="24"/>
        </w:rPr>
        <w:t xml:space="preserve">PD-L1 QCS workflow that takes as an input a </w:t>
      </w:r>
      <w:r w:rsidR="00557AF3" w:rsidRPr="00A63C4A">
        <w:rPr>
          <w:rFonts w:cs="Arial"/>
          <w:sz w:val="24"/>
          <w:szCs w:val="24"/>
        </w:rPr>
        <w:t>whole-slide image</w:t>
      </w:r>
      <w:r w:rsidR="0031131D" w:rsidRPr="00A63C4A">
        <w:rPr>
          <w:rFonts w:cs="Arial"/>
          <w:sz w:val="24"/>
          <w:szCs w:val="24"/>
        </w:rPr>
        <w:t xml:space="preserve"> </w:t>
      </w:r>
      <w:r w:rsidRPr="00A63C4A">
        <w:rPr>
          <w:rFonts w:cs="Arial"/>
          <w:sz w:val="24"/>
          <w:szCs w:val="24"/>
        </w:rPr>
        <w:t xml:space="preserve">acquired from </w:t>
      </w:r>
      <w:r w:rsidR="002C2690" w:rsidRPr="00A63C4A">
        <w:rPr>
          <w:rFonts w:cs="Arial"/>
          <w:sz w:val="24"/>
          <w:szCs w:val="24"/>
        </w:rPr>
        <w:t xml:space="preserve">a </w:t>
      </w:r>
      <w:r w:rsidRPr="00A63C4A">
        <w:rPr>
          <w:rFonts w:cs="Arial"/>
          <w:sz w:val="24"/>
          <w:szCs w:val="24"/>
        </w:rPr>
        <w:t>PD-L1 IHC tissue section (left column)</w:t>
      </w:r>
      <w:r w:rsidR="00451EDF" w:rsidRPr="00A63C4A">
        <w:rPr>
          <w:rFonts w:cs="Arial"/>
          <w:sz w:val="24"/>
          <w:szCs w:val="24"/>
        </w:rPr>
        <w:t xml:space="preserve">, </w:t>
      </w:r>
      <w:r w:rsidRPr="00A63C4A">
        <w:rPr>
          <w:rFonts w:cs="Arial"/>
          <w:sz w:val="24"/>
          <w:szCs w:val="24"/>
        </w:rPr>
        <w:t xml:space="preserve">segments the tumor cells to membrane, cytoplasm, and nucleus (middle column), and derives OD-based readouts per cell that are aggregated as histograms (right column). Following cut-point optimization, a PD-L1 QCS-positive case is defined </w:t>
      </w:r>
      <w:r w:rsidR="00D13C83" w:rsidRPr="00A63C4A">
        <w:rPr>
          <w:rFonts w:cs="Arial"/>
          <w:sz w:val="24"/>
          <w:szCs w:val="24"/>
        </w:rPr>
        <w:t xml:space="preserve">as one </w:t>
      </w:r>
      <w:r w:rsidRPr="00A63C4A">
        <w:rPr>
          <w:rFonts w:cs="Arial"/>
          <w:sz w:val="24"/>
          <w:szCs w:val="24"/>
        </w:rPr>
        <w:t>in which ≥57% of cells exhibit OD ≥8. IHC, immunohistochemistry; OD, optical density; PD-L1, programmed death-ligand 1; QCS, quantitative continuous scoring.</w:t>
      </w:r>
    </w:p>
    <w:p w14:paraId="14B0B622" w14:textId="77777777" w:rsidR="00D7514C" w:rsidRPr="00A63C4A" w:rsidRDefault="00D7514C" w:rsidP="00D7514C">
      <w:pPr>
        <w:pStyle w:val="BodyText"/>
        <w:ind w:right="148"/>
        <w:rPr>
          <w:rFonts w:cs="Arial"/>
          <w:sz w:val="24"/>
          <w:szCs w:val="24"/>
        </w:rPr>
      </w:pPr>
      <w:r w:rsidRPr="00A63C4A">
        <w:rPr>
          <w:rFonts w:cs="Arial"/>
          <w:noProof/>
          <w:sz w:val="24"/>
          <w:szCs w:val="24"/>
        </w:rPr>
        <w:drawing>
          <wp:inline distT="0" distB="0" distL="0" distR="0" wp14:anchorId="005C5D81" wp14:editId="727BCAAB">
            <wp:extent cx="5943600" cy="2840990"/>
            <wp:effectExtent l="0" t="0" r="0" b="0"/>
            <wp:docPr id="43" name="Picture 4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D3961" w14:textId="31E0157C" w:rsidR="00C87312" w:rsidRPr="00A63C4A" w:rsidRDefault="00D7514C" w:rsidP="00C87312">
      <w:pPr>
        <w:pStyle w:val="BodyText"/>
        <w:ind w:right="116"/>
        <w:rPr>
          <w:rFonts w:cs="Arial"/>
          <w:sz w:val="24"/>
          <w:szCs w:val="24"/>
        </w:rPr>
      </w:pPr>
      <w:r w:rsidRPr="00A63C4A">
        <w:br w:type="page"/>
      </w:r>
      <w:r w:rsidR="00C87312" w:rsidRPr="00A63C4A">
        <w:rPr>
          <w:sz w:val="24"/>
          <w:szCs w:val="24"/>
        </w:rPr>
        <w:lastRenderedPageBreak/>
        <w:t xml:space="preserve">The </w:t>
      </w:r>
      <w:r w:rsidR="00C87312" w:rsidRPr="00A63C4A">
        <w:rPr>
          <w:iCs/>
          <w:sz w:val="24"/>
          <w:szCs w:val="24"/>
        </w:rPr>
        <w:t>OD</w:t>
      </w:r>
      <w:r w:rsidR="00C87312" w:rsidRPr="00A63C4A">
        <w:rPr>
          <w:iCs/>
          <w:sz w:val="24"/>
          <w:szCs w:val="24"/>
          <w:vertAlign w:val="subscript"/>
        </w:rPr>
        <w:t>threshold</w:t>
      </w:r>
      <w:r w:rsidR="00C87312" w:rsidRPr="00A63C4A">
        <w:rPr>
          <w:i/>
          <w:sz w:val="24"/>
          <w:szCs w:val="24"/>
        </w:rPr>
        <w:t xml:space="preserve"> </w:t>
      </w:r>
      <w:r w:rsidR="00C87312" w:rsidRPr="00A63C4A">
        <w:rPr>
          <w:sz w:val="24"/>
          <w:szCs w:val="24"/>
        </w:rPr>
        <w:t>and cut-point parameters were linked to patient overall survival by minimizing the Kaplan-Meier log</w:t>
      </w:r>
      <w:r w:rsidR="00154EDD">
        <w:rPr>
          <w:rFonts w:cs="Arial"/>
          <w:sz w:val="24"/>
          <w:szCs w:val="24"/>
        </w:rPr>
        <w:t>–</w:t>
      </w:r>
      <w:r w:rsidR="00C87312" w:rsidRPr="00A63C4A">
        <w:rPr>
          <w:sz w:val="24"/>
          <w:szCs w:val="24"/>
        </w:rPr>
        <w:t xml:space="preserve">rank </w:t>
      </w:r>
      <w:r w:rsidR="00182666" w:rsidRPr="00A63C4A">
        <w:rPr>
          <w:i/>
          <w:iCs/>
          <w:sz w:val="24"/>
          <w:szCs w:val="24"/>
        </w:rPr>
        <w:t>p</w:t>
      </w:r>
      <w:r w:rsidR="00C87312" w:rsidRPr="00A63C4A">
        <w:rPr>
          <w:sz w:val="24"/>
          <w:szCs w:val="24"/>
        </w:rPr>
        <w:t xml:space="preserve"> values and keeping ≥50% prevalence in the QCS-positive subgroup. </w:t>
      </w:r>
      <w:r w:rsidR="00C87312" w:rsidRPr="00A63C4A">
        <w:rPr>
          <w:rFonts w:cs="Arial"/>
          <w:sz w:val="24"/>
          <w:szCs w:val="24"/>
        </w:rPr>
        <w:t>A PD-L1 QCS</w:t>
      </w:r>
      <w:r w:rsidR="00154EDD">
        <w:rPr>
          <w:rFonts w:cs="Arial"/>
          <w:sz w:val="24"/>
          <w:szCs w:val="24"/>
        </w:rPr>
        <w:t>–</w:t>
      </w:r>
      <w:r w:rsidR="00C87312" w:rsidRPr="00A63C4A">
        <w:rPr>
          <w:rFonts w:cs="Arial"/>
          <w:sz w:val="24"/>
          <w:szCs w:val="24"/>
        </w:rPr>
        <w:t>based analysis (</w:t>
      </w:r>
      <w:proofErr w:type="spellStart"/>
      <w:r w:rsidR="00C87312" w:rsidRPr="00A63C4A">
        <w:rPr>
          <w:rFonts w:cs="Arial"/>
          <w:iCs/>
          <w:sz w:val="24"/>
          <w:szCs w:val="24"/>
        </w:rPr>
        <w:t>OD</w:t>
      </w:r>
      <w:r w:rsidR="00C87312" w:rsidRPr="00A63C4A">
        <w:rPr>
          <w:rFonts w:cs="Arial"/>
          <w:iCs/>
          <w:sz w:val="24"/>
          <w:szCs w:val="24"/>
          <w:vertAlign w:val="subscript"/>
        </w:rPr>
        <w:t>threshold</w:t>
      </w:r>
      <w:proofErr w:type="spellEnd"/>
      <w:r w:rsidR="00C87312" w:rsidRPr="00A63C4A">
        <w:rPr>
          <w:rFonts w:cs="Arial"/>
          <w:sz w:val="24"/>
          <w:szCs w:val="24"/>
        </w:rPr>
        <w:t>=8, cut point ≥57%) stratifies durvalumab-treated patients with NSCLC at a higher prevalence and with a significant Kaplan</w:t>
      </w:r>
      <w:r w:rsidR="00D13C83" w:rsidRPr="00A63C4A">
        <w:rPr>
          <w:rFonts w:cs="Arial"/>
          <w:sz w:val="24"/>
          <w:szCs w:val="24"/>
        </w:rPr>
        <w:t>-</w:t>
      </w:r>
      <w:r w:rsidR="00C87312" w:rsidRPr="00A63C4A">
        <w:rPr>
          <w:rFonts w:cs="Arial"/>
          <w:sz w:val="24"/>
          <w:szCs w:val="24"/>
        </w:rPr>
        <w:t>Meier log</w:t>
      </w:r>
      <w:r w:rsidR="00634A45">
        <w:rPr>
          <w:rFonts w:cs="Arial"/>
          <w:sz w:val="24"/>
          <w:szCs w:val="24"/>
        </w:rPr>
        <w:t>–</w:t>
      </w:r>
      <w:r w:rsidR="00C87312" w:rsidRPr="00A63C4A">
        <w:rPr>
          <w:rFonts w:cs="Arial"/>
          <w:sz w:val="24"/>
          <w:szCs w:val="24"/>
        </w:rPr>
        <w:t xml:space="preserve">rank </w:t>
      </w:r>
      <w:r w:rsidR="00182666" w:rsidRPr="00A63C4A">
        <w:rPr>
          <w:rFonts w:cs="Arial"/>
          <w:i/>
          <w:iCs/>
          <w:sz w:val="24"/>
          <w:szCs w:val="24"/>
        </w:rPr>
        <w:t>p</w:t>
      </w:r>
      <w:r w:rsidR="00C87312" w:rsidRPr="00A63C4A">
        <w:rPr>
          <w:rFonts w:cs="Arial"/>
          <w:sz w:val="24"/>
          <w:szCs w:val="24"/>
        </w:rPr>
        <w:t xml:space="preserve"> value (64%; </w:t>
      </w:r>
      <w:r w:rsidR="00294BB9" w:rsidRPr="00A63C4A">
        <w:rPr>
          <w:rFonts w:cs="Arial"/>
          <w:i/>
          <w:iCs/>
          <w:sz w:val="24"/>
          <w:szCs w:val="24"/>
        </w:rPr>
        <w:t>p</w:t>
      </w:r>
      <w:r w:rsidR="00C87312" w:rsidRPr="00A63C4A">
        <w:rPr>
          <w:rFonts w:cs="Arial"/>
          <w:sz w:val="24"/>
          <w:szCs w:val="24"/>
        </w:rPr>
        <w:t>=</w:t>
      </w:r>
      <w:r w:rsidR="00294BB9" w:rsidRPr="00A63C4A">
        <w:rPr>
          <w:rFonts w:cs="Arial"/>
          <w:sz w:val="24"/>
          <w:szCs w:val="24"/>
        </w:rPr>
        <w:t>0</w:t>
      </w:r>
      <w:r w:rsidR="00C87312" w:rsidRPr="00A63C4A">
        <w:rPr>
          <w:rFonts w:cs="Arial"/>
          <w:sz w:val="24"/>
          <w:szCs w:val="24"/>
        </w:rPr>
        <w:t xml:space="preserve">.0001) for </w:t>
      </w:r>
      <w:r w:rsidR="008A5EC6" w:rsidRPr="00A63C4A">
        <w:rPr>
          <w:rFonts w:cs="Arial"/>
          <w:sz w:val="24"/>
          <w:szCs w:val="24"/>
        </w:rPr>
        <w:t>overall survival</w:t>
      </w:r>
      <w:r w:rsidR="00C87312" w:rsidRPr="00A63C4A">
        <w:rPr>
          <w:rFonts w:cs="Arial"/>
          <w:sz w:val="24"/>
          <w:szCs w:val="24"/>
        </w:rPr>
        <w:t xml:space="preserve"> compared with pathologist TPS (59%; </w:t>
      </w:r>
      <w:r w:rsidR="00294BB9" w:rsidRPr="00A63C4A">
        <w:rPr>
          <w:rFonts w:cs="Arial"/>
          <w:i/>
          <w:iCs/>
          <w:sz w:val="24"/>
          <w:szCs w:val="24"/>
        </w:rPr>
        <w:t>p</w:t>
      </w:r>
      <w:r w:rsidR="00C87312" w:rsidRPr="00A63C4A">
        <w:rPr>
          <w:rFonts w:cs="Arial"/>
          <w:sz w:val="24"/>
          <w:szCs w:val="24"/>
        </w:rPr>
        <w:t>=</w:t>
      </w:r>
      <w:r w:rsidR="00294BB9" w:rsidRPr="00A63C4A">
        <w:rPr>
          <w:rFonts w:cs="Arial"/>
          <w:sz w:val="24"/>
          <w:szCs w:val="24"/>
        </w:rPr>
        <w:t>0</w:t>
      </w:r>
      <w:r w:rsidR="00C87312" w:rsidRPr="00A63C4A">
        <w:rPr>
          <w:rFonts w:cs="Arial"/>
          <w:sz w:val="24"/>
          <w:szCs w:val="24"/>
        </w:rPr>
        <w:t>.01)</w:t>
      </w:r>
      <w:r w:rsidR="002245E1" w:rsidRPr="00A63C4A">
        <w:rPr>
          <w:rFonts w:cs="Arial"/>
          <w:sz w:val="24"/>
          <w:szCs w:val="24"/>
        </w:rPr>
        <w:t xml:space="preserve"> (</w:t>
      </w:r>
      <w:r w:rsidR="008452D3" w:rsidRPr="00A63C4A">
        <w:rPr>
          <w:rFonts w:cs="Arial"/>
          <w:sz w:val="24"/>
          <w:szCs w:val="24"/>
        </w:rPr>
        <w:t xml:space="preserve">Supplementary </w:t>
      </w:r>
      <w:r w:rsidR="002245E1" w:rsidRPr="00A63C4A">
        <w:rPr>
          <w:rFonts w:cs="Arial"/>
          <w:sz w:val="24"/>
          <w:szCs w:val="24"/>
        </w:rPr>
        <w:t>Fig.</w:t>
      </w:r>
      <w:r w:rsidR="002245E1" w:rsidRPr="00A63C4A">
        <w:rPr>
          <w:rFonts w:cs="Arial"/>
          <w:b/>
          <w:bCs/>
          <w:sz w:val="24"/>
          <w:szCs w:val="24"/>
        </w:rPr>
        <w:t xml:space="preserve"> </w:t>
      </w:r>
      <w:r w:rsidR="002245E1" w:rsidRPr="00A63C4A">
        <w:rPr>
          <w:rFonts w:cs="Arial"/>
          <w:b/>
          <w:bCs/>
          <w:color w:val="0000FF"/>
          <w:sz w:val="24"/>
          <w:szCs w:val="24"/>
        </w:rPr>
        <w:t>S</w:t>
      </w:r>
      <w:hyperlink w:anchor="_bookmark38" w:history="1">
        <w:r w:rsidR="002245E1" w:rsidRPr="00A63C4A">
          <w:rPr>
            <w:rFonts w:cs="Arial"/>
            <w:b/>
            <w:bCs/>
            <w:color w:val="0000FF"/>
            <w:sz w:val="24"/>
            <w:szCs w:val="24"/>
          </w:rPr>
          <w:t>4</w:t>
        </w:r>
      </w:hyperlink>
      <w:r w:rsidR="002245E1" w:rsidRPr="00A63C4A">
        <w:rPr>
          <w:rFonts w:cs="Arial"/>
          <w:sz w:val="24"/>
          <w:szCs w:val="24"/>
        </w:rPr>
        <w:t>)</w:t>
      </w:r>
      <w:r w:rsidR="00C87312" w:rsidRPr="00A63C4A">
        <w:rPr>
          <w:rFonts w:cs="Arial"/>
          <w:sz w:val="24"/>
          <w:szCs w:val="24"/>
        </w:rPr>
        <w:t>. Median overall survival of 19.2 vs 7.9 months was observed in the QCS-positive vs -negative subgroup, respectively. The box plots (</w:t>
      </w:r>
      <w:r w:rsidR="008452D3" w:rsidRPr="00A63C4A">
        <w:rPr>
          <w:rFonts w:cs="Arial"/>
          <w:sz w:val="24"/>
          <w:szCs w:val="24"/>
        </w:rPr>
        <w:t xml:space="preserve">Supplementary </w:t>
      </w:r>
      <w:r w:rsidR="00C87312" w:rsidRPr="00A63C4A">
        <w:rPr>
          <w:rFonts w:cs="Arial"/>
          <w:sz w:val="24"/>
          <w:szCs w:val="24"/>
        </w:rPr>
        <w:t>Fig.</w:t>
      </w:r>
      <w:r w:rsidR="00C87312" w:rsidRPr="00A63C4A">
        <w:rPr>
          <w:rFonts w:cs="Arial"/>
          <w:b/>
          <w:bCs/>
          <w:sz w:val="24"/>
          <w:szCs w:val="24"/>
        </w:rPr>
        <w:t xml:space="preserve"> </w:t>
      </w:r>
      <w:r w:rsidR="00D323DA" w:rsidRPr="00A63C4A">
        <w:rPr>
          <w:rFonts w:cs="Arial"/>
          <w:b/>
          <w:bCs/>
          <w:color w:val="0000FF"/>
          <w:sz w:val="24"/>
          <w:szCs w:val="24"/>
        </w:rPr>
        <w:t>S</w:t>
      </w:r>
      <w:r w:rsidR="002245E1" w:rsidRPr="00A63C4A">
        <w:rPr>
          <w:rFonts w:cs="Arial"/>
          <w:b/>
          <w:bCs/>
          <w:color w:val="0000FF"/>
          <w:sz w:val="24"/>
          <w:szCs w:val="24"/>
        </w:rPr>
        <w:t>5</w:t>
      </w:r>
      <w:r w:rsidR="00A63C4A" w:rsidRPr="00A63C4A">
        <w:rPr>
          <w:rFonts w:cs="Arial"/>
          <w:b/>
          <w:bCs/>
          <w:color w:val="0000FF"/>
          <w:sz w:val="24"/>
          <w:szCs w:val="24"/>
        </w:rPr>
        <w:t>A</w:t>
      </w:r>
      <w:r w:rsidR="00C87312" w:rsidRPr="00A63C4A">
        <w:rPr>
          <w:rFonts w:cs="Arial"/>
          <w:sz w:val="24"/>
          <w:szCs w:val="24"/>
        </w:rPr>
        <w:t>) indicate an overall good agreement (72% concordance) of the fully automated QCS with the pathologist TPS, which quantitatively supports the positive visual assessment of the cell segmentation accuracy. The grouped Kaplan</w:t>
      </w:r>
      <w:r w:rsidR="00D13C83" w:rsidRPr="00A63C4A">
        <w:rPr>
          <w:rFonts w:cs="Arial"/>
          <w:sz w:val="24"/>
          <w:szCs w:val="24"/>
        </w:rPr>
        <w:t>-</w:t>
      </w:r>
      <w:r w:rsidR="00C87312" w:rsidRPr="00A63C4A">
        <w:rPr>
          <w:rFonts w:cs="Arial"/>
          <w:sz w:val="24"/>
          <w:szCs w:val="24"/>
        </w:rPr>
        <w:t>Meier (</w:t>
      </w:r>
      <w:r w:rsidR="008452D3" w:rsidRPr="00A63C4A">
        <w:rPr>
          <w:rFonts w:cs="Arial"/>
          <w:sz w:val="24"/>
          <w:szCs w:val="24"/>
        </w:rPr>
        <w:t xml:space="preserve">Supplementary </w:t>
      </w:r>
      <w:r w:rsidR="00C87312" w:rsidRPr="00A63C4A">
        <w:rPr>
          <w:rFonts w:cs="Arial"/>
          <w:sz w:val="24"/>
          <w:szCs w:val="24"/>
        </w:rPr>
        <w:t>Fig.</w:t>
      </w:r>
      <w:r w:rsidR="00C87312" w:rsidRPr="00A63C4A">
        <w:rPr>
          <w:rFonts w:cs="Arial"/>
          <w:b/>
          <w:bCs/>
          <w:sz w:val="24"/>
          <w:szCs w:val="24"/>
        </w:rPr>
        <w:t xml:space="preserve"> </w:t>
      </w:r>
      <w:r w:rsidR="00C87312" w:rsidRPr="00A63C4A">
        <w:rPr>
          <w:rFonts w:cs="Arial"/>
          <w:b/>
          <w:bCs/>
          <w:color w:val="0000FF"/>
          <w:sz w:val="24"/>
          <w:szCs w:val="24"/>
        </w:rPr>
        <w:t>S</w:t>
      </w:r>
      <w:r w:rsidR="002245E1" w:rsidRPr="00A63C4A">
        <w:rPr>
          <w:rFonts w:cs="Arial"/>
          <w:b/>
          <w:bCs/>
          <w:color w:val="0000FF"/>
          <w:sz w:val="24"/>
          <w:szCs w:val="24"/>
        </w:rPr>
        <w:t>5</w:t>
      </w:r>
      <w:r w:rsidR="00A63C4A" w:rsidRPr="00A63C4A">
        <w:rPr>
          <w:rFonts w:cs="Arial"/>
          <w:b/>
          <w:bCs/>
          <w:color w:val="0000FF"/>
          <w:sz w:val="24"/>
          <w:szCs w:val="24"/>
        </w:rPr>
        <w:t>B</w:t>
      </w:r>
      <w:r w:rsidR="00C87312" w:rsidRPr="00A63C4A">
        <w:rPr>
          <w:rFonts w:cs="Arial"/>
          <w:sz w:val="24"/>
          <w:szCs w:val="24"/>
        </w:rPr>
        <w:t xml:space="preserve"> shows </w:t>
      </w:r>
      <w:r w:rsidR="00A63C4A" w:rsidRPr="00A63C4A">
        <w:rPr>
          <w:rFonts w:cs="Arial"/>
          <w:sz w:val="24"/>
          <w:szCs w:val="24"/>
        </w:rPr>
        <w:t>four</w:t>
      </w:r>
      <w:r w:rsidR="00C87312" w:rsidRPr="00A63C4A">
        <w:rPr>
          <w:rFonts w:cs="Arial"/>
          <w:sz w:val="24"/>
          <w:szCs w:val="24"/>
        </w:rPr>
        <w:t xml:space="preserve"> arms based on stratification where QCS and pathologist TPS agree/disagree on the category. The survival of discordant cases favors the QCS for patient selection compared with pathologist TPS. </w:t>
      </w:r>
    </w:p>
    <w:p w14:paraId="5CCEF53C" w14:textId="77777777" w:rsidR="00C87312" w:rsidRPr="00A63C4A" w:rsidRDefault="00C87312" w:rsidP="00C87312">
      <w:pPr>
        <w:pStyle w:val="BodyText"/>
        <w:ind w:right="116"/>
        <w:rPr>
          <w:rFonts w:cs="Arial"/>
          <w:sz w:val="24"/>
          <w:szCs w:val="24"/>
        </w:rPr>
      </w:pPr>
    </w:p>
    <w:p w14:paraId="0AA2E514" w14:textId="1FDED535" w:rsidR="00C87312" w:rsidRPr="00A63C4A" w:rsidRDefault="00C87312" w:rsidP="00C87312">
      <w:pPr>
        <w:pStyle w:val="BodyText"/>
        <w:ind w:right="116"/>
        <w:rPr>
          <w:rFonts w:cs="Arial"/>
          <w:sz w:val="24"/>
          <w:szCs w:val="24"/>
        </w:rPr>
      </w:pPr>
      <w:r w:rsidRPr="00A63C4A">
        <w:rPr>
          <w:rFonts w:cs="Arial"/>
          <w:sz w:val="24"/>
          <w:szCs w:val="24"/>
        </w:rPr>
        <w:t>The novel QCS</w:t>
      </w:r>
      <w:r w:rsidR="00B374D0">
        <w:rPr>
          <w:rFonts w:cs="Arial"/>
          <w:sz w:val="24"/>
          <w:szCs w:val="24"/>
        </w:rPr>
        <w:t>-based approach</w:t>
      </w:r>
      <w:r w:rsidRPr="00A63C4A">
        <w:rPr>
          <w:rFonts w:cs="Arial"/>
          <w:sz w:val="24"/>
          <w:szCs w:val="24"/>
        </w:rPr>
        <w:t xml:space="preserve"> provides an objective way of correlating a quantitative estimate of PD-L1 </w:t>
      </w:r>
      <w:r w:rsidR="000B512F" w:rsidRPr="00A63C4A">
        <w:rPr>
          <w:rFonts w:cs="Arial"/>
          <w:sz w:val="24"/>
          <w:szCs w:val="24"/>
        </w:rPr>
        <w:t>immunohistochemistry (</w:t>
      </w:r>
      <w:r w:rsidRPr="00A63C4A">
        <w:rPr>
          <w:rFonts w:cs="Arial"/>
          <w:sz w:val="24"/>
          <w:szCs w:val="24"/>
        </w:rPr>
        <w:t>IHC</w:t>
      </w:r>
      <w:r w:rsidR="000B512F" w:rsidRPr="00A63C4A">
        <w:rPr>
          <w:rFonts w:cs="Arial"/>
          <w:sz w:val="24"/>
          <w:szCs w:val="24"/>
        </w:rPr>
        <w:t>)</w:t>
      </w:r>
      <w:r w:rsidRPr="00A63C4A">
        <w:rPr>
          <w:rFonts w:cs="Arial"/>
          <w:sz w:val="24"/>
          <w:szCs w:val="24"/>
        </w:rPr>
        <w:t xml:space="preserve"> expression on tumor cells with survival of patients with NSCLC treated with durvalumab in later lines of therapy. An efficacy data</w:t>
      </w:r>
      <w:r w:rsidR="00A80510" w:rsidRPr="00A63C4A">
        <w:rPr>
          <w:rFonts w:cs="Arial"/>
          <w:sz w:val="24"/>
          <w:szCs w:val="24"/>
        </w:rPr>
        <w:t>-</w:t>
      </w:r>
      <w:r w:rsidRPr="00A63C4A">
        <w:rPr>
          <w:rFonts w:cs="Arial"/>
          <w:sz w:val="24"/>
          <w:szCs w:val="24"/>
        </w:rPr>
        <w:t xml:space="preserve">driven definition of PD-L1 tumor cell positivity may identify more patients benefiting from therapy with higher precision. Further validation of the QCS-based approach is needed to correlate with outcomes in the </w:t>
      </w:r>
      <w:proofErr w:type="gramStart"/>
      <w:r w:rsidRPr="00A63C4A">
        <w:rPr>
          <w:rFonts w:cs="Arial"/>
          <w:sz w:val="24"/>
          <w:szCs w:val="24"/>
        </w:rPr>
        <w:t>first-line</w:t>
      </w:r>
      <w:proofErr w:type="gramEnd"/>
      <w:r w:rsidRPr="00A63C4A">
        <w:rPr>
          <w:rFonts w:cs="Arial"/>
          <w:sz w:val="24"/>
          <w:szCs w:val="24"/>
        </w:rPr>
        <w:t xml:space="preserve"> setting and in comparison with other PD-L1 cutoff levels.</w:t>
      </w:r>
    </w:p>
    <w:p w14:paraId="06DD851D" w14:textId="263AE16C" w:rsidR="00D7514C" w:rsidRPr="00A63C4A" w:rsidRDefault="00D7514C" w:rsidP="008F2230">
      <w:pPr>
        <w:rPr>
          <w:b/>
        </w:rPr>
      </w:pPr>
      <w:r w:rsidRPr="00A63C4A">
        <w:rPr>
          <w:b/>
        </w:rPr>
        <w:br w:type="page"/>
      </w:r>
    </w:p>
    <w:p w14:paraId="7B48615A" w14:textId="77777777" w:rsidR="00D7514C" w:rsidRPr="00A63C4A" w:rsidRDefault="00D7514C" w:rsidP="00D7514C">
      <w:pPr>
        <w:pStyle w:val="BodyText"/>
        <w:rPr>
          <w:rFonts w:cs="Arial"/>
          <w:b/>
          <w:sz w:val="24"/>
          <w:szCs w:val="24"/>
        </w:rPr>
        <w:sectPr w:rsidR="00D7514C" w:rsidRPr="00A63C4A" w:rsidSect="00D7514C">
          <w:footerReference w:type="default" r:id="rId22"/>
          <w:pgSz w:w="12240" w:h="15840"/>
          <w:pgMar w:top="1440" w:right="1440" w:bottom="1440" w:left="1440" w:header="0" w:footer="648" w:gutter="0"/>
          <w:cols w:space="720"/>
          <w:docGrid w:linePitch="299"/>
        </w:sectPr>
      </w:pPr>
    </w:p>
    <w:p w14:paraId="22CBC643" w14:textId="7A24D0AD" w:rsidR="00D7514C" w:rsidRPr="00A63C4A" w:rsidRDefault="00D7514C" w:rsidP="00D7514C">
      <w:pPr>
        <w:pStyle w:val="BodyText"/>
        <w:rPr>
          <w:rFonts w:cs="Arial"/>
          <w:sz w:val="24"/>
          <w:szCs w:val="24"/>
        </w:rPr>
      </w:pPr>
      <w:r w:rsidRPr="00A63C4A">
        <w:rPr>
          <w:rFonts w:cs="Arial"/>
          <w:b/>
          <w:sz w:val="24"/>
          <w:szCs w:val="24"/>
        </w:rPr>
        <w:lastRenderedPageBreak/>
        <w:t xml:space="preserve">Supplementary Figure </w:t>
      </w:r>
      <w:r w:rsidR="00BF39B1" w:rsidRPr="00A63C4A">
        <w:rPr>
          <w:rFonts w:cs="Arial"/>
          <w:b/>
          <w:sz w:val="24"/>
          <w:szCs w:val="24"/>
        </w:rPr>
        <w:t>S</w:t>
      </w:r>
      <w:r w:rsidR="00DC6EBA" w:rsidRPr="00A63C4A">
        <w:rPr>
          <w:rFonts w:cs="Arial"/>
          <w:b/>
          <w:sz w:val="24"/>
          <w:szCs w:val="24"/>
        </w:rPr>
        <w:t>4</w:t>
      </w:r>
      <w:r w:rsidRPr="00A63C4A">
        <w:rPr>
          <w:rFonts w:cs="Arial"/>
          <w:b/>
          <w:sz w:val="24"/>
          <w:szCs w:val="24"/>
        </w:rPr>
        <w:t xml:space="preserve">. </w:t>
      </w:r>
      <w:r w:rsidRPr="00A63C4A">
        <w:rPr>
          <w:rFonts w:cs="Arial"/>
          <w:sz w:val="24"/>
          <w:szCs w:val="24"/>
        </w:rPr>
        <w:t xml:space="preserve">Kaplan-Meier curves for </w:t>
      </w:r>
      <w:r w:rsidR="008A5EC6" w:rsidRPr="00A63C4A">
        <w:rPr>
          <w:rFonts w:cs="Arial"/>
          <w:sz w:val="24"/>
          <w:szCs w:val="24"/>
        </w:rPr>
        <w:t>overall survival</w:t>
      </w:r>
      <w:r w:rsidRPr="00A63C4A">
        <w:rPr>
          <w:rFonts w:cs="Arial"/>
          <w:sz w:val="24"/>
          <w:szCs w:val="24"/>
        </w:rPr>
        <w:t xml:space="preserve"> stratification with (left) manual </w:t>
      </w:r>
      <w:r w:rsidR="004D0D9F" w:rsidRPr="00A63C4A">
        <w:rPr>
          <w:rFonts w:cs="Arial"/>
          <w:sz w:val="24"/>
          <w:szCs w:val="24"/>
        </w:rPr>
        <w:t>tumor proportion score</w:t>
      </w:r>
      <w:r w:rsidRPr="00A63C4A">
        <w:rPr>
          <w:rFonts w:cs="Arial"/>
          <w:sz w:val="24"/>
          <w:szCs w:val="24"/>
        </w:rPr>
        <w:t xml:space="preserve"> (25% cut point) and (right) automated </w:t>
      </w:r>
      <w:r w:rsidR="00B621D5" w:rsidRPr="00A63C4A">
        <w:rPr>
          <w:rFonts w:cs="Arial"/>
          <w:sz w:val="24"/>
          <w:szCs w:val="24"/>
        </w:rPr>
        <w:t>quantitative continuous scoring</w:t>
      </w:r>
      <w:r w:rsidRPr="00A63C4A">
        <w:rPr>
          <w:rFonts w:cs="Arial"/>
          <w:sz w:val="24"/>
          <w:szCs w:val="24"/>
        </w:rPr>
        <w:t xml:space="preserve"> (57% cut point). </w:t>
      </w:r>
    </w:p>
    <w:p w14:paraId="7E81C8E2" w14:textId="77777777" w:rsidR="00D7514C" w:rsidRPr="00A63C4A" w:rsidRDefault="00D7514C" w:rsidP="00D7514C">
      <w:pPr>
        <w:ind w:right="118" w:hanging="6"/>
        <w:rPr>
          <w:rFonts w:cs="Arial"/>
          <w:szCs w:val="24"/>
        </w:rPr>
      </w:pPr>
      <w:r w:rsidRPr="00A63C4A">
        <w:rPr>
          <w:rFonts w:cs="Arial"/>
          <w:noProof/>
          <w:szCs w:val="24"/>
        </w:rPr>
        <w:drawing>
          <wp:inline distT="0" distB="0" distL="0" distR="0" wp14:anchorId="121AF3CB" wp14:editId="2F076360">
            <wp:extent cx="7877175" cy="3861162"/>
            <wp:effectExtent l="0" t="0" r="0" b="6350"/>
            <wp:docPr id="44" name="Picture 4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Chart, line chart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89541" cy="3867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4906B" w14:textId="77777777" w:rsidR="00D7514C" w:rsidRPr="00A63C4A" w:rsidRDefault="00D7514C" w:rsidP="00D7514C">
      <w:pPr>
        <w:spacing w:line="240" w:lineRule="auto"/>
        <w:rPr>
          <w:rFonts w:cs="Arial"/>
          <w:b/>
          <w:szCs w:val="24"/>
        </w:rPr>
        <w:sectPr w:rsidR="00D7514C" w:rsidRPr="00A63C4A" w:rsidSect="00540213">
          <w:type w:val="continuous"/>
          <w:pgSz w:w="15840" w:h="12240" w:orient="landscape"/>
          <w:pgMar w:top="1440" w:right="1440" w:bottom="1440" w:left="1440" w:header="0" w:footer="648" w:gutter="0"/>
          <w:cols w:space="720"/>
          <w:docGrid w:linePitch="299"/>
        </w:sectPr>
      </w:pPr>
    </w:p>
    <w:p w14:paraId="4E253EB3" w14:textId="412E7584" w:rsidR="00D7514C" w:rsidRPr="00A63C4A" w:rsidRDefault="00D7514C" w:rsidP="00D7514C">
      <w:pPr>
        <w:rPr>
          <w:rFonts w:cs="Arial"/>
          <w:szCs w:val="24"/>
        </w:rPr>
      </w:pPr>
      <w:r w:rsidRPr="00A63C4A">
        <w:rPr>
          <w:rFonts w:cs="Arial"/>
          <w:b/>
          <w:szCs w:val="24"/>
        </w:rPr>
        <w:lastRenderedPageBreak/>
        <w:t xml:space="preserve">Supplementary Figure </w:t>
      </w:r>
      <w:r w:rsidR="00BF39B1" w:rsidRPr="00A63C4A">
        <w:rPr>
          <w:rFonts w:cs="Arial"/>
          <w:b/>
          <w:szCs w:val="24"/>
        </w:rPr>
        <w:t>S</w:t>
      </w:r>
      <w:r w:rsidR="00DC6EBA" w:rsidRPr="00A63C4A">
        <w:rPr>
          <w:rFonts w:cs="Arial"/>
          <w:b/>
          <w:szCs w:val="24"/>
        </w:rPr>
        <w:t>5</w:t>
      </w:r>
      <w:r w:rsidRPr="00A63C4A">
        <w:rPr>
          <w:rFonts w:cs="Arial"/>
          <w:b/>
          <w:szCs w:val="24"/>
        </w:rPr>
        <w:t xml:space="preserve">. </w:t>
      </w:r>
      <w:r w:rsidRPr="00A63C4A">
        <w:rPr>
          <w:rFonts w:cs="Arial"/>
          <w:szCs w:val="24"/>
        </w:rPr>
        <w:t xml:space="preserve">Subgroup analysis. </w:t>
      </w:r>
      <w:r w:rsidRPr="00A63C4A">
        <w:rPr>
          <w:rFonts w:cs="Arial"/>
          <w:bCs/>
          <w:szCs w:val="24"/>
        </w:rPr>
        <w:t>(</w:t>
      </w:r>
      <w:r w:rsidR="00CE6D28" w:rsidRPr="00A63C4A">
        <w:rPr>
          <w:rFonts w:cs="Arial"/>
          <w:b/>
          <w:szCs w:val="24"/>
        </w:rPr>
        <w:t>A</w:t>
      </w:r>
      <w:r w:rsidRPr="00A63C4A">
        <w:rPr>
          <w:rFonts w:cs="Arial"/>
          <w:bCs/>
          <w:szCs w:val="24"/>
        </w:rPr>
        <w:t xml:space="preserve">) </w:t>
      </w:r>
      <w:r w:rsidRPr="00A63C4A">
        <w:rPr>
          <w:rFonts w:cs="Arial"/>
          <w:szCs w:val="24"/>
        </w:rPr>
        <w:t xml:space="preserve">Box plot indicating </w:t>
      </w:r>
      <w:r w:rsidR="00D13C83" w:rsidRPr="00A63C4A">
        <w:rPr>
          <w:rFonts w:cs="Arial"/>
          <w:szCs w:val="24"/>
        </w:rPr>
        <w:t xml:space="preserve">% </w:t>
      </w:r>
      <w:r w:rsidRPr="00A63C4A">
        <w:rPr>
          <w:rFonts w:cs="Arial"/>
          <w:szCs w:val="24"/>
        </w:rPr>
        <w:t xml:space="preserve">OD-positive cells (OD ≥8) within the PD-L1–high and –low groups per pathologist assessment by TPS. </w:t>
      </w:r>
      <w:r w:rsidRPr="00A63C4A">
        <w:rPr>
          <w:rFonts w:cs="Arial"/>
          <w:bCs/>
          <w:szCs w:val="24"/>
        </w:rPr>
        <w:t>(</w:t>
      </w:r>
      <w:r w:rsidR="00CE6D28" w:rsidRPr="00A63C4A">
        <w:rPr>
          <w:rFonts w:cs="Arial"/>
          <w:b/>
          <w:szCs w:val="24"/>
        </w:rPr>
        <w:t>B</w:t>
      </w:r>
      <w:r w:rsidR="00292AA2" w:rsidRPr="00A63C4A">
        <w:rPr>
          <w:rFonts w:cs="Arial"/>
          <w:bCs/>
          <w:szCs w:val="24"/>
        </w:rPr>
        <w:t>)</w:t>
      </w:r>
      <w:r w:rsidRPr="00A63C4A">
        <w:rPr>
          <w:rFonts w:cs="Arial"/>
          <w:b/>
          <w:szCs w:val="24"/>
        </w:rPr>
        <w:t xml:space="preserve"> </w:t>
      </w:r>
      <w:r w:rsidRPr="00A63C4A">
        <w:rPr>
          <w:rFonts w:cs="Arial"/>
          <w:szCs w:val="24"/>
        </w:rPr>
        <w:t xml:space="preserve">Grouped Kaplan-Meier curves showing stratification where QCS and pathologists agree/disagree on the scoring category. OD, optical density; </w:t>
      </w:r>
      <w:r w:rsidR="006A0EAD" w:rsidRPr="00A63C4A">
        <w:rPr>
          <w:rFonts w:cs="Arial"/>
          <w:szCs w:val="24"/>
        </w:rPr>
        <w:t xml:space="preserve">Path, pathologist; </w:t>
      </w:r>
      <w:r w:rsidRPr="00A63C4A">
        <w:rPr>
          <w:rFonts w:cs="Arial"/>
          <w:szCs w:val="24"/>
        </w:rPr>
        <w:t>PD-L1, programmed death</w:t>
      </w:r>
      <w:r w:rsidR="00A10DDB" w:rsidRPr="00A63C4A">
        <w:rPr>
          <w:rFonts w:cs="Arial"/>
          <w:szCs w:val="24"/>
        </w:rPr>
        <w:t>-</w:t>
      </w:r>
      <w:r w:rsidRPr="00A63C4A">
        <w:rPr>
          <w:rFonts w:cs="Arial"/>
          <w:szCs w:val="24"/>
        </w:rPr>
        <w:t>ligand 1; QCS, quantitative continuous scoring; TPS, tumor proportion score.</w:t>
      </w:r>
    </w:p>
    <w:p w14:paraId="05E32D1A" w14:textId="7CDFDF46" w:rsidR="00D7514C" w:rsidRPr="00A63C4A" w:rsidRDefault="00CE6D28" w:rsidP="00CE6D28">
      <w:pPr>
        <w:rPr>
          <w:rFonts w:cs="Arial"/>
          <w:b/>
          <w:bCs/>
          <w:szCs w:val="24"/>
        </w:rPr>
      </w:pPr>
      <w:r w:rsidRPr="00A63C4A">
        <w:rPr>
          <w:rFonts w:cs="Arial"/>
          <w:b/>
          <w:bCs/>
          <w:szCs w:val="24"/>
        </w:rPr>
        <w:t>A</w:t>
      </w:r>
      <w:r w:rsidR="00D7514C" w:rsidRPr="00A63C4A">
        <w:rPr>
          <w:rFonts w:cs="Arial"/>
          <w:b/>
          <w:bCs/>
          <w:szCs w:val="24"/>
        </w:rPr>
        <w:br/>
      </w:r>
      <w:r w:rsidR="00D7514C" w:rsidRPr="00A63C4A">
        <w:rPr>
          <w:noProof/>
        </w:rPr>
        <w:drawing>
          <wp:inline distT="0" distB="0" distL="0" distR="0" wp14:anchorId="497C2F4B" wp14:editId="3C2F2CC8">
            <wp:extent cx="4865569" cy="3209925"/>
            <wp:effectExtent l="0" t="0" r="0" b="0"/>
            <wp:docPr id="45" name="Picture 45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hart, box and whisker chart&#10;&#10;Description automatically generated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1663" cy="3220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19E86" w14:textId="77777777" w:rsidR="00292AA2" w:rsidRPr="00A63C4A" w:rsidRDefault="00292AA2">
      <w:pPr>
        <w:spacing w:line="240" w:lineRule="auto"/>
        <w:rPr>
          <w:rFonts w:cs="Arial"/>
          <w:szCs w:val="24"/>
        </w:rPr>
      </w:pPr>
      <w:r w:rsidRPr="00A63C4A">
        <w:rPr>
          <w:rFonts w:cs="Arial"/>
          <w:szCs w:val="24"/>
        </w:rPr>
        <w:br w:type="page"/>
      </w:r>
    </w:p>
    <w:p w14:paraId="2C5EDB83" w14:textId="77777777" w:rsidR="00292AA2" w:rsidRPr="00A63C4A" w:rsidRDefault="00292AA2" w:rsidP="00D7514C">
      <w:pPr>
        <w:spacing w:line="240" w:lineRule="auto"/>
        <w:rPr>
          <w:rFonts w:cs="Arial"/>
          <w:b/>
          <w:bCs/>
          <w:szCs w:val="24"/>
        </w:rPr>
      </w:pPr>
      <w:r w:rsidRPr="00A63C4A">
        <w:rPr>
          <w:rFonts w:cs="Arial"/>
          <w:b/>
          <w:bCs/>
          <w:szCs w:val="24"/>
        </w:rPr>
        <w:lastRenderedPageBreak/>
        <w:t>B</w:t>
      </w:r>
    </w:p>
    <w:p w14:paraId="45B1FF4A" w14:textId="77777777" w:rsidR="00292AA2" w:rsidRPr="00A63C4A" w:rsidRDefault="00292AA2" w:rsidP="00D7514C">
      <w:pPr>
        <w:spacing w:line="240" w:lineRule="auto"/>
        <w:rPr>
          <w:rFonts w:cs="Arial"/>
          <w:szCs w:val="24"/>
        </w:rPr>
      </w:pPr>
    </w:p>
    <w:p w14:paraId="5B91B868" w14:textId="1859BB46" w:rsidR="00D7514C" w:rsidRPr="00A63C4A" w:rsidRDefault="00292AA2" w:rsidP="00D7514C">
      <w:pPr>
        <w:spacing w:line="240" w:lineRule="auto"/>
        <w:rPr>
          <w:rFonts w:eastAsia="Arial" w:cs="Arial"/>
          <w:b/>
          <w:bCs/>
          <w:szCs w:val="24"/>
        </w:rPr>
      </w:pPr>
      <w:r w:rsidRPr="00A63C4A">
        <w:rPr>
          <w:rFonts w:cs="Arial"/>
          <w:b/>
          <w:bCs/>
          <w:noProof/>
          <w:szCs w:val="24"/>
        </w:rPr>
        <w:drawing>
          <wp:inline distT="0" distB="0" distL="0" distR="0" wp14:anchorId="0A329CB3" wp14:editId="52B22C49">
            <wp:extent cx="5683180" cy="3838575"/>
            <wp:effectExtent l="0" t="0" r="0" b="0"/>
            <wp:docPr id="46" name="Picture 4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hart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601" cy="385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3C4A">
        <w:rPr>
          <w:rFonts w:cs="Arial"/>
          <w:szCs w:val="24"/>
        </w:rPr>
        <w:t xml:space="preserve"> </w:t>
      </w:r>
      <w:r w:rsidR="00D7514C" w:rsidRPr="00A63C4A">
        <w:rPr>
          <w:rFonts w:cs="Arial"/>
          <w:szCs w:val="24"/>
        </w:rPr>
        <w:br w:type="page"/>
      </w:r>
    </w:p>
    <w:p w14:paraId="25C1BD3B" w14:textId="22CD677F" w:rsidR="00D7514C" w:rsidRPr="00A63C4A" w:rsidRDefault="00D7514C" w:rsidP="00D7514C">
      <w:pPr>
        <w:pStyle w:val="Heading1"/>
        <w:ind w:left="0"/>
      </w:pPr>
      <w:r w:rsidRPr="00A63C4A">
        <w:lastRenderedPageBreak/>
        <w:t xml:space="preserve">Optical </w:t>
      </w:r>
      <w:r w:rsidR="00395441" w:rsidRPr="00A63C4A">
        <w:t>d</w:t>
      </w:r>
      <w:r w:rsidRPr="00A63C4A">
        <w:t xml:space="preserve">ensity </w:t>
      </w:r>
      <w:r w:rsidR="00395441" w:rsidRPr="00A63C4A">
        <w:t>c</w:t>
      </w:r>
      <w:r w:rsidRPr="00A63C4A">
        <w:t>omputation</w:t>
      </w:r>
    </w:p>
    <w:p w14:paraId="14853F60" w14:textId="1EF883A0" w:rsidR="00D7514C" w:rsidRPr="00A63C4A" w:rsidRDefault="00D7514C" w:rsidP="00D7514C">
      <w:pPr>
        <w:pStyle w:val="BodyText"/>
        <w:ind w:right="151" w:hanging="7"/>
        <w:rPr>
          <w:rFonts w:cs="Arial"/>
          <w:sz w:val="24"/>
          <w:szCs w:val="24"/>
        </w:rPr>
      </w:pPr>
      <w:r w:rsidRPr="00A63C4A">
        <w:rPr>
          <w:rFonts w:cs="Arial"/>
          <w:sz w:val="24"/>
          <w:szCs w:val="24"/>
        </w:rPr>
        <w:t xml:space="preserve">The human epidermal growth factor receptor 2 QCS quantifies DAB staining intensity generated by a </w:t>
      </w:r>
      <w:r w:rsidR="00181111" w:rsidRPr="00A63C4A">
        <w:rPr>
          <w:rFonts w:cs="Arial"/>
          <w:sz w:val="24"/>
          <w:szCs w:val="24"/>
        </w:rPr>
        <w:t xml:space="preserve">human epidermal growth factor receptor 2 </w:t>
      </w:r>
      <w:r w:rsidRPr="00A63C4A">
        <w:rPr>
          <w:rFonts w:cs="Arial"/>
          <w:sz w:val="24"/>
          <w:szCs w:val="24"/>
        </w:rPr>
        <w:t>immunohistochemistry assay in individual cell compartments using the hue saturation density model</w:t>
      </w:r>
      <w:r w:rsidR="00835A50" w:rsidRPr="00A63C4A">
        <w:rPr>
          <w:rFonts w:cs="Arial"/>
          <w:color w:val="0000FF"/>
          <w:sz w:val="24"/>
          <w:szCs w:val="24"/>
          <w:vertAlign w:val="superscript"/>
        </w:rPr>
        <w:t>5</w:t>
      </w:r>
      <w:r w:rsidRPr="00A63C4A">
        <w:rPr>
          <w:rFonts w:cs="Arial"/>
          <w:sz w:val="24"/>
          <w:szCs w:val="24"/>
        </w:rPr>
        <w:t>. Images are acquired using a red-green-blue</w:t>
      </w:r>
      <w:r w:rsidR="00FC03D7" w:rsidRPr="00A63C4A">
        <w:rPr>
          <w:rFonts w:cs="Arial"/>
          <w:sz w:val="24"/>
          <w:szCs w:val="24"/>
        </w:rPr>
        <w:t xml:space="preserve"> </w:t>
      </w:r>
      <w:r w:rsidRPr="00A63C4A">
        <w:rPr>
          <w:rFonts w:cs="Arial"/>
          <w:sz w:val="24"/>
          <w:szCs w:val="24"/>
        </w:rPr>
        <w:t>color model that comprises 8-bit (256) gray values for each color channel. Using Beer</w:t>
      </w:r>
      <w:r w:rsidR="00540CE3" w:rsidRPr="00A63C4A">
        <w:rPr>
          <w:rFonts w:cs="Arial"/>
          <w:sz w:val="24"/>
          <w:szCs w:val="24"/>
        </w:rPr>
        <w:t>-Lambert’s</w:t>
      </w:r>
      <w:r w:rsidRPr="00A63C4A">
        <w:rPr>
          <w:rFonts w:cs="Arial"/>
          <w:sz w:val="24"/>
          <w:szCs w:val="24"/>
        </w:rPr>
        <w:t xml:space="preserve"> law, each color channel is converted to density using a logarithm and parameters </w:t>
      </w:r>
      <w:r w:rsidRPr="00A63C4A">
        <w:rPr>
          <w:rFonts w:cs="Arial"/>
          <w:i/>
          <w:sz w:val="24"/>
          <w:szCs w:val="24"/>
        </w:rPr>
        <w:t>I</w:t>
      </w:r>
      <w:r w:rsidRPr="00A63C4A">
        <w:rPr>
          <w:rFonts w:cs="Arial"/>
          <w:sz w:val="24"/>
          <w:szCs w:val="24"/>
          <w:vertAlign w:val="subscript"/>
        </w:rPr>
        <w:t>0</w:t>
      </w:r>
      <w:r w:rsidRPr="00A63C4A">
        <w:rPr>
          <w:rFonts w:cs="Arial"/>
          <w:sz w:val="24"/>
          <w:szCs w:val="24"/>
        </w:rPr>
        <w:t xml:space="preserve">, which are related to physical properties such as sectioning thickness and slide scanner illumination brightness. Based on those log-transformed channels, a color separation using the </w:t>
      </w:r>
      <w:r w:rsidR="004A4841" w:rsidRPr="00A63C4A">
        <w:rPr>
          <w:rFonts w:cs="Arial"/>
          <w:sz w:val="24"/>
          <w:szCs w:val="24"/>
        </w:rPr>
        <w:t>hue saturation density</w:t>
      </w:r>
      <w:r w:rsidRPr="00A63C4A">
        <w:rPr>
          <w:rFonts w:cs="Arial"/>
          <w:sz w:val="24"/>
          <w:szCs w:val="24"/>
        </w:rPr>
        <w:t xml:space="preserve"> model estimates the density of the brown color from the DAB dye, which is referred to in the manuscript as the OD. An initial output in the range </w:t>
      </w:r>
      <w:r w:rsidR="00A63C4A" w:rsidRPr="00A63C4A">
        <w:rPr>
          <w:rFonts w:cs="Arial"/>
          <w:sz w:val="24"/>
          <w:szCs w:val="24"/>
        </w:rPr>
        <w:t>(</w:t>
      </w:r>
      <w:r w:rsidRPr="00A63C4A">
        <w:rPr>
          <w:rFonts w:cs="Arial"/>
          <w:sz w:val="24"/>
          <w:szCs w:val="24"/>
        </w:rPr>
        <w:t xml:space="preserve">0 </w:t>
      </w:r>
      <w:r w:rsidRPr="00A63C4A">
        <w:rPr>
          <w:rFonts w:cs="Arial"/>
          <w:i/>
          <w:sz w:val="24"/>
          <w:szCs w:val="24"/>
        </w:rPr>
        <w:t xml:space="preserve">... </w:t>
      </w:r>
      <w:r w:rsidRPr="00A63C4A">
        <w:rPr>
          <w:rFonts w:cs="Arial"/>
          <w:sz w:val="24"/>
          <w:szCs w:val="24"/>
        </w:rPr>
        <w:t>5</w:t>
      </w:r>
      <w:r w:rsidRPr="00A63C4A">
        <w:rPr>
          <w:rFonts w:cs="Arial"/>
          <w:i/>
          <w:sz w:val="24"/>
          <w:szCs w:val="24"/>
        </w:rPr>
        <w:t>.</w:t>
      </w:r>
      <w:r w:rsidRPr="00A63C4A">
        <w:rPr>
          <w:rFonts w:cs="Arial"/>
          <w:sz w:val="24"/>
          <w:szCs w:val="24"/>
        </w:rPr>
        <w:t>75</w:t>
      </w:r>
      <w:r w:rsidR="00A63C4A" w:rsidRPr="00A63C4A">
        <w:rPr>
          <w:rFonts w:cs="Arial"/>
          <w:sz w:val="24"/>
          <w:szCs w:val="24"/>
        </w:rPr>
        <w:t>)</w:t>
      </w:r>
      <w:r w:rsidR="0010419B" w:rsidRPr="00A63C4A">
        <w:rPr>
          <w:rFonts w:cs="Arial"/>
          <w:color w:val="0000FF"/>
          <w:sz w:val="24"/>
          <w:szCs w:val="24"/>
          <w:vertAlign w:val="superscript"/>
        </w:rPr>
        <w:t>5</w:t>
      </w:r>
      <w:r w:rsidR="00884F3E" w:rsidRPr="00A63C4A">
        <w:rPr>
          <w:rFonts w:cs="Arial"/>
          <w:sz w:val="24"/>
          <w:szCs w:val="24"/>
        </w:rPr>
        <w:t xml:space="preserve"> </w:t>
      </w:r>
      <w:r w:rsidRPr="00A63C4A">
        <w:rPr>
          <w:rFonts w:cs="Arial"/>
          <w:sz w:val="24"/>
          <w:szCs w:val="24"/>
        </w:rPr>
        <w:t xml:space="preserve">is converted to the standard </w:t>
      </w:r>
      <w:r w:rsidR="00FC03D7" w:rsidRPr="00A63C4A">
        <w:rPr>
          <w:rFonts w:cs="Arial"/>
          <w:sz w:val="24"/>
          <w:szCs w:val="24"/>
        </w:rPr>
        <w:t xml:space="preserve">red-green-blue </w:t>
      </w:r>
      <w:r w:rsidRPr="00A63C4A">
        <w:rPr>
          <w:rFonts w:cs="Arial"/>
          <w:sz w:val="24"/>
          <w:szCs w:val="24"/>
        </w:rPr>
        <w:t xml:space="preserve">grayscale range </w:t>
      </w:r>
      <w:r w:rsidR="00A63C4A" w:rsidRPr="00A63C4A">
        <w:rPr>
          <w:rFonts w:cs="Arial"/>
          <w:sz w:val="24"/>
          <w:szCs w:val="24"/>
        </w:rPr>
        <w:t>(</w:t>
      </w:r>
      <w:r w:rsidRPr="00A63C4A">
        <w:rPr>
          <w:rFonts w:cs="Arial"/>
          <w:sz w:val="24"/>
          <w:szCs w:val="24"/>
        </w:rPr>
        <w:t xml:space="preserve">0 </w:t>
      </w:r>
      <w:r w:rsidRPr="00A63C4A">
        <w:rPr>
          <w:rFonts w:cs="Arial"/>
          <w:i/>
          <w:sz w:val="24"/>
          <w:szCs w:val="24"/>
        </w:rPr>
        <w:t xml:space="preserve">... </w:t>
      </w:r>
      <w:r w:rsidRPr="00A63C4A">
        <w:rPr>
          <w:rFonts w:cs="Arial"/>
          <w:sz w:val="24"/>
          <w:szCs w:val="24"/>
        </w:rPr>
        <w:t>255</w:t>
      </w:r>
      <w:r w:rsidR="00A63C4A" w:rsidRPr="00A63C4A">
        <w:rPr>
          <w:rFonts w:cs="Arial"/>
          <w:sz w:val="24"/>
          <w:szCs w:val="24"/>
        </w:rPr>
        <w:t>)</w:t>
      </w:r>
      <w:r w:rsidRPr="00A63C4A">
        <w:rPr>
          <w:rFonts w:cs="Arial"/>
          <w:sz w:val="24"/>
          <w:szCs w:val="24"/>
        </w:rPr>
        <w:t xml:space="preserve"> by applying a scaling factor.</w:t>
      </w:r>
    </w:p>
    <w:p w14:paraId="56DD0F87" w14:textId="77777777" w:rsidR="00D7514C" w:rsidRPr="00A63C4A" w:rsidRDefault="00D7514C" w:rsidP="00D7514C">
      <w:pPr>
        <w:pStyle w:val="BodyText"/>
        <w:rPr>
          <w:rFonts w:cs="Arial"/>
          <w:sz w:val="24"/>
          <w:szCs w:val="24"/>
        </w:rPr>
      </w:pPr>
    </w:p>
    <w:p w14:paraId="79A99D15" w14:textId="77777777" w:rsidR="00D7514C" w:rsidRPr="00A63C4A" w:rsidRDefault="00D7514C" w:rsidP="00D7514C">
      <w:pPr>
        <w:spacing w:line="240" w:lineRule="auto"/>
        <w:rPr>
          <w:rFonts w:cs="Arial"/>
          <w:b/>
          <w:szCs w:val="24"/>
        </w:rPr>
      </w:pPr>
      <w:r w:rsidRPr="00A63C4A">
        <w:rPr>
          <w:rFonts w:cs="Arial"/>
          <w:b/>
          <w:szCs w:val="24"/>
        </w:rPr>
        <w:br w:type="page"/>
      </w:r>
    </w:p>
    <w:p w14:paraId="7AFC362C" w14:textId="566766C9" w:rsidR="00D7514C" w:rsidRPr="00A63C4A" w:rsidRDefault="00D7514C" w:rsidP="00D7514C">
      <w:pPr>
        <w:pStyle w:val="BodyText"/>
        <w:ind w:right="151"/>
        <w:rPr>
          <w:rFonts w:cs="Arial"/>
          <w:sz w:val="24"/>
          <w:szCs w:val="24"/>
        </w:rPr>
      </w:pPr>
      <w:r w:rsidRPr="00A63C4A">
        <w:rPr>
          <w:rFonts w:cs="Arial"/>
          <w:b/>
          <w:sz w:val="24"/>
          <w:szCs w:val="24"/>
        </w:rPr>
        <w:lastRenderedPageBreak/>
        <w:t xml:space="preserve">Supplementary Figure </w:t>
      </w:r>
      <w:r w:rsidR="00BF39B1" w:rsidRPr="00A63C4A">
        <w:rPr>
          <w:rFonts w:cs="Arial"/>
          <w:b/>
          <w:sz w:val="24"/>
          <w:szCs w:val="24"/>
        </w:rPr>
        <w:t>S</w:t>
      </w:r>
      <w:r w:rsidR="00DC6EBA" w:rsidRPr="00A63C4A">
        <w:rPr>
          <w:rFonts w:cs="Arial"/>
          <w:b/>
          <w:sz w:val="24"/>
          <w:szCs w:val="24"/>
        </w:rPr>
        <w:t>6</w:t>
      </w:r>
      <w:r w:rsidRPr="00A63C4A">
        <w:rPr>
          <w:rFonts w:cs="Arial"/>
          <w:b/>
          <w:sz w:val="24"/>
          <w:szCs w:val="24"/>
        </w:rPr>
        <w:t xml:space="preserve">. </w:t>
      </w:r>
      <w:r w:rsidRPr="00A63C4A">
        <w:rPr>
          <w:rFonts w:cs="Arial"/>
          <w:sz w:val="24"/>
          <w:szCs w:val="24"/>
        </w:rPr>
        <w:t>The hue saturation density model</w:t>
      </w:r>
      <w:hyperlink w:anchor="_bookmark31" w:history="1">
        <w:r w:rsidRPr="00A63C4A">
          <w:rPr>
            <w:rFonts w:cs="Arial"/>
            <w:color w:val="0000FF"/>
            <w:sz w:val="24"/>
            <w:szCs w:val="24"/>
            <w:vertAlign w:val="superscript"/>
          </w:rPr>
          <w:t>5</w:t>
        </w:r>
      </w:hyperlink>
      <w:r w:rsidRPr="00A63C4A">
        <w:rPr>
          <w:rFonts w:cs="Arial"/>
          <w:color w:val="0000FF"/>
          <w:sz w:val="24"/>
          <w:szCs w:val="24"/>
        </w:rPr>
        <w:t xml:space="preserve"> </w:t>
      </w:r>
      <w:r w:rsidRPr="00A63C4A">
        <w:rPr>
          <w:rFonts w:cs="Arial"/>
          <w:sz w:val="24"/>
          <w:szCs w:val="24"/>
        </w:rPr>
        <w:t>estimates 3,3-diaminobenzidine (DAB) staining and</w:t>
      </w:r>
      <w:r w:rsidR="001D4750" w:rsidRPr="00A63C4A">
        <w:rPr>
          <w:rFonts w:cs="Arial"/>
          <w:sz w:val="24"/>
          <w:szCs w:val="24"/>
        </w:rPr>
        <w:t>,</w:t>
      </w:r>
      <w:r w:rsidRPr="00A63C4A">
        <w:rPr>
          <w:rFonts w:cs="Arial"/>
          <w:sz w:val="24"/>
          <w:szCs w:val="24"/>
        </w:rPr>
        <w:t xml:space="preserve"> therefore</w:t>
      </w:r>
      <w:r w:rsidR="001D4750" w:rsidRPr="00A63C4A">
        <w:rPr>
          <w:rFonts w:cs="Arial"/>
          <w:sz w:val="24"/>
          <w:szCs w:val="24"/>
        </w:rPr>
        <w:t>,</w:t>
      </w:r>
      <w:r w:rsidRPr="00A63C4A">
        <w:rPr>
          <w:rFonts w:cs="Arial"/>
          <w:sz w:val="24"/>
          <w:szCs w:val="24"/>
        </w:rPr>
        <w:t xml:space="preserve"> human epidermal growth factor receptor 2 (HER2) expression in each tumor cell as optical density. HRP, horseradish peroxidase; </w:t>
      </w:r>
      <w:r w:rsidR="00A04D35" w:rsidRPr="00A63C4A">
        <w:rPr>
          <w:rFonts w:cs="Arial"/>
          <w:sz w:val="24"/>
          <w:szCs w:val="24"/>
        </w:rPr>
        <w:t xml:space="preserve">IHC, immunohistochemistry; </w:t>
      </w:r>
      <w:r w:rsidRPr="00A63C4A">
        <w:rPr>
          <w:rFonts w:cs="Arial"/>
          <w:sz w:val="24"/>
          <w:szCs w:val="24"/>
        </w:rPr>
        <w:t>RGB, red-green-blue.</w:t>
      </w:r>
    </w:p>
    <w:p w14:paraId="38B72674" w14:textId="77777777" w:rsidR="00D7514C" w:rsidRPr="00A63C4A" w:rsidRDefault="00D7514C" w:rsidP="00D7514C">
      <w:r w:rsidRPr="00A63C4A">
        <w:rPr>
          <w:noProof/>
        </w:rPr>
        <w:drawing>
          <wp:inline distT="0" distB="0" distL="0" distR="0" wp14:anchorId="08BF8B65" wp14:editId="375369D9">
            <wp:extent cx="5943600" cy="2959100"/>
            <wp:effectExtent l="0" t="0" r="0" b="0"/>
            <wp:docPr id="33" name="Picture 33" descr="Graphical user interface, text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text, chat or text message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AFC57" w14:textId="77777777" w:rsidR="00D7514C" w:rsidRPr="00A63C4A" w:rsidRDefault="00D7514C" w:rsidP="00D7514C">
      <w:pPr>
        <w:spacing w:line="240" w:lineRule="auto"/>
        <w:rPr>
          <w:rFonts w:eastAsia="Arial" w:cs="Arial"/>
          <w:b/>
          <w:bCs/>
          <w:szCs w:val="24"/>
        </w:rPr>
      </w:pPr>
      <w:r w:rsidRPr="00A63C4A">
        <w:br w:type="page"/>
      </w:r>
    </w:p>
    <w:p w14:paraId="3C05F53D" w14:textId="55B4C14D" w:rsidR="00F12B78" w:rsidRPr="00A63C4A" w:rsidRDefault="00F12B78" w:rsidP="008F2230">
      <w:pPr>
        <w:pStyle w:val="Heading1"/>
        <w:ind w:left="0"/>
      </w:pPr>
      <w:r w:rsidRPr="00A63C4A">
        <w:lastRenderedPageBreak/>
        <w:t>References</w:t>
      </w:r>
    </w:p>
    <w:p w14:paraId="12E7BE09" w14:textId="2F2340C8" w:rsidR="00F12B78" w:rsidRPr="00A63C4A" w:rsidRDefault="00794035" w:rsidP="001169CF">
      <w:pPr>
        <w:pStyle w:val="ListParagraph"/>
        <w:tabs>
          <w:tab w:val="left" w:pos="284"/>
        </w:tabs>
        <w:ind w:left="284" w:right="151" w:hanging="284"/>
        <w:rPr>
          <w:rFonts w:cs="Arial"/>
          <w:szCs w:val="24"/>
        </w:rPr>
      </w:pPr>
      <w:r w:rsidRPr="00A63C4A">
        <w:t>1</w:t>
      </w:r>
      <w:r w:rsidR="00F12B78" w:rsidRPr="00A63C4A">
        <w:t xml:space="preserve">. </w:t>
      </w:r>
      <w:r w:rsidR="00F12B78" w:rsidRPr="00A63C4A">
        <w:rPr>
          <w:rFonts w:cs="Arial"/>
          <w:szCs w:val="24"/>
        </w:rPr>
        <w:t xml:space="preserve">Wolff, A. C. </w:t>
      </w:r>
      <w:r w:rsidR="00F12B78" w:rsidRPr="00A63C4A">
        <w:rPr>
          <w:rFonts w:cs="Arial"/>
          <w:i/>
          <w:szCs w:val="24"/>
        </w:rPr>
        <w:t>et al.</w:t>
      </w:r>
      <w:r w:rsidR="00F12B78" w:rsidRPr="00A63C4A">
        <w:rPr>
          <w:rFonts w:cs="Arial"/>
          <w:iCs/>
          <w:szCs w:val="24"/>
        </w:rPr>
        <w:t xml:space="preserve"> H</w:t>
      </w:r>
      <w:r w:rsidR="00F12B78" w:rsidRPr="00A63C4A">
        <w:rPr>
          <w:rFonts w:cs="Arial"/>
          <w:szCs w:val="24"/>
        </w:rPr>
        <w:t xml:space="preserve">uman epidermal growth factor receptor 2 testing in breast cancer: American Society of Clinical Oncology/College of American Pathologists clinical practice guideline focused update. </w:t>
      </w:r>
      <w:r w:rsidR="00F12B78" w:rsidRPr="00A63C4A">
        <w:rPr>
          <w:rFonts w:cs="Arial"/>
          <w:i/>
          <w:szCs w:val="24"/>
        </w:rPr>
        <w:t xml:space="preserve">Arch. Pathol. Lab. Med. </w:t>
      </w:r>
      <w:r w:rsidR="00F12B78" w:rsidRPr="00A63C4A">
        <w:rPr>
          <w:rFonts w:cs="Arial"/>
          <w:b/>
          <w:szCs w:val="24"/>
        </w:rPr>
        <w:t>142</w:t>
      </w:r>
      <w:r w:rsidR="00F12B78" w:rsidRPr="00A63C4A">
        <w:rPr>
          <w:rFonts w:cs="Arial"/>
          <w:szCs w:val="24"/>
        </w:rPr>
        <w:t>, 1364</w:t>
      </w:r>
      <w:r w:rsidR="00B168CD" w:rsidRPr="00A63C4A">
        <w:rPr>
          <w:rFonts w:cs="Arial"/>
          <w:szCs w:val="24"/>
        </w:rPr>
        <w:t>–</w:t>
      </w:r>
      <w:r w:rsidR="00F12B78" w:rsidRPr="00A63C4A">
        <w:rPr>
          <w:rFonts w:cs="Arial"/>
          <w:szCs w:val="24"/>
        </w:rPr>
        <w:t>1382 (2018).</w:t>
      </w:r>
    </w:p>
    <w:p w14:paraId="63161B3E" w14:textId="55D21141" w:rsidR="00F12B78" w:rsidRPr="00A63C4A" w:rsidRDefault="00794035" w:rsidP="001169CF">
      <w:pPr>
        <w:pStyle w:val="ListParagraph"/>
        <w:tabs>
          <w:tab w:val="left" w:pos="284"/>
        </w:tabs>
        <w:ind w:left="284" w:right="151" w:hanging="284"/>
        <w:rPr>
          <w:rFonts w:cs="Arial"/>
          <w:szCs w:val="24"/>
        </w:rPr>
      </w:pPr>
      <w:r w:rsidRPr="00A63C4A">
        <w:rPr>
          <w:rFonts w:cs="Arial"/>
          <w:szCs w:val="24"/>
        </w:rPr>
        <w:t>2</w:t>
      </w:r>
      <w:r w:rsidR="00F12B78" w:rsidRPr="00A63C4A">
        <w:rPr>
          <w:rFonts w:cs="Arial"/>
          <w:szCs w:val="24"/>
        </w:rPr>
        <w:t xml:space="preserve">. Miglietta, F. </w:t>
      </w:r>
      <w:r w:rsidR="00F12B78" w:rsidRPr="00A63C4A">
        <w:rPr>
          <w:rFonts w:cs="Arial"/>
          <w:i/>
          <w:szCs w:val="24"/>
        </w:rPr>
        <w:t>et al.</w:t>
      </w:r>
      <w:r w:rsidR="00F12B78" w:rsidRPr="00A63C4A">
        <w:rPr>
          <w:rFonts w:cs="Arial"/>
          <w:iCs/>
          <w:szCs w:val="24"/>
        </w:rPr>
        <w:t xml:space="preserve"> </w:t>
      </w:r>
      <w:r w:rsidR="00F12B78" w:rsidRPr="00A63C4A">
        <w:rPr>
          <w:rFonts w:cs="Arial"/>
          <w:szCs w:val="24"/>
        </w:rPr>
        <w:t xml:space="preserve">Evolution of HER2-low expression from primary to recurrent breast cancer. </w:t>
      </w:r>
      <w:r w:rsidR="00F12B78" w:rsidRPr="00A63C4A">
        <w:rPr>
          <w:rFonts w:cs="Arial"/>
          <w:i/>
          <w:szCs w:val="24"/>
        </w:rPr>
        <w:t xml:space="preserve">NPJ Breast Cancer </w:t>
      </w:r>
      <w:r w:rsidR="00F12B78" w:rsidRPr="00A63C4A">
        <w:rPr>
          <w:rFonts w:cs="Arial"/>
          <w:b/>
          <w:szCs w:val="24"/>
        </w:rPr>
        <w:t>7</w:t>
      </w:r>
      <w:r w:rsidR="00F12B78" w:rsidRPr="00A63C4A">
        <w:rPr>
          <w:rFonts w:cs="Arial"/>
          <w:szCs w:val="24"/>
        </w:rPr>
        <w:t xml:space="preserve">, </w:t>
      </w:r>
      <w:r w:rsidR="00D96F66" w:rsidRPr="00A63C4A">
        <w:rPr>
          <w:rFonts w:cs="Arial"/>
          <w:szCs w:val="24"/>
        </w:rPr>
        <w:t>137</w:t>
      </w:r>
      <w:r w:rsidR="00F12B78" w:rsidRPr="00A63C4A">
        <w:rPr>
          <w:rFonts w:cs="Arial"/>
          <w:szCs w:val="24"/>
        </w:rPr>
        <w:t xml:space="preserve"> (2021).</w:t>
      </w:r>
    </w:p>
    <w:p w14:paraId="328585C5" w14:textId="02E40CB5" w:rsidR="00794035" w:rsidRPr="00A63C4A" w:rsidRDefault="00794035" w:rsidP="001169CF">
      <w:pPr>
        <w:pStyle w:val="ListParagraph"/>
        <w:tabs>
          <w:tab w:val="left" w:pos="284"/>
        </w:tabs>
        <w:ind w:left="284" w:right="148" w:hanging="284"/>
        <w:rPr>
          <w:rFonts w:cs="Arial"/>
          <w:szCs w:val="24"/>
        </w:rPr>
      </w:pPr>
      <w:r w:rsidRPr="00A63C4A">
        <w:rPr>
          <w:rFonts w:cs="Arial"/>
          <w:szCs w:val="24"/>
        </w:rPr>
        <w:t xml:space="preserve">3. Rebelatto, M. C. </w:t>
      </w:r>
      <w:r w:rsidRPr="00A63C4A">
        <w:rPr>
          <w:rFonts w:cs="Arial"/>
          <w:i/>
          <w:szCs w:val="24"/>
        </w:rPr>
        <w:t>et al</w:t>
      </w:r>
      <w:r w:rsidRPr="00A63C4A">
        <w:rPr>
          <w:rFonts w:cs="Arial"/>
          <w:iCs/>
          <w:szCs w:val="24"/>
        </w:rPr>
        <w:t xml:space="preserve">. </w:t>
      </w:r>
      <w:r w:rsidRPr="00A63C4A">
        <w:rPr>
          <w:rFonts w:cs="Arial"/>
          <w:szCs w:val="24"/>
        </w:rPr>
        <w:t xml:space="preserve">Development of a programmed cell death ligand-1 immunohistochemical assay validated for analysis of non-small cell lung cancer and head and neck squamous cell carcinoma. </w:t>
      </w:r>
      <w:r w:rsidRPr="00A63C4A">
        <w:rPr>
          <w:rFonts w:cs="Arial"/>
          <w:i/>
          <w:szCs w:val="24"/>
        </w:rPr>
        <w:t xml:space="preserve">Diagn. Pathol. </w:t>
      </w:r>
      <w:r w:rsidRPr="00A63C4A">
        <w:rPr>
          <w:rFonts w:cs="Arial"/>
          <w:b/>
          <w:szCs w:val="24"/>
        </w:rPr>
        <w:t>11</w:t>
      </w:r>
      <w:r w:rsidRPr="00A63C4A">
        <w:rPr>
          <w:rFonts w:cs="Arial"/>
          <w:szCs w:val="24"/>
        </w:rPr>
        <w:t>, 95 (2016).</w:t>
      </w:r>
    </w:p>
    <w:p w14:paraId="6A5E44B7" w14:textId="71F435C5" w:rsidR="00F12B78" w:rsidRPr="00A63C4A" w:rsidRDefault="00794035" w:rsidP="001169CF">
      <w:pPr>
        <w:pStyle w:val="ListParagraph"/>
        <w:tabs>
          <w:tab w:val="left" w:pos="284"/>
        </w:tabs>
        <w:ind w:left="284" w:right="136" w:hanging="284"/>
        <w:rPr>
          <w:rFonts w:cs="Arial"/>
          <w:szCs w:val="24"/>
        </w:rPr>
      </w:pPr>
      <w:r w:rsidRPr="00A63C4A">
        <w:rPr>
          <w:rFonts w:cs="Arial"/>
          <w:szCs w:val="24"/>
        </w:rPr>
        <w:t>4</w:t>
      </w:r>
      <w:r w:rsidR="00F12B78" w:rsidRPr="00A63C4A">
        <w:rPr>
          <w:rFonts w:cs="Arial"/>
          <w:szCs w:val="24"/>
        </w:rPr>
        <w:t xml:space="preserve">. Kapil, A. </w:t>
      </w:r>
      <w:r w:rsidR="00F12B78" w:rsidRPr="00A63C4A">
        <w:rPr>
          <w:rFonts w:cs="Arial"/>
          <w:i/>
          <w:szCs w:val="24"/>
        </w:rPr>
        <w:t>et al</w:t>
      </w:r>
      <w:r w:rsidR="00F12B78" w:rsidRPr="00A63C4A">
        <w:rPr>
          <w:rFonts w:cs="Arial"/>
          <w:iCs/>
          <w:szCs w:val="24"/>
        </w:rPr>
        <w:t>. D</w:t>
      </w:r>
      <w:r w:rsidR="00F12B78" w:rsidRPr="00A63C4A">
        <w:rPr>
          <w:rFonts w:cs="Arial"/>
          <w:szCs w:val="24"/>
        </w:rPr>
        <w:t xml:space="preserve">omain adaptation-based deep learning for automated tumor cell (TC) scoring and survival analysis on PD-L1 stained tissue images. </w:t>
      </w:r>
      <w:r w:rsidR="00F12B78" w:rsidRPr="00A63C4A">
        <w:rPr>
          <w:rFonts w:cs="Arial"/>
          <w:i/>
          <w:szCs w:val="24"/>
        </w:rPr>
        <w:t xml:space="preserve">IEEE Trans. Med. Imaging </w:t>
      </w:r>
      <w:r w:rsidR="00F12B78" w:rsidRPr="00A63C4A">
        <w:rPr>
          <w:rFonts w:cs="Arial"/>
          <w:b/>
          <w:szCs w:val="24"/>
        </w:rPr>
        <w:t>40</w:t>
      </w:r>
      <w:r w:rsidR="00F12B78" w:rsidRPr="00A63C4A">
        <w:rPr>
          <w:rFonts w:cs="Arial"/>
          <w:szCs w:val="24"/>
        </w:rPr>
        <w:t>, 2513</w:t>
      </w:r>
      <w:r w:rsidR="00B168CD" w:rsidRPr="00A63C4A">
        <w:rPr>
          <w:rFonts w:cs="Arial"/>
          <w:szCs w:val="24"/>
        </w:rPr>
        <w:t>–</w:t>
      </w:r>
      <w:r w:rsidR="00F12B78" w:rsidRPr="00A63C4A">
        <w:rPr>
          <w:rFonts w:cs="Arial"/>
          <w:szCs w:val="24"/>
        </w:rPr>
        <w:t>2523 (2021).</w:t>
      </w:r>
    </w:p>
    <w:p w14:paraId="457B301B" w14:textId="77449452" w:rsidR="00794035" w:rsidRPr="00472EC8" w:rsidRDefault="00794035" w:rsidP="001169CF">
      <w:pPr>
        <w:pStyle w:val="ListParagraph"/>
        <w:tabs>
          <w:tab w:val="left" w:pos="284"/>
        </w:tabs>
        <w:ind w:left="284" w:right="151" w:hanging="284"/>
        <w:rPr>
          <w:rFonts w:cs="Arial"/>
          <w:szCs w:val="24"/>
        </w:rPr>
      </w:pPr>
      <w:r w:rsidRPr="00A63C4A">
        <w:rPr>
          <w:rFonts w:cs="Arial"/>
          <w:szCs w:val="24"/>
        </w:rPr>
        <w:t xml:space="preserve">5. Van der Laak, J. A., Pahlplatz, M. M., Hanselaar, A. G. &amp; de Wilde, P. C. </w:t>
      </w:r>
      <w:r w:rsidR="00FC0DA7" w:rsidRPr="00A63C4A">
        <w:rPr>
          <w:rFonts w:cs="Arial"/>
          <w:szCs w:val="24"/>
        </w:rPr>
        <w:br/>
      </w:r>
      <w:r w:rsidRPr="00A63C4A">
        <w:rPr>
          <w:rFonts w:cs="Arial"/>
          <w:szCs w:val="24"/>
        </w:rPr>
        <w:t xml:space="preserve">Hue-saturation-density (HSD) model for stain recognition in digital images from transmitted light microscopy. </w:t>
      </w:r>
      <w:r w:rsidRPr="00A63C4A">
        <w:rPr>
          <w:rFonts w:cs="Arial"/>
          <w:i/>
          <w:szCs w:val="24"/>
        </w:rPr>
        <w:t xml:space="preserve">Cytometry </w:t>
      </w:r>
      <w:r w:rsidRPr="00A63C4A">
        <w:rPr>
          <w:rFonts w:cs="Arial"/>
          <w:b/>
          <w:szCs w:val="24"/>
        </w:rPr>
        <w:t>39</w:t>
      </w:r>
      <w:r w:rsidRPr="00A63C4A">
        <w:rPr>
          <w:rFonts w:cs="Arial"/>
          <w:szCs w:val="24"/>
        </w:rPr>
        <w:t>, 275</w:t>
      </w:r>
      <w:r w:rsidR="00B168CD" w:rsidRPr="00A63C4A">
        <w:rPr>
          <w:rFonts w:cs="Arial"/>
          <w:szCs w:val="24"/>
        </w:rPr>
        <w:t>–</w:t>
      </w:r>
      <w:r w:rsidRPr="00A63C4A">
        <w:rPr>
          <w:rFonts w:cs="Arial"/>
          <w:szCs w:val="24"/>
        </w:rPr>
        <w:t>284 (2000).</w:t>
      </w:r>
    </w:p>
    <w:p w14:paraId="44F2CBAD" w14:textId="3D7EFEAA" w:rsidR="00F12B78" w:rsidRPr="00472EC8" w:rsidRDefault="00F12B78" w:rsidP="00270650">
      <w:pPr>
        <w:pStyle w:val="ListParagraph"/>
        <w:ind w:left="0" w:right="151" w:firstLine="0"/>
        <w:rPr>
          <w:rFonts w:cs="Arial"/>
          <w:szCs w:val="24"/>
        </w:rPr>
      </w:pPr>
    </w:p>
    <w:p w14:paraId="126877F9" w14:textId="5F720FBF" w:rsidR="00F12B78" w:rsidRPr="00472EC8" w:rsidRDefault="00F12B78" w:rsidP="007707D1"/>
    <w:sectPr w:rsidR="00F12B78" w:rsidRPr="00472EC8" w:rsidSect="00A40192">
      <w:pgSz w:w="12240" w:h="15840"/>
      <w:pgMar w:top="1440" w:right="1440" w:bottom="1440" w:left="1440" w:header="0" w:footer="6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12C97" w14:textId="77777777" w:rsidR="00260090" w:rsidRDefault="00260090">
      <w:r>
        <w:separator/>
      </w:r>
    </w:p>
  </w:endnote>
  <w:endnote w:type="continuationSeparator" w:id="0">
    <w:p w14:paraId="28B60958" w14:textId="77777777" w:rsidR="00260090" w:rsidRDefault="00260090">
      <w:r>
        <w:continuationSeparator/>
      </w:r>
    </w:p>
  </w:endnote>
  <w:endnote w:type="continuationNotice" w:id="1">
    <w:p w14:paraId="5FF15641" w14:textId="77777777" w:rsidR="00260090" w:rsidRDefault="0026009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73868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E35608" w14:textId="6387F4C4" w:rsidR="00042FF2" w:rsidRDefault="00042F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2EE649" w14:textId="21C37EC7" w:rsidR="00AE1560" w:rsidRDefault="00AE1560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70D70" w14:textId="77777777" w:rsidR="00260090" w:rsidRDefault="00260090">
      <w:r>
        <w:separator/>
      </w:r>
    </w:p>
  </w:footnote>
  <w:footnote w:type="continuationSeparator" w:id="0">
    <w:p w14:paraId="43B50E4B" w14:textId="77777777" w:rsidR="00260090" w:rsidRDefault="00260090">
      <w:r>
        <w:continuationSeparator/>
      </w:r>
    </w:p>
  </w:footnote>
  <w:footnote w:type="continuationNotice" w:id="1">
    <w:p w14:paraId="4AEC8B5B" w14:textId="77777777" w:rsidR="00260090" w:rsidRDefault="00260090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30173"/>
    <w:multiLevelType w:val="hybridMultilevel"/>
    <w:tmpl w:val="790AD284"/>
    <w:lvl w:ilvl="0" w:tplc="AF18A8F2">
      <w:start w:val="1"/>
      <w:numFmt w:val="lowerLetter"/>
      <w:lvlText w:val="(%1)"/>
      <w:lvlJc w:val="left"/>
      <w:pPr>
        <w:ind w:left="278" w:hanging="269"/>
        <w:jc w:val="right"/>
      </w:pPr>
      <w:rPr>
        <w:rFonts w:ascii="Arial" w:eastAsia="Arial" w:hAnsi="Arial" w:cs="Arial" w:hint="default"/>
        <w:b/>
        <w:bCs/>
        <w:i w:val="0"/>
        <w:iCs w:val="0"/>
        <w:w w:val="99"/>
        <w:sz w:val="18"/>
        <w:szCs w:val="18"/>
        <w:lang w:val="en-US" w:eastAsia="en-US" w:bidi="ar-SA"/>
      </w:rPr>
    </w:lvl>
    <w:lvl w:ilvl="1" w:tplc="F3FA5A8E">
      <w:start w:val="1"/>
      <w:numFmt w:val="lowerLetter"/>
      <w:lvlText w:val="(%2)"/>
      <w:lvlJc w:val="left"/>
      <w:pPr>
        <w:ind w:left="2851" w:hanging="269"/>
        <w:jc w:val="right"/>
      </w:pPr>
      <w:rPr>
        <w:rFonts w:ascii="Arial" w:eastAsia="Arial" w:hAnsi="Arial" w:cs="Arial" w:hint="default"/>
        <w:b/>
        <w:bCs/>
        <w:i w:val="0"/>
        <w:iCs w:val="0"/>
        <w:w w:val="99"/>
        <w:sz w:val="18"/>
        <w:szCs w:val="18"/>
        <w:lang w:val="en-US" w:eastAsia="en-US" w:bidi="ar-SA"/>
      </w:rPr>
    </w:lvl>
    <w:lvl w:ilvl="2" w:tplc="5C989F34">
      <w:numFmt w:val="bullet"/>
      <w:lvlText w:val="•"/>
      <w:lvlJc w:val="left"/>
      <w:pPr>
        <w:ind w:left="2981" w:hanging="269"/>
      </w:pPr>
      <w:rPr>
        <w:rFonts w:hint="default"/>
        <w:lang w:val="en-US" w:eastAsia="en-US" w:bidi="ar-SA"/>
      </w:rPr>
    </w:lvl>
    <w:lvl w:ilvl="3" w:tplc="2DD4874E">
      <w:numFmt w:val="bullet"/>
      <w:lvlText w:val="•"/>
      <w:lvlJc w:val="left"/>
      <w:pPr>
        <w:ind w:left="3102" w:hanging="269"/>
      </w:pPr>
      <w:rPr>
        <w:rFonts w:hint="default"/>
        <w:lang w:val="en-US" w:eastAsia="en-US" w:bidi="ar-SA"/>
      </w:rPr>
    </w:lvl>
    <w:lvl w:ilvl="4" w:tplc="49DE61BA">
      <w:numFmt w:val="bullet"/>
      <w:lvlText w:val="•"/>
      <w:lvlJc w:val="left"/>
      <w:pPr>
        <w:ind w:left="3223" w:hanging="269"/>
      </w:pPr>
      <w:rPr>
        <w:rFonts w:hint="default"/>
        <w:lang w:val="en-US" w:eastAsia="en-US" w:bidi="ar-SA"/>
      </w:rPr>
    </w:lvl>
    <w:lvl w:ilvl="5" w:tplc="BB986C74">
      <w:numFmt w:val="bullet"/>
      <w:lvlText w:val="•"/>
      <w:lvlJc w:val="left"/>
      <w:pPr>
        <w:ind w:left="3344" w:hanging="269"/>
      </w:pPr>
      <w:rPr>
        <w:rFonts w:hint="default"/>
        <w:lang w:val="en-US" w:eastAsia="en-US" w:bidi="ar-SA"/>
      </w:rPr>
    </w:lvl>
    <w:lvl w:ilvl="6" w:tplc="1678787C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99DABC04">
      <w:numFmt w:val="bullet"/>
      <w:lvlText w:val="•"/>
      <w:lvlJc w:val="left"/>
      <w:pPr>
        <w:ind w:left="3586" w:hanging="269"/>
      </w:pPr>
      <w:rPr>
        <w:rFonts w:hint="default"/>
        <w:lang w:val="en-US" w:eastAsia="en-US" w:bidi="ar-SA"/>
      </w:rPr>
    </w:lvl>
    <w:lvl w:ilvl="8" w:tplc="850EE008">
      <w:numFmt w:val="bullet"/>
      <w:lvlText w:val="•"/>
      <w:lvlJc w:val="left"/>
      <w:pPr>
        <w:ind w:left="3707" w:hanging="269"/>
      </w:pPr>
      <w:rPr>
        <w:rFonts w:hint="default"/>
        <w:lang w:val="en-US" w:eastAsia="en-US" w:bidi="ar-SA"/>
      </w:rPr>
    </w:lvl>
  </w:abstractNum>
  <w:abstractNum w:abstractNumId="1" w15:restartNumberingAfterBreak="0">
    <w:nsid w:val="04420A92"/>
    <w:multiLevelType w:val="multilevel"/>
    <w:tmpl w:val="8BE2C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5971DF"/>
    <w:multiLevelType w:val="multilevel"/>
    <w:tmpl w:val="78B4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AC3C99"/>
    <w:multiLevelType w:val="hybridMultilevel"/>
    <w:tmpl w:val="F35C9648"/>
    <w:lvl w:ilvl="0" w:tplc="8200BE90">
      <w:start w:val="1"/>
      <w:numFmt w:val="lowerLetter"/>
      <w:lvlText w:val="(%1)"/>
      <w:lvlJc w:val="left"/>
      <w:pPr>
        <w:ind w:left="367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4" w15:restartNumberingAfterBreak="0">
    <w:nsid w:val="0E2B32F6"/>
    <w:multiLevelType w:val="multilevel"/>
    <w:tmpl w:val="89AABAFA"/>
    <w:lvl w:ilvl="0">
      <w:start w:val="1"/>
      <w:numFmt w:val="decimal"/>
      <w:lvlText w:val="%1"/>
      <w:lvlJc w:val="left"/>
      <w:pPr>
        <w:ind w:left="386" w:hanging="253"/>
      </w:pPr>
      <w:rPr>
        <w:rFonts w:ascii="Arial" w:eastAsia="Arial" w:hAnsi="Arial" w:cs="Arial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10" w:hanging="377"/>
      </w:pPr>
      <w:rPr>
        <w:rFonts w:ascii="Arial" w:eastAsia="Arial" w:hAnsi="Arial" w:cs="Arial" w:hint="default"/>
        <w:b/>
        <w:bCs/>
        <w:i w:val="0"/>
        <w:iCs w:val="0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22" w:hanging="489"/>
      </w:pPr>
      <w:rPr>
        <w:rFonts w:ascii="Arial" w:eastAsia="Arial" w:hAnsi="Arial" w:cs="Arial" w:hint="default"/>
        <w:b/>
        <w:bCs/>
        <w:i/>
        <w:iCs/>
        <w:w w:val="99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632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2014" w:hanging="17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388" w:hanging="17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762" w:hanging="17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137" w:hanging="17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11" w:hanging="170"/>
      </w:pPr>
      <w:rPr>
        <w:rFonts w:hint="default"/>
        <w:lang w:val="en-US" w:eastAsia="en-US" w:bidi="ar-SA"/>
      </w:rPr>
    </w:lvl>
  </w:abstractNum>
  <w:abstractNum w:abstractNumId="5" w15:restartNumberingAfterBreak="0">
    <w:nsid w:val="0F6B238A"/>
    <w:multiLevelType w:val="hybridMultilevel"/>
    <w:tmpl w:val="1A44175A"/>
    <w:lvl w:ilvl="0" w:tplc="0409000F">
      <w:start w:val="1"/>
      <w:numFmt w:val="decimal"/>
      <w:lvlText w:val="%1."/>
      <w:lvlJc w:val="left"/>
      <w:pPr>
        <w:ind w:left="853" w:hanging="360"/>
      </w:pPr>
    </w:lvl>
    <w:lvl w:ilvl="1" w:tplc="04090019" w:tentative="1">
      <w:start w:val="1"/>
      <w:numFmt w:val="lowerLetter"/>
      <w:lvlText w:val="%2."/>
      <w:lvlJc w:val="left"/>
      <w:pPr>
        <w:ind w:left="1573" w:hanging="360"/>
      </w:pPr>
    </w:lvl>
    <w:lvl w:ilvl="2" w:tplc="0409001B" w:tentative="1">
      <w:start w:val="1"/>
      <w:numFmt w:val="lowerRoman"/>
      <w:lvlText w:val="%3."/>
      <w:lvlJc w:val="right"/>
      <w:pPr>
        <w:ind w:left="2293" w:hanging="180"/>
      </w:pPr>
    </w:lvl>
    <w:lvl w:ilvl="3" w:tplc="0409000F" w:tentative="1">
      <w:start w:val="1"/>
      <w:numFmt w:val="decimal"/>
      <w:lvlText w:val="%4."/>
      <w:lvlJc w:val="left"/>
      <w:pPr>
        <w:ind w:left="3013" w:hanging="360"/>
      </w:pPr>
    </w:lvl>
    <w:lvl w:ilvl="4" w:tplc="04090019" w:tentative="1">
      <w:start w:val="1"/>
      <w:numFmt w:val="lowerLetter"/>
      <w:lvlText w:val="%5."/>
      <w:lvlJc w:val="left"/>
      <w:pPr>
        <w:ind w:left="3733" w:hanging="360"/>
      </w:pPr>
    </w:lvl>
    <w:lvl w:ilvl="5" w:tplc="0409001B" w:tentative="1">
      <w:start w:val="1"/>
      <w:numFmt w:val="lowerRoman"/>
      <w:lvlText w:val="%6."/>
      <w:lvlJc w:val="right"/>
      <w:pPr>
        <w:ind w:left="4453" w:hanging="180"/>
      </w:pPr>
    </w:lvl>
    <w:lvl w:ilvl="6" w:tplc="0409000F" w:tentative="1">
      <w:start w:val="1"/>
      <w:numFmt w:val="decimal"/>
      <w:lvlText w:val="%7."/>
      <w:lvlJc w:val="left"/>
      <w:pPr>
        <w:ind w:left="5173" w:hanging="360"/>
      </w:pPr>
    </w:lvl>
    <w:lvl w:ilvl="7" w:tplc="04090019" w:tentative="1">
      <w:start w:val="1"/>
      <w:numFmt w:val="lowerLetter"/>
      <w:lvlText w:val="%8."/>
      <w:lvlJc w:val="left"/>
      <w:pPr>
        <w:ind w:left="5893" w:hanging="360"/>
      </w:pPr>
    </w:lvl>
    <w:lvl w:ilvl="8" w:tplc="040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6" w15:restartNumberingAfterBreak="0">
    <w:nsid w:val="0FC66457"/>
    <w:multiLevelType w:val="multilevel"/>
    <w:tmpl w:val="39FE1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444D45"/>
    <w:multiLevelType w:val="hybridMultilevel"/>
    <w:tmpl w:val="9E98DD4A"/>
    <w:lvl w:ilvl="0" w:tplc="C03098AC">
      <w:start w:val="1"/>
      <w:numFmt w:val="upp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EA97D28"/>
    <w:multiLevelType w:val="multilevel"/>
    <w:tmpl w:val="9924A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3D73DF"/>
    <w:multiLevelType w:val="multilevel"/>
    <w:tmpl w:val="F7029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BE4E81"/>
    <w:multiLevelType w:val="multilevel"/>
    <w:tmpl w:val="DF0A3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AE3874"/>
    <w:multiLevelType w:val="hybridMultilevel"/>
    <w:tmpl w:val="8FE24228"/>
    <w:lvl w:ilvl="0" w:tplc="0FAA348E">
      <w:start w:val="1"/>
      <w:numFmt w:val="decimal"/>
      <w:lvlText w:val="%1."/>
      <w:lvlJc w:val="left"/>
      <w:pPr>
        <w:ind w:left="482" w:hanging="250"/>
        <w:jc w:val="right"/>
      </w:pPr>
      <w:rPr>
        <w:rFonts w:ascii="Arial" w:hAnsi="Arial" w:cs="Times New Roman" w:hint="default"/>
        <w:b w:val="0"/>
        <w:bCs/>
        <w:i w:val="0"/>
        <w:iCs w:val="0"/>
        <w:w w:val="99"/>
        <w:sz w:val="24"/>
        <w:szCs w:val="20"/>
        <w:lang w:val="en-US" w:eastAsia="en-US" w:bidi="ar-SA"/>
      </w:rPr>
    </w:lvl>
    <w:lvl w:ilvl="1" w:tplc="F6EE9788">
      <w:numFmt w:val="bullet"/>
      <w:lvlText w:val="•"/>
      <w:lvlJc w:val="left"/>
      <w:pPr>
        <w:ind w:left="1458" w:hanging="250"/>
      </w:pPr>
      <w:rPr>
        <w:rFonts w:hint="default"/>
        <w:lang w:val="en-US" w:eastAsia="en-US" w:bidi="ar-SA"/>
      </w:rPr>
    </w:lvl>
    <w:lvl w:ilvl="2" w:tplc="EA4864C4">
      <w:numFmt w:val="bullet"/>
      <w:lvlText w:val="•"/>
      <w:lvlJc w:val="left"/>
      <w:pPr>
        <w:ind w:left="2436" w:hanging="250"/>
      </w:pPr>
      <w:rPr>
        <w:rFonts w:hint="default"/>
        <w:lang w:val="en-US" w:eastAsia="en-US" w:bidi="ar-SA"/>
      </w:rPr>
    </w:lvl>
    <w:lvl w:ilvl="3" w:tplc="1C24EF0E">
      <w:numFmt w:val="bullet"/>
      <w:lvlText w:val="•"/>
      <w:lvlJc w:val="left"/>
      <w:pPr>
        <w:ind w:left="3414" w:hanging="250"/>
      </w:pPr>
      <w:rPr>
        <w:rFonts w:hint="default"/>
        <w:lang w:val="en-US" w:eastAsia="en-US" w:bidi="ar-SA"/>
      </w:rPr>
    </w:lvl>
    <w:lvl w:ilvl="4" w:tplc="A1DCEEF6">
      <w:numFmt w:val="bullet"/>
      <w:lvlText w:val="•"/>
      <w:lvlJc w:val="left"/>
      <w:pPr>
        <w:ind w:left="4392" w:hanging="250"/>
      </w:pPr>
      <w:rPr>
        <w:rFonts w:hint="default"/>
        <w:lang w:val="en-US" w:eastAsia="en-US" w:bidi="ar-SA"/>
      </w:rPr>
    </w:lvl>
    <w:lvl w:ilvl="5" w:tplc="05B2F222">
      <w:numFmt w:val="bullet"/>
      <w:lvlText w:val="•"/>
      <w:lvlJc w:val="left"/>
      <w:pPr>
        <w:ind w:left="5370" w:hanging="250"/>
      </w:pPr>
      <w:rPr>
        <w:rFonts w:hint="default"/>
        <w:lang w:val="en-US" w:eastAsia="en-US" w:bidi="ar-SA"/>
      </w:rPr>
    </w:lvl>
    <w:lvl w:ilvl="6" w:tplc="87B830B4">
      <w:numFmt w:val="bullet"/>
      <w:lvlText w:val="•"/>
      <w:lvlJc w:val="left"/>
      <w:pPr>
        <w:ind w:left="6348" w:hanging="250"/>
      </w:pPr>
      <w:rPr>
        <w:rFonts w:hint="default"/>
        <w:lang w:val="en-US" w:eastAsia="en-US" w:bidi="ar-SA"/>
      </w:rPr>
    </w:lvl>
    <w:lvl w:ilvl="7" w:tplc="B5F403A6">
      <w:numFmt w:val="bullet"/>
      <w:lvlText w:val="•"/>
      <w:lvlJc w:val="left"/>
      <w:pPr>
        <w:ind w:left="7326" w:hanging="250"/>
      </w:pPr>
      <w:rPr>
        <w:rFonts w:hint="default"/>
        <w:lang w:val="en-US" w:eastAsia="en-US" w:bidi="ar-SA"/>
      </w:rPr>
    </w:lvl>
    <w:lvl w:ilvl="8" w:tplc="5100CB7A">
      <w:numFmt w:val="bullet"/>
      <w:lvlText w:val="•"/>
      <w:lvlJc w:val="left"/>
      <w:pPr>
        <w:ind w:left="8304" w:hanging="250"/>
      </w:pPr>
      <w:rPr>
        <w:rFonts w:hint="default"/>
        <w:lang w:val="en-US" w:eastAsia="en-US" w:bidi="ar-SA"/>
      </w:rPr>
    </w:lvl>
  </w:abstractNum>
  <w:abstractNum w:abstractNumId="12" w15:restartNumberingAfterBreak="0">
    <w:nsid w:val="52653FEB"/>
    <w:multiLevelType w:val="hybridMultilevel"/>
    <w:tmpl w:val="C8BA2DD8"/>
    <w:lvl w:ilvl="0" w:tplc="34D2B28C">
      <w:start w:val="2"/>
      <w:numFmt w:val="lowerLetter"/>
      <w:lvlText w:val="%1)"/>
      <w:lvlJc w:val="left"/>
      <w:pPr>
        <w:ind w:left="12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18"/>
        <w:szCs w:val="18"/>
        <w:lang w:val="en-US" w:eastAsia="en-US" w:bidi="ar-SA"/>
      </w:rPr>
    </w:lvl>
    <w:lvl w:ilvl="1" w:tplc="5C64C522">
      <w:numFmt w:val="bullet"/>
      <w:lvlText w:val="•"/>
      <w:lvlJc w:val="left"/>
      <w:pPr>
        <w:ind w:left="1134" w:hanging="164"/>
      </w:pPr>
      <w:rPr>
        <w:rFonts w:hint="default"/>
        <w:lang w:val="en-US" w:eastAsia="en-US" w:bidi="ar-SA"/>
      </w:rPr>
    </w:lvl>
    <w:lvl w:ilvl="2" w:tplc="1D0A5D28">
      <w:numFmt w:val="bullet"/>
      <w:lvlText w:val="•"/>
      <w:lvlJc w:val="left"/>
      <w:pPr>
        <w:ind w:left="2148" w:hanging="164"/>
      </w:pPr>
      <w:rPr>
        <w:rFonts w:hint="default"/>
        <w:lang w:val="en-US" w:eastAsia="en-US" w:bidi="ar-SA"/>
      </w:rPr>
    </w:lvl>
    <w:lvl w:ilvl="3" w:tplc="6002A5E0">
      <w:numFmt w:val="bullet"/>
      <w:lvlText w:val="•"/>
      <w:lvlJc w:val="left"/>
      <w:pPr>
        <w:ind w:left="3162" w:hanging="164"/>
      </w:pPr>
      <w:rPr>
        <w:rFonts w:hint="default"/>
        <w:lang w:val="en-US" w:eastAsia="en-US" w:bidi="ar-SA"/>
      </w:rPr>
    </w:lvl>
    <w:lvl w:ilvl="4" w:tplc="2B48DBBC">
      <w:numFmt w:val="bullet"/>
      <w:lvlText w:val="•"/>
      <w:lvlJc w:val="left"/>
      <w:pPr>
        <w:ind w:left="4176" w:hanging="164"/>
      </w:pPr>
      <w:rPr>
        <w:rFonts w:hint="default"/>
        <w:lang w:val="en-US" w:eastAsia="en-US" w:bidi="ar-SA"/>
      </w:rPr>
    </w:lvl>
    <w:lvl w:ilvl="5" w:tplc="6E26212A">
      <w:numFmt w:val="bullet"/>
      <w:lvlText w:val="•"/>
      <w:lvlJc w:val="left"/>
      <w:pPr>
        <w:ind w:left="5190" w:hanging="164"/>
      </w:pPr>
      <w:rPr>
        <w:rFonts w:hint="default"/>
        <w:lang w:val="en-US" w:eastAsia="en-US" w:bidi="ar-SA"/>
      </w:rPr>
    </w:lvl>
    <w:lvl w:ilvl="6" w:tplc="CD8ABC32">
      <w:numFmt w:val="bullet"/>
      <w:lvlText w:val="•"/>
      <w:lvlJc w:val="left"/>
      <w:pPr>
        <w:ind w:left="6204" w:hanging="164"/>
      </w:pPr>
      <w:rPr>
        <w:rFonts w:hint="default"/>
        <w:lang w:val="en-US" w:eastAsia="en-US" w:bidi="ar-SA"/>
      </w:rPr>
    </w:lvl>
    <w:lvl w:ilvl="7" w:tplc="7E0273E0">
      <w:numFmt w:val="bullet"/>
      <w:lvlText w:val="•"/>
      <w:lvlJc w:val="left"/>
      <w:pPr>
        <w:ind w:left="7218" w:hanging="164"/>
      </w:pPr>
      <w:rPr>
        <w:rFonts w:hint="default"/>
        <w:lang w:val="en-US" w:eastAsia="en-US" w:bidi="ar-SA"/>
      </w:rPr>
    </w:lvl>
    <w:lvl w:ilvl="8" w:tplc="BE6835A4">
      <w:numFmt w:val="bullet"/>
      <w:lvlText w:val="•"/>
      <w:lvlJc w:val="left"/>
      <w:pPr>
        <w:ind w:left="8232" w:hanging="164"/>
      </w:pPr>
      <w:rPr>
        <w:rFonts w:hint="default"/>
        <w:lang w:val="en-US" w:eastAsia="en-US" w:bidi="ar-SA"/>
      </w:rPr>
    </w:lvl>
  </w:abstractNum>
  <w:abstractNum w:abstractNumId="13" w15:restartNumberingAfterBreak="0">
    <w:nsid w:val="55EE4362"/>
    <w:multiLevelType w:val="multilevel"/>
    <w:tmpl w:val="86D64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53678D"/>
    <w:multiLevelType w:val="hybridMultilevel"/>
    <w:tmpl w:val="64C8B95C"/>
    <w:lvl w:ilvl="0" w:tplc="8A9E5C8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1A93144"/>
    <w:multiLevelType w:val="hybridMultilevel"/>
    <w:tmpl w:val="847CED02"/>
    <w:lvl w:ilvl="0" w:tplc="C03098AC">
      <w:start w:val="1"/>
      <w:numFmt w:val="upp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678970661">
    <w:abstractNumId w:val="11"/>
  </w:num>
  <w:num w:numId="2" w16cid:durableId="2126801561">
    <w:abstractNumId w:val="0"/>
  </w:num>
  <w:num w:numId="3" w16cid:durableId="668025554">
    <w:abstractNumId w:val="12"/>
  </w:num>
  <w:num w:numId="4" w16cid:durableId="452360805">
    <w:abstractNumId w:val="4"/>
  </w:num>
  <w:num w:numId="5" w16cid:durableId="874078821">
    <w:abstractNumId w:val="5"/>
  </w:num>
  <w:num w:numId="6" w16cid:durableId="1568342086">
    <w:abstractNumId w:val="7"/>
  </w:num>
  <w:num w:numId="7" w16cid:durableId="966157001">
    <w:abstractNumId w:val="15"/>
  </w:num>
  <w:num w:numId="8" w16cid:durableId="2146383419">
    <w:abstractNumId w:val="14"/>
  </w:num>
  <w:num w:numId="9" w16cid:durableId="1019241529">
    <w:abstractNumId w:val="3"/>
  </w:num>
  <w:num w:numId="10" w16cid:durableId="1653098428">
    <w:abstractNumId w:val="6"/>
  </w:num>
  <w:num w:numId="11" w16cid:durableId="1712917584">
    <w:abstractNumId w:val="1"/>
  </w:num>
  <w:num w:numId="12" w16cid:durableId="124130174">
    <w:abstractNumId w:val="8"/>
  </w:num>
  <w:num w:numId="13" w16cid:durableId="290790325">
    <w:abstractNumId w:val="10"/>
  </w:num>
  <w:num w:numId="14" w16cid:durableId="494344055">
    <w:abstractNumId w:val="2"/>
  </w:num>
  <w:num w:numId="15" w16cid:durableId="1007754499">
    <w:abstractNumId w:val="13"/>
  </w:num>
  <w:num w:numId="16" w16cid:durableId="678519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Y2MDczNzA2NTIwsjBQ0lEKTi0uzszPAykwrQUAAhTVHSwAAAA="/>
  </w:docVars>
  <w:rsids>
    <w:rsidRoot w:val="00A80BB9"/>
    <w:rsid w:val="00004928"/>
    <w:rsid w:val="000061E1"/>
    <w:rsid w:val="00006A6E"/>
    <w:rsid w:val="000071CE"/>
    <w:rsid w:val="00007E87"/>
    <w:rsid w:val="00012B89"/>
    <w:rsid w:val="00017919"/>
    <w:rsid w:val="000218AB"/>
    <w:rsid w:val="00024337"/>
    <w:rsid w:val="00025285"/>
    <w:rsid w:val="00027204"/>
    <w:rsid w:val="000330CA"/>
    <w:rsid w:val="00035227"/>
    <w:rsid w:val="00040C29"/>
    <w:rsid w:val="00042EAC"/>
    <w:rsid w:val="00042FF2"/>
    <w:rsid w:val="0004358A"/>
    <w:rsid w:val="00045248"/>
    <w:rsid w:val="0004664C"/>
    <w:rsid w:val="00046E6B"/>
    <w:rsid w:val="00047C23"/>
    <w:rsid w:val="00050262"/>
    <w:rsid w:val="00056160"/>
    <w:rsid w:val="0005780A"/>
    <w:rsid w:val="000634E9"/>
    <w:rsid w:val="00063CB0"/>
    <w:rsid w:val="0006522D"/>
    <w:rsid w:val="00065696"/>
    <w:rsid w:val="00065B1F"/>
    <w:rsid w:val="00066088"/>
    <w:rsid w:val="00066571"/>
    <w:rsid w:val="00066D1A"/>
    <w:rsid w:val="00066E04"/>
    <w:rsid w:val="00071377"/>
    <w:rsid w:val="00071603"/>
    <w:rsid w:val="00075102"/>
    <w:rsid w:val="000775DB"/>
    <w:rsid w:val="0008245F"/>
    <w:rsid w:val="00084DD9"/>
    <w:rsid w:val="00084EA5"/>
    <w:rsid w:val="000928A4"/>
    <w:rsid w:val="00092EE1"/>
    <w:rsid w:val="0009504F"/>
    <w:rsid w:val="00095ACF"/>
    <w:rsid w:val="00097FBC"/>
    <w:rsid w:val="000A174B"/>
    <w:rsid w:val="000A3640"/>
    <w:rsid w:val="000A4C7B"/>
    <w:rsid w:val="000A628A"/>
    <w:rsid w:val="000B16F2"/>
    <w:rsid w:val="000B4985"/>
    <w:rsid w:val="000B4F1A"/>
    <w:rsid w:val="000B512F"/>
    <w:rsid w:val="000B7019"/>
    <w:rsid w:val="000C0751"/>
    <w:rsid w:val="000C6A82"/>
    <w:rsid w:val="000C7F3F"/>
    <w:rsid w:val="000D0593"/>
    <w:rsid w:val="000D5DEA"/>
    <w:rsid w:val="000E412F"/>
    <w:rsid w:val="000E4695"/>
    <w:rsid w:val="000E5A46"/>
    <w:rsid w:val="000E7C50"/>
    <w:rsid w:val="000F13F3"/>
    <w:rsid w:val="000F1FAB"/>
    <w:rsid w:val="000F27D3"/>
    <w:rsid w:val="000F2DAE"/>
    <w:rsid w:val="000F3C47"/>
    <w:rsid w:val="000F7A77"/>
    <w:rsid w:val="00100908"/>
    <w:rsid w:val="0010110F"/>
    <w:rsid w:val="00103A98"/>
    <w:rsid w:val="0010419B"/>
    <w:rsid w:val="0010799B"/>
    <w:rsid w:val="001145C4"/>
    <w:rsid w:val="001157E3"/>
    <w:rsid w:val="00115D7E"/>
    <w:rsid w:val="001162B1"/>
    <w:rsid w:val="001167DC"/>
    <w:rsid w:val="001169CF"/>
    <w:rsid w:val="00116AAE"/>
    <w:rsid w:val="001227FA"/>
    <w:rsid w:val="00123004"/>
    <w:rsid w:val="00123D95"/>
    <w:rsid w:val="00125994"/>
    <w:rsid w:val="00130115"/>
    <w:rsid w:val="00130F00"/>
    <w:rsid w:val="00133EBE"/>
    <w:rsid w:val="0013451A"/>
    <w:rsid w:val="00140A7D"/>
    <w:rsid w:val="00141C91"/>
    <w:rsid w:val="00142D5D"/>
    <w:rsid w:val="0014336C"/>
    <w:rsid w:val="001502FD"/>
    <w:rsid w:val="00150725"/>
    <w:rsid w:val="001528D2"/>
    <w:rsid w:val="00154EDD"/>
    <w:rsid w:val="00157952"/>
    <w:rsid w:val="0016122E"/>
    <w:rsid w:val="00166051"/>
    <w:rsid w:val="00171078"/>
    <w:rsid w:val="00171F66"/>
    <w:rsid w:val="001722A0"/>
    <w:rsid w:val="00175C27"/>
    <w:rsid w:val="00176DDA"/>
    <w:rsid w:val="00181111"/>
    <w:rsid w:val="00181277"/>
    <w:rsid w:val="00182666"/>
    <w:rsid w:val="00183BC6"/>
    <w:rsid w:val="00186CA9"/>
    <w:rsid w:val="001875CE"/>
    <w:rsid w:val="00187909"/>
    <w:rsid w:val="00191FE6"/>
    <w:rsid w:val="0019508F"/>
    <w:rsid w:val="001962A7"/>
    <w:rsid w:val="001A22D7"/>
    <w:rsid w:val="001A4183"/>
    <w:rsid w:val="001A42B2"/>
    <w:rsid w:val="001A4863"/>
    <w:rsid w:val="001A53DB"/>
    <w:rsid w:val="001B0154"/>
    <w:rsid w:val="001B2982"/>
    <w:rsid w:val="001B2C64"/>
    <w:rsid w:val="001B33AB"/>
    <w:rsid w:val="001C4CD0"/>
    <w:rsid w:val="001C75DD"/>
    <w:rsid w:val="001D107F"/>
    <w:rsid w:val="001D1A64"/>
    <w:rsid w:val="001D4750"/>
    <w:rsid w:val="001D49CB"/>
    <w:rsid w:val="001E27CF"/>
    <w:rsid w:val="001E48AC"/>
    <w:rsid w:val="001E67DF"/>
    <w:rsid w:val="001E749F"/>
    <w:rsid w:val="001F7E3E"/>
    <w:rsid w:val="00200318"/>
    <w:rsid w:val="00200B95"/>
    <w:rsid w:val="00201A21"/>
    <w:rsid w:val="00201FEC"/>
    <w:rsid w:val="0020200A"/>
    <w:rsid w:val="00203B35"/>
    <w:rsid w:val="00203C77"/>
    <w:rsid w:val="00204AE4"/>
    <w:rsid w:val="002058EA"/>
    <w:rsid w:val="00211778"/>
    <w:rsid w:val="00216527"/>
    <w:rsid w:val="00216A7D"/>
    <w:rsid w:val="00221B7A"/>
    <w:rsid w:val="00222A78"/>
    <w:rsid w:val="00222BA0"/>
    <w:rsid w:val="002245E1"/>
    <w:rsid w:val="002247B9"/>
    <w:rsid w:val="002257F3"/>
    <w:rsid w:val="00227741"/>
    <w:rsid w:val="00230BEE"/>
    <w:rsid w:val="00230DDD"/>
    <w:rsid w:val="00231C86"/>
    <w:rsid w:val="00232514"/>
    <w:rsid w:val="00235DB4"/>
    <w:rsid w:val="002361F0"/>
    <w:rsid w:val="002378E6"/>
    <w:rsid w:val="00237A65"/>
    <w:rsid w:val="0024071B"/>
    <w:rsid w:val="00245E0E"/>
    <w:rsid w:val="002469C3"/>
    <w:rsid w:val="00250AD6"/>
    <w:rsid w:val="0025285D"/>
    <w:rsid w:val="00253334"/>
    <w:rsid w:val="002539DA"/>
    <w:rsid w:val="002570DB"/>
    <w:rsid w:val="0025780D"/>
    <w:rsid w:val="00260090"/>
    <w:rsid w:val="002632AA"/>
    <w:rsid w:val="002636D2"/>
    <w:rsid w:val="00264AC9"/>
    <w:rsid w:val="00265A74"/>
    <w:rsid w:val="00266BBF"/>
    <w:rsid w:val="00270650"/>
    <w:rsid w:val="00273E57"/>
    <w:rsid w:val="00274B94"/>
    <w:rsid w:val="002761EE"/>
    <w:rsid w:val="00277904"/>
    <w:rsid w:val="0028329C"/>
    <w:rsid w:val="002845F4"/>
    <w:rsid w:val="00285171"/>
    <w:rsid w:val="00291F29"/>
    <w:rsid w:val="00292AA2"/>
    <w:rsid w:val="00294BB9"/>
    <w:rsid w:val="002A1F65"/>
    <w:rsid w:val="002A296B"/>
    <w:rsid w:val="002A342D"/>
    <w:rsid w:val="002A46B7"/>
    <w:rsid w:val="002B0469"/>
    <w:rsid w:val="002B1683"/>
    <w:rsid w:val="002B3E5A"/>
    <w:rsid w:val="002B53EA"/>
    <w:rsid w:val="002B6E7D"/>
    <w:rsid w:val="002B7D45"/>
    <w:rsid w:val="002C0DAE"/>
    <w:rsid w:val="002C1899"/>
    <w:rsid w:val="002C2690"/>
    <w:rsid w:val="002C63B7"/>
    <w:rsid w:val="002C678A"/>
    <w:rsid w:val="002C6D1E"/>
    <w:rsid w:val="002D1701"/>
    <w:rsid w:val="002D4594"/>
    <w:rsid w:val="002D5AF0"/>
    <w:rsid w:val="002D5BEC"/>
    <w:rsid w:val="002D6743"/>
    <w:rsid w:val="002D7874"/>
    <w:rsid w:val="002E0819"/>
    <w:rsid w:val="002E149D"/>
    <w:rsid w:val="002E334D"/>
    <w:rsid w:val="002E4291"/>
    <w:rsid w:val="002E5B5F"/>
    <w:rsid w:val="002E70A0"/>
    <w:rsid w:val="002F2363"/>
    <w:rsid w:val="002F7601"/>
    <w:rsid w:val="002F7F20"/>
    <w:rsid w:val="003006BA"/>
    <w:rsid w:val="0030118E"/>
    <w:rsid w:val="00303E55"/>
    <w:rsid w:val="0031131D"/>
    <w:rsid w:val="00311651"/>
    <w:rsid w:val="00312B7A"/>
    <w:rsid w:val="00312C35"/>
    <w:rsid w:val="003143F3"/>
    <w:rsid w:val="003152B3"/>
    <w:rsid w:val="003200D6"/>
    <w:rsid w:val="003236C1"/>
    <w:rsid w:val="0032410F"/>
    <w:rsid w:val="003249C3"/>
    <w:rsid w:val="00326407"/>
    <w:rsid w:val="00327380"/>
    <w:rsid w:val="00327F38"/>
    <w:rsid w:val="00331FEF"/>
    <w:rsid w:val="003332BA"/>
    <w:rsid w:val="0033352C"/>
    <w:rsid w:val="003337A3"/>
    <w:rsid w:val="00334E21"/>
    <w:rsid w:val="003413AC"/>
    <w:rsid w:val="00342C85"/>
    <w:rsid w:val="00342ED6"/>
    <w:rsid w:val="0034414D"/>
    <w:rsid w:val="0034463C"/>
    <w:rsid w:val="00344A13"/>
    <w:rsid w:val="00347CD7"/>
    <w:rsid w:val="003500AC"/>
    <w:rsid w:val="00350AA0"/>
    <w:rsid w:val="00352A4C"/>
    <w:rsid w:val="003552BE"/>
    <w:rsid w:val="003575E9"/>
    <w:rsid w:val="0036075E"/>
    <w:rsid w:val="003647E0"/>
    <w:rsid w:val="00371032"/>
    <w:rsid w:val="0037473C"/>
    <w:rsid w:val="003749C7"/>
    <w:rsid w:val="00376AAD"/>
    <w:rsid w:val="00383A1C"/>
    <w:rsid w:val="00385842"/>
    <w:rsid w:val="00391208"/>
    <w:rsid w:val="003914F8"/>
    <w:rsid w:val="00395441"/>
    <w:rsid w:val="003A602E"/>
    <w:rsid w:val="003B0DDF"/>
    <w:rsid w:val="003B1109"/>
    <w:rsid w:val="003B4B59"/>
    <w:rsid w:val="003B662A"/>
    <w:rsid w:val="003B6C20"/>
    <w:rsid w:val="003C4415"/>
    <w:rsid w:val="003C4C2E"/>
    <w:rsid w:val="003C571F"/>
    <w:rsid w:val="003C67F1"/>
    <w:rsid w:val="003C7138"/>
    <w:rsid w:val="003D004E"/>
    <w:rsid w:val="003D0CD2"/>
    <w:rsid w:val="003D5B88"/>
    <w:rsid w:val="003D765B"/>
    <w:rsid w:val="003E03EA"/>
    <w:rsid w:val="003E3DBB"/>
    <w:rsid w:val="003F3256"/>
    <w:rsid w:val="003F4974"/>
    <w:rsid w:val="00403A1B"/>
    <w:rsid w:val="00404E96"/>
    <w:rsid w:val="00405635"/>
    <w:rsid w:val="00406B04"/>
    <w:rsid w:val="0041033C"/>
    <w:rsid w:val="004111F7"/>
    <w:rsid w:val="0041132E"/>
    <w:rsid w:val="00411B9E"/>
    <w:rsid w:val="0041452E"/>
    <w:rsid w:val="00414DE9"/>
    <w:rsid w:val="004150E2"/>
    <w:rsid w:val="00420EEA"/>
    <w:rsid w:val="0042180B"/>
    <w:rsid w:val="004246B6"/>
    <w:rsid w:val="00426C6B"/>
    <w:rsid w:val="004279FA"/>
    <w:rsid w:val="0043161D"/>
    <w:rsid w:val="00431A27"/>
    <w:rsid w:val="004445A8"/>
    <w:rsid w:val="00451EDF"/>
    <w:rsid w:val="004525A2"/>
    <w:rsid w:val="00452E7B"/>
    <w:rsid w:val="00455522"/>
    <w:rsid w:val="004578CE"/>
    <w:rsid w:val="00457B7C"/>
    <w:rsid w:val="0046019C"/>
    <w:rsid w:val="0046299A"/>
    <w:rsid w:val="004629B8"/>
    <w:rsid w:val="00466647"/>
    <w:rsid w:val="0046764D"/>
    <w:rsid w:val="00471F1C"/>
    <w:rsid w:val="00472EC8"/>
    <w:rsid w:val="00475127"/>
    <w:rsid w:val="00475CEE"/>
    <w:rsid w:val="004825FE"/>
    <w:rsid w:val="00484EAA"/>
    <w:rsid w:val="0048603C"/>
    <w:rsid w:val="00486405"/>
    <w:rsid w:val="00486B45"/>
    <w:rsid w:val="00486D69"/>
    <w:rsid w:val="00497A87"/>
    <w:rsid w:val="004A217B"/>
    <w:rsid w:val="004A326D"/>
    <w:rsid w:val="004A3F62"/>
    <w:rsid w:val="004A4841"/>
    <w:rsid w:val="004A4E20"/>
    <w:rsid w:val="004A5C11"/>
    <w:rsid w:val="004A6D6E"/>
    <w:rsid w:val="004A7151"/>
    <w:rsid w:val="004B12B1"/>
    <w:rsid w:val="004B374B"/>
    <w:rsid w:val="004B6FBA"/>
    <w:rsid w:val="004C3E05"/>
    <w:rsid w:val="004C57A2"/>
    <w:rsid w:val="004D0D9F"/>
    <w:rsid w:val="004D53CC"/>
    <w:rsid w:val="004D540B"/>
    <w:rsid w:val="004D7755"/>
    <w:rsid w:val="004E1B48"/>
    <w:rsid w:val="004E39ED"/>
    <w:rsid w:val="004E4F48"/>
    <w:rsid w:val="004E7C07"/>
    <w:rsid w:val="004F1AF5"/>
    <w:rsid w:val="004F1C60"/>
    <w:rsid w:val="004F2BC3"/>
    <w:rsid w:val="004F38B5"/>
    <w:rsid w:val="004F408A"/>
    <w:rsid w:val="004F57EB"/>
    <w:rsid w:val="004F5FF3"/>
    <w:rsid w:val="004F760D"/>
    <w:rsid w:val="00502378"/>
    <w:rsid w:val="0050370F"/>
    <w:rsid w:val="00505146"/>
    <w:rsid w:val="0050585D"/>
    <w:rsid w:val="0051298E"/>
    <w:rsid w:val="0052071B"/>
    <w:rsid w:val="005226DC"/>
    <w:rsid w:val="00530AFE"/>
    <w:rsid w:val="00531024"/>
    <w:rsid w:val="00532CF9"/>
    <w:rsid w:val="00534A3F"/>
    <w:rsid w:val="005353C8"/>
    <w:rsid w:val="00536ABA"/>
    <w:rsid w:val="00536F73"/>
    <w:rsid w:val="00540012"/>
    <w:rsid w:val="00540213"/>
    <w:rsid w:val="00540CE3"/>
    <w:rsid w:val="00542FB2"/>
    <w:rsid w:val="0054581D"/>
    <w:rsid w:val="00546D18"/>
    <w:rsid w:val="00547779"/>
    <w:rsid w:val="005524A8"/>
    <w:rsid w:val="0055421E"/>
    <w:rsid w:val="005556D8"/>
    <w:rsid w:val="00556589"/>
    <w:rsid w:val="00557AF3"/>
    <w:rsid w:val="00557F05"/>
    <w:rsid w:val="0056044E"/>
    <w:rsid w:val="0056346C"/>
    <w:rsid w:val="00564D10"/>
    <w:rsid w:val="0056768F"/>
    <w:rsid w:val="00571F06"/>
    <w:rsid w:val="00574A48"/>
    <w:rsid w:val="005754C3"/>
    <w:rsid w:val="00576624"/>
    <w:rsid w:val="00580F6B"/>
    <w:rsid w:val="005815E5"/>
    <w:rsid w:val="00582EAC"/>
    <w:rsid w:val="00583088"/>
    <w:rsid w:val="005844CF"/>
    <w:rsid w:val="005857D9"/>
    <w:rsid w:val="00586BDA"/>
    <w:rsid w:val="005879CD"/>
    <w:rsid w:val="0059509A"/>
    <w:rsid w:val="005A0561"/>
    <w:rsid w:val="005A1E62"/>
    <w:rsid w:val="005A29CB"/>
    <w:rsid w:val="005A3E4D"/>
    <w:rsid w:val="005A612F"/>
    <w:rsid w:val="005A6854"/>
    <w:rsid w:val="005B177B"/>
    <w:rsid w:val="005B29F2"/>
    <w:rsid w:val="005B4C25"/>
    <w:rsid w:val="005B652B"/>
    <w:rsid w:val="005B6776"/>
    <w:rsid w:val="005C257C"/>
    <w:rsid w:val="005C4A36"/>
    <w:rsid w:val="005C4D23"/>
    <w:rsid w:val="005C6107"/>
    <w:rsid w:val="005C6680"/>
    <w:rsid w:val="005D00EF"/>
    <w:rsid w:val="005D27C0"/>
    <w:rsid w:val="005D2D75"/>
    <w:rsid w:val="005D67C6"/>
    <w:rsid w:val="005D6D85"/>
    <w:rsid w:val="005D70EF"/>
    <w:rsid w:val="005E008F"/>
    <w:rsid w:val="005E2549"/>
    <w:rsid w:val="005E6163"/>
    <w:rsid w:val="005F3AF4"/>
    <w:rsid w:val="005F4C11"/>
    <w:rsid w:val="005F4C7C"/>
    <w:rsid w:val="0060052D"/>
    <w:rsid w:val="00600567"/>
    <w:rsid w:val="006006A6"/>
    <w:rsid w:val="00601B87"/>
    <w:rsid w:val="00601C5D"/>
    <w:rsid w:val="00606350"/>
    <w:rsid w:val="00606840"/>
    <w:rsid w:val="0061184D"/>
    <w:rsid w:val="00613171"/>
    <w:rsid w:val="00616752"/>
    <w:rsid w:val="006218A8"/>
    <w:rsid w:val="0062194E"/>
    <w:rsid w:val="00622275"/>
    <w:rsid w:val="00622D74"/>
    <w:rsid w:val="00624AB3"/>
    <w:rsid w:val="00630FF9"/>
    <w:rsid w:val="00631240"/>
    <w:rsid w:val="00632F81"/>
    <w:rsid w:val="00634A45"/>
    <w:rsid w:val="00636A7B"/>
    <w:rsid w:val="006379A0"/>
    <w:rsid w:val="00637C57"/>
    <w:rsid w:val="006400A3"/>
    <w:rsid w:val="00643582"/>
    <w:rsid w:val="00651E79"/>
    <w:rsid w:val="00653708"/>
    <w:rsid w:val="00654CB1"/>
    <w:rsid w:val="00664592"/>
    <w:rsid w:val="00664950"/>
    <w:rsid w:val="00665930"/>
    <w:rsid w:val="0067033B"/>
    <w:rsid w:val="00673E1C"/>
    <w:rsid w:val="00674F78"/>
    <w:rsid w:val="00676129"/>
    <w:rsid w:val="0068087C"/>
    <w:rsid w:val="006839CE"/>
    <w:rsid w:val="00683E00"/>
    <w:rsid w:val="00684351"/>
    <w:rsid w:val="00684D9C"/>
    <w:rsid w:val="0068605C"/>
    <w:rsid w:val="006877CA"/>
    <w:rsid w:val="00691724"/>
    <w:rsid w:val="00692B00"/>
    <w:rsid w:val="00693B91"/>
    <w:rsid w:val="006941E9"/>
    <w:rsid w:val="00694494"/>
    <w:rsid w:val="00695BC4"/>
    <w:rsid w:val="006A0EAD"/>
    <w:rsid w:val="006A4945"/>
    <w:rsid w:val="006A4C8B"/>
    <w:rsid w:val="006A5DF0"/>
    <w:rsid w:val="006B054B"/>
    <w:rsid w:val="006B30AF"/>
    <w:rsid w:val="006C0D8F"/>
    <w:rsid w:val="006C58D3"/>
    <w:rsid w:val="006C5F0E"/>
    <w:rsid w:val="006D43E6"/>
    <w:rsid w:val="006D490D"/>
    <w:rsid w:val="006D575A"/>
    <w:rsid w:val="006D61B8"/>
    <w:rsid w:val="006E48E3"/>
    <w:rsid w:val="006E71CB"/>
    <w:rsid w:val="006E7325"/>
    <w:rsid w:val="006F12B4"/>
    <w:rsid w:val="006F303E"/>
    <w:rsid w:val="006F4BCE"/>
    <w:rsid w:val="00702D6C"/>
    <w:rsid w:val="00706A66"/>
    <w:rsid w:val="00710236"/>
    <w:rsid w:val="0071224E"/>
    <w:rsid w:val="00714AC2"/>
    <w:rsid w:val="007225B6"/>
    <w:rsid w:val="00722B86"/>
    <w:rsid w:val="00731005"/>
    <w:rsid w:val="00732A36"/>
    <w:rsid w:val="007343A2"/>
    <w:rsid w:val="007344DC"/>
    <w:rsid w:val="00735AA3"/>
    <w:rsid w:val="00736555"/>
    <w:rsid w:val="00741E89"/>
    <w:rsid w:val="007422AD"/>
    <w:rsid w:val="007509ED"/>
    <w:rsid w:val="007516BE"/>
    <w:rsid w:val="00757125"/>
    <w:rsid w:val="00762DC0"/>
    <w:rsid w:val="00764A02"/>
    <w:rsid w:val="00765384"/>
    <w:rsid w:val="00767AD5"/>
    <w:rsid w:val="007707D1"/>
    <w:rsid w:val="00773418"/>
    <w:rsid w:val="0077348F"/>
    <w:rsid w:val="00776265"/>
    <w:rsid w:val="00780228"/>
    <w:rsid w:val="007807E3"/>
    <w:rsid w:val="00783F8D"/>
    <w:rsid w:val="007848B2"/>
    <w:rsid w:val="007855C4"/>
    <w:rsid w:val="007866FD"/>
    <w:rsid w:val="00786CDE"/>
    <w:rsid w:val="007874A2"/>
    <w:rsid w:val="007910DF"/>
    <w:rsid w:val="007917EB"/>
    <w:rsid w:val="00793946"/>
    <w:rsid w:val="00793A63"/>
    <w:rsid w:val="00793C03"/>
    <w:rsid w:val="00794035"/>
    <w:rsid w:val="0079511F"/>
    <w:rsid w:val="00795A23"/>
    <w:rsid w:val="007A100E"/>
    <w:rsid w:val="007A3CC6"/>
    <w:rsid w:val="007A5355"/>
    <w:rsid w:val="007A58EC"/>
    <w:rsid w:val="007A65BC"/>
    <w:rsid w:val="007A6F23"/>
    <w:rsid w:val="007A71AE"/>
    <w:rsid w:val="007A78BC"/>
    <w:rsid w:val="007B05EB"/>
    <w:rsid w:val="007B13AF"/>
    <w:rsid w:val="007B3336"/>
    <w:rsid w:val="007B44A5"/>
    <w:rsid w:val="007B7F49"/>
    <w:rsid w:val="007C020A"/>
    <w:rsid w:val="007C1F07"/>
    <w:rsid w:val="007C26AB"/>
    <w:rsid w:val="007C4EA3"/>
    <w:rsid w:val="007D01D6"/>
    <w:rsid w:val="007D022D"/>
    <w:rsid w:val="007D3F6B"/>
    <w:rsid w:val="007D479E"/>
    <w:rsid w:val="007D5955"/>
    <w:rsid w:val="007D692D"/>
    <w:rsid w:val="007D695B"/>
    <w:rsid w:val="007E26EA"/>
    <w:rsid w:val="007E348F"/>
    <w:rsid w:val="007E56CF"/>
    <w:rsid w:val="007E593C"/>
    <w:rsid w:val="007E643F"/>
    <w:rsid w:val="007E66F5"/>
    <w:rsid w:val="007F1581"/>
    <w:rsid w:val="008015BF"/>
    <w:rsid w:val="008020F8"/>
    <w:rsid w:val="00803C06"/>
    <w:rsid w:val="00804C1C"/>
    <w:rsid w:val="00806347"/>
    <w:rsid w:val="00810689"/>
    <w:rsid w:val="008150FC"/>
    <w:rsid w:val="00830C8C"/>
    <w:rsid w:val="00830D91"/>
    <w:rsid w:val="0083164D"/>
    <w:rsid w:val="0083480C"/>
    <w:rsid w:val="0083565E"/>
    <w:rsid w:val="00835A50"/>
    <w:rsid w:val="00842A39"/>
    <w:rsid w:val="008447B1"/>
    <w:rsid w:val="008452D3"/>
    <w:rsid w:val="00845BB4"/>
    <w:rsid w:val="008470A5"/>
    <w:rsid w:val="008474F6"/>
    <w:rsid w:val="008512D3"/>
    <w:rsid w:val="00851DA7"/>
    <w:rsid w:val="008536BD"/>
    <w:rsid w:val="00853FC5"/>
    <w:rsid w:val="00854A5F"/>
    <w:rsid w:val="008553F7"/>
    <w:rsid w:val="0085627A"/>
    <w:rsid w:val="00857020"/>
    <w:rsid w:val="00857806"/>
    <w:rsid w:val="00860F08"/>
    <w:rsid w:val="00862F2A"/>
    <w:rsid w:val="0086362F"/>
    <w:rsid w:val="0086458C"/>
    <w:rsid w:val="00864782"/>
    <w:rsid w:val="008657F3"/>
    <w:rsid w:val="00867BC4"/>
    <w:rsid w:val="008708D1"/>
    <w:rsid w:val="00871159"/>
    <w:rsid w:val="00871C54"/>
    <w:rsid w:val="008726AA"/>
    <w:rsid w:val="00873306"/>
    <w:rsid w:val="00880349"/>
    <w:rsid w:val="00881FCA"/>
    <w:rsid w:val="00882C09"/>
    <w:rsid w:val="00883861"/>
    <w:rsid w:val="00884F3E"/>
    <w:rsid w:val="00885653"/>
    <w:rsid w:val="00886933"/>
    <w:rsid w:val="00890E80"/>
    <w:rsid w:val="0089186E"/>
    <w:rsid w:val="00891FC7"/>
    <w:rsid w:val="0089241A"/>
    <w:rsid w:val="00893271"/>
    <w:rsid w:val="00893D9C"/>
    <w:rsid w:val="00897190"/>
    <w:rsid w:val="008A3E63"/>
    <w:rsid w:val="008A413B"/>
    <w:rsid w:val="008A5798"/>
    <w:rsid w:val="008A5EC6"/>
    <w:rsid w:val="008B1F88"/>
    <w:rsid w:val="008B6DD1"/>
    <w:rsid w:val="008B7C42"/>
    <w:rsid w:val="008C5754"/>
    <w:rsid w:val="008C6958"/>
    <w:rsid w:val="008D094F"/>
    <w:rsid w:val="008D0FA2"/>
    <w:rsid w:val="008D2AAA"/>
    <w:rsid w:val="008D3AC1"/>
    <w:rsid w:val="008D76BE"/>
    <w:rsid w:val="008E055A"/>
    <w:rsid w:val="008E29A3"/>
    <w:rsid w:val="008F1CDC"/>
    <w:rsid w:val="008F2230"/>
    <w:rsid w:val="008F388F"/>
    <w:rsid w:val="008F3DF1"/>
    <w:rsid w:val="008F5DDF"/>
    <w:rsid w:val="00901369"/>
    <w:rsid w:val="00903EE3"/>
    <w:rsid w:val="0090497B"/>
    <w:rsid w:val="0090520F"/>
    <w:rsid w:val="00906284"/>
    <w:rsid w:val="00906B7F"/>
    <w:rsid w:val="009107C5"/>
    <w:rsid w:val="009121D9"/>
    <w:rsid w:val="00912319"/>
    <w:rsid w:val="009150A7"/>
    <w:rsid w:val="00916F41"/>
    <w:rsid w:val="00917E61"/>
    <w:rsid w:val="00922000"/>
    <w:rsid w:val="0092379E"/>
    <w:rsid w:val="00924493"/>
    <w:rsid w:val="009274F5"/>
    <w:rsid w:val="009348D3"/>
    <w:rsid w:val="00936082"/>
    <w:rsid w:val="00936675"/>
    <w:rsid w:val="00937D22"/>
    <w:rsid w:val="00941C4D"/>
    <w:rsid w:val="00944B2D"/>
    <w:rsid w:val="00945E90"/>
    <w:rsid w:val="00947F75"/>
    <w:rsid w:val="00954AA9"/>
    <w:rsid w:val="0096173B"/>
    <w:rsid w:val="0096628A"/>
    <w:rsid w:val="00966800"/>
    <w:rsid w:val="009672E9"/>
    <w:rsid w:val="00973F78"/>
    <w:rsid w:val="0097567F"/>
    <w:rsid w:val="009765F6"/>
    <w:rsid w:val="0098140D"/>
    <w:rsid w:val="009817A4"/>
    <w:rsid w:val="00981F4B"/>
    <w:rsid w:val="00986CB8"/>
    <w:rsid w:val="00996BEC"/>
    <w:rsid w:val="009A16FD"/>
    <w:rsid w:val="009A2CE2"/>
    <w:rsid w:val="009A3528"/>
    <w:rsid w:val="009A4074"/>
    <w:rsid w:val="009A4C36"/>
    <w:rsid w:val="009B1799"/>
    <w:rsid w:val="009B2B57"/>
    <w:rsid w:val="009B62E6"/>
    <w:rsid w:val="009C193E"/>
    <w:rsid w:val="009C2D8E"/>
    <w:rsid w:val="009C2FA7"/>
    <w:rsid w:val="009C30E8"/>
    <w:rsid w:val="009C3C95"/>
    <w:rsid w:val="009D287F"/>
    <w:rsid w:val="009D4F48"/>
    <w:rsid w:val="009D541B"/>
    <w:rsid w:val="009D7FC4"/>
    <w:rsid w:val="009E0722"/>
    <w:rsid w:val="009E0F0B"/>
    <w:rsid w:val="009E5E28"/>
    <w:rsid w:val="009E6069"/>
    <w:rsid w:val="009F3BDF"/>
    <w:rsid w:val="009F5C4D"/>
    <w:rsid w:val="009F65C3"/>
    <w:rsid w:val="009F71FA"/>
    <w:rsid w:val="00A00D34"/>
    <w:rsid w:val="00A03D29"/>
    <w:rsid w:val="00A04A7A"/>
    <w:rsid w:val="00A04D35"/>
    <w:rsid w:val="00A053B6"/>
    <w:rsid w:val="00A05924"/>
    <w:rsid w:val="00A07228"/>
    <w:rsid w:val="00A077A4"/>
    <w:rsid w:val="00A1002D"/>
    <w:rsid w:val="00A109CD"/>
    <w:rsid w:val="00A10DDB"/>
    <w:rsid w:val="00A112C7"/>
    <w:rsid w:val="00A1326B"/>
    <w:rsid w:val="00A16275"/>
    <w:rsid w:val="00A17C0F"/>
    <w:rsid w:val="00A17C26"/>
    <w:rsid w:val="00A17FE7"/>
    <w:rsid w:val="00A20B6B"/>
    <w:rsid w:val="00A21535"/>
    <w:rsid w:val="00A215CA"/>
    <w:rsid w:val="00A2164F"/>
    <w:rsid w:val="00A21865"/>
    <w:rsid w:val="00A2187F"/>
    <w:rsid w:val="00A24595"/>
    <w:rsid w:val="00A25016"/>
    <w:rsid w:val="00A30F24"/>
    <w:rsid w:val="00A358AC"/>
    <w:rsid w:val="00A36022"/>
    <w:rsid w:val="00A36969"/>
    <w:rsid w:val="00A40192"/>
    <w:rsid w:val="00A42C0D"/>
    <w:rsid w:val="00A5080E"/>
    <w:rsid w:val="00A5200A"/>
    <w:rsid w:val="00A529F0"/>
    <w:rsid w:val="00A55467"/>
    <w:rsid w:val="00A5566C"/>
    <w:rsid w:val="00A556D0"/>
    <w:rsid w:val="00A55939"/>
    <w:rsid w:val="00A55B10"/>
    <w:rsid w:val="00A63C4A"/>
    <w:rsid w:val="00A653D4"/>
    <w:rsid w:val="00A65AB1"/>
    <w:rsid w:val="00A72FE3"/>
    <w:rsid w:val="00A74E9A"/>
    <w:rsid w:val="00A80510"/>
    <w:rsid w:val="00A80BB9"/>
    <w:rsid w:val="00A8507B"/>
    <w:rsid w:val="00A8681C"/>
    <w:rsid w:val="00A86FB4"/>
    <w:rsid w:val="00A87DFC"/>
    <w:rsid w:val="00A926CC"/>
    <w:rsid w:val="00A92B84"/>
    <w:rsid w:val="00A93A72"/>
    <w:rsid w:val="00A94734"/>
    <w:rsid w:val="00A96F60"/>
    <w:rsid w:val="00AA3F8E"/>
    <w:rsid w:val="00AA422A"/>
    <w:rsid w:val="00AA4687"/>
    <w:rsid w:val="00AA4D44"/>
    <w:rsid w:val="00AA51EB"/>
    <w:rsid w:val="00AA7A32"/>
    <w:rsid w:val="00AB0BAB"/>
    <w:rsid w:val="00AB0E07"/>
    <w:rsid w:val="00AB0E2E"/>
    <w:rsid w:val="00AB4E01"/>
    <w:rsid w:val="00AB72D7"/>
    <w:rsid w:val="00AB7E88"/>
    <w:rsid w:val="00AC38B2"/>
    <w:rsid w:val="00AC3E69"/>
    <w:rsid w:val="00AC5734"/>
    <w:rsid w:val="00AC69B1"/>
    <w:rsid w:val="00AD2C40"/>
    <w:rsid w:val="00AD6D3F"/>
    <w:rsid w:val="00AE1560"/>
    <w:rsid w:val="00AE6487"/>
    <w:rsid w:val="00AF0D63"/>
    <w:rsid w:val="00AF190A"/>
    <w:rsid w:val="00AF298D"/>
    <w:rsid w:val="00B00184"/>
    <w:rsid w:val="00B02EC2"/>
    <w:rsid w:val="00B07A91"/>
    <w:rsid w:val="00B119F0"/>
    <w:rsid w:val="00B1393C"/>
    <w:rsid w:val="00B15720"/>
    <w:rsid w:val="00B15C3B"/>
    <w:rsid w:val="00B15FD3"/>
    <w:rsid w:val="00B168CD"/>
    <w:rsid w:val="00B22897"/>
    <w:rsid w:val="00B22D16"/>
    <w:rsid w:val="00B252C3"/>
    <w:rsid w:val="00B27283"/>
    <w:rsid w:val="00B374D0"/>
    <w:rsid w:val="00B37511"/>
    <w:rsid w:val="00B40AED"/>
    <w:rsid w:val="00B40DDA"/>
    <w:rsid w:val="00B42BA8"/>
    <w:rsid w:val="00B44809"/>
    <w:rsid w:val="00B44A56"/>
    <w:rsid w:val="00B45E15"/>
    <w:rsid w:val="00B50D42"/>
    <w:rsid w:val="00B51474"/>
    <w:rsid w:val="00B5175D"/>
    <w:rsid w:val="00B52850"/>
    <w:rsid w:val="00B5480E"/>
    <w:rsid w:val="00B55391"/>
    <w:rsid w:val="00B55D6E"/>
    <w:rsid w:val="00B5778C"/>
    <w:rsid w:val="00B61C55"/>
    <w:rsid w:val="00B621D5"/>
    <w:rsid w:val="00B65FE2"/>
    <w:rsid w:val="00B709FD"/>
    <w:rsid w:val="00B70A2B"/>
    <w:rsid w:val="00B73E4A"/>
    <w:rsid w:val="00B767C9"/>
    <w:rsid w:val="00B80E22"/>
    <w:rsid w:val="00B813D0"/>
    <w:rsid w:val="00B83C36"/>
    <w:rsid w:val="00B87FFA"/>
    <w:rsid w:val="00B94DA4"/>
    <w:rsid w:val="00BA0F25"/>
    <w:rsid w:val="00BA1EAD"/>
    <w:rsid w:val="00BA3D25"/>
    <w:rsid w:val="00BA4EB6"/>
    <w:rsid w:val="00BA7D4B"/>
    <w:rsid w:val="00BB0516"/>
    <w:rsid w:val="00BB0F71"/>
    <w:rsid w:val="00BB6EE0"/>
    <w:rsid w:val="00BC16D6"/>
    <w:rsid w:val="00BC35AF"/>
    <w:rsid w:val="00BC424C"/>
    <w:rsid w:val="00BD1D7C"/>
    <w:rsid w:val="00BE2810"/>
    <w:rsid w:val="00BE2D1F"/>
    <w:rsid w:val="00BE553A"/>
    <w:rsid w:val="00BE7329"/>
    <w:rsid w:val="00BF0124"/>
    <w:rsid w:val="00BF39B1"/>
    <w:rsid w:val="00BF40F3"/>
    <w:rsid w:val="00BF4D47"/>
    <w:rsid w:val="00BF5A3A"/>
    <w:rsid w:val="00C013B1"/>
    <w:rsid w:val="00C01821"/>
    <w:rsid w:val="00C01E96"/>
    <w:rsid w:val="00C05F9C"/>
    <w:rsid w:val="00C05FD0"/>
    <w:rsid w:val="00C1327F"/>
    <w:rsid w:val="00C13317"/>
    <w:rsid w:val="00C134C9"/>
    <w:rsid w:val="00C1403A"/>
    <w:rsid w:val="00C143BF"/>
    <w:rsid w:val="00C164D7"/>
    <w:rsid w:val="00C205A7"/>
    <w:rsid w:val="00C22AE3"/>
    <w:rsid w:val="00C238E9"/>
    <w:rsid w:val="00C23BBB"/>
    <w:rsid w:val="00C2652E"/>
    <w:rsid w:val="00C27D16"/>
    <w:rsid w:val="00C30C57"/>
    <w:rsid w:val="00C318A3"/>
    <w:rsid w:val="00C3252A"/>
    <w:rsid w:val="00C32A94"/>
    <w:rsid w:val="00C34FCE"/>
    <w:rsid w:val="00C37DBF"/>
    <w:rsid w:val="00C46DBB"/>
    <w:rsid w:val="00C47CCC"/>
    <w:rsid w:val="00C51866"/>
    <w:rsid w:val="00C545A8"/>
    <w:rsid w:val="00C55A09"/>
    <w:rsid w:val="00C561E1"/>
    <w:rsid w:val="00C61BAB"/>
    <w:rsid w:val="00C7202A"/>
    <w:rsid w:val="00C72FF1"/>
    <w:rsid w:val="00C74470"/>
    <w:rsid w:val="00C82209"/>
    <w:rsid w:val="00C824F9"/>
    <w:rsid w:val="00C82849"/>
    <w:rsid w:val="00C82D54"/>
    <w:rsid w:val="00C85E21"/>
    <w:rsid w:val="00C87312"/>
    <w:rsid w:val="00C9349C"/>
    <w:rsid w:val="00C9464B"/>
    <w:rsid w:val="00CA2160"/>
    <w:rsid w:val="00CA4E16"/>
    <w:rsid w:val="00CA5FA6"/>
    <w:rsid w:val="00CA6856"/>
    <w:rsid w:val="00CB0ECA"/>
    <w:rsid w:val="00CB387C"/>
    <w:rsid w:val="00CB4977"/>
    <w:rsid w:val="00CB6F66"/>
    <w:rsid w:val="00CC0204"/>
    <w:rsid w:val="00CC1DE2"/>
    <w:rsid w:val="00CC3A93"/>
    <w:rsid w:val="00CC5989"/>
    <w:rsid w:val="00CD3157"/>
    <w:rsid w:val="00CD4174"/>
    <w:rsid w:val="00CD6069"/>
    <w:rsid w:val="00CE6D28"/>
    <w:rsid w:val="00CF1293"/>
    <w:rsid w:val="00CF155F"/>
    <w:rsid w:val="00CF446B"/>
    <w:rsid w:val="00CF46EA"/>
    <w:rsid w:val="00CF4B47"/>
    <w:rsid w:val="00CF5252"/>
    <w:rsid w:val="00CF5A18"/>
    <w:rsid w:val="00D04349"/>
    <w:rsid w:val="00D048EA"/>
    <w:rsid w:val="00D13C83"/>
    <w:rsid w:val="00D17AA8"/>
    <w:rsid w:val="00D17AEF"/>
    <w:rsid w:val="00D2039A"/>
    <w:rsid w:val="00D2200B"/>
    <w:rsid w:val="00D2286D"/>
    <w:rsid w:val="00D23000"/>
    <w:rsid w:val="00D2368F"/>
    <w:rsid w:val="00D2647A"/>
    <w:rsid w:val="00D30ADD"/>
    <w:rsid w:val="00D31312"/>
    <w:rsid w:val="00D323DA"/>
    <w:rsid w:val="00D3684B"/>
    <w:rsid w:val="00D37FC5"/>
    <w:rsid w:val="00D40454"/>
    <w:rsid w:val="00D40884"/>
    <w:rsid w:val="00D43C27"/>
    <w:rsid w:val="00D43E0C"/>
    <w:rsid w:val="00D44656"/>
    <w:rsid w:val="00D512D2"/>
    <w:rsid w:val="00D5376F"/>
    <w:rsid w:val="00D54002"/>
    <w:rsid w:val="00D54D03"/>
    <w:rsid w:val="00D61ADC"/>
    <w:rsid w:val="00D630BB"/>
    <w:rsid w:val="00D67C4A"/>
    <w:rsid w:val="00D704D8"/>
    <w:rsid w:val="00D7514C"/>
    <w:rsid w:val="00D76630"/>
    <w:rsid w:val="00D84961"/>
    <w:rsid w:val="00D94BD4"/>
    <w:rsid w:val="00D962AA"/>
    <w:rsid w:val="00D962EA"/>
    <w:rsid w:val="00D966AF"/>
    <w:rsid w:val="00D96F66"/>
    <w:rsid w:val="00D974B3"/>
    <w:rsid w:val="00DA0C8C"/>
    <w:rsid w:val="00DA2190"/>
    <w:rsid w:val="00DA4708"/>
    <w:rsid w:val="00DA7FB2"/>
    <w:rsid w:val="00DB480A"/>
    <w:rsid w:val="00DB7060"/>
    <w:rsid w:val="00DB737D"/>
    <w:rsid w:val="00DC0479"/>
    <w:rsid w:val="00DC0D76"/>
    <w:rsid w:val="00DC1D9E"/>
    <w:rsid w:val="00DC1F4C"/>
    <w:rsid w:val="00DC563C"/>
    <w:rsid w:val="00DC5DA2"/>
    <w:rsid w:val="00DC6EBA"/>
    <w:rsid w:val="00DD0E78"/>
    <w:rsid w:val="00DD2255"/>
    <w:rsid w:val="00DD5E98"/>
    <w:rsid w:val="00DE0134"/>
    <w:rsid w:val="00DE0394"/>
    <w:rsid w:val="00DE72D4"/>
    <w:rsid w:val="00DE7D23"/>
    <w:rsid w:val="00DF1BE0"/>
    <w:rsid w:val="00DF21E6"/>
    <w:rsid w:val="00DF364F"/>
    <w:rsid w:val="00DF49C6"/>
    <w:rsid w:val="00E00D2B"/>
    <w:rsid w:val="00E00EFC"/>
    <w:rsid w:val="00E02623"/>
    <w:rsid w:val="00E03CB1"/>
    <w:rsid w:val="00E042BE"/>
    <w:rsid w:val="00E04CB0"/>
    <w:rsid w:val="00E11BE8"/>
    <w:rsid w:val="00E13C3A"/>
    <w:rsid w:val="00E15740"/>
    <w:rsid w:val="00E22A15"/>
    <w:rsid w:val="00E24235"/>
    <w:rsid w:val="00E24563"/>
    <w:rsid w:val="00E26B4E"/>
    <w:rsid w:val="00E31956"/>
    <w:rsid w:val="00E31B1C"/>
    <w:rsid w:val="00E32E26"/>
    <w:rsid w:val="00E342E2"/>
    <w:rsid w:val="00E37979"/>
    <w:rsid w:val="00E41145"/>
    <w:rsid w:val="00E455FC"/>
    <w:rsid w:val="00E50351"/>
    <w:rsid w:val="00E521B0"/>
    <w:rsid w:val="00E54A78"/>
    <w:rsid w:val="00E613BA"/>
    <w:rsid w:val="00E623C9"/>
    <w:rsid w:val="00E66365"/>
    <w:rsid w:val="00E6708E"/>
    <w:rsid w:val="00E67E3C"/>
    <w:rsid w:val="00E71A6B"/>
    <w:rsid w:val="00E741BC"/>
    <w:rsid w:val="00E74794"/>
    <w:rsid w:val="00E75BA9"/>
    <w:rsid w:val="00E760A5"/>
    <w:rsid w:val="00E77512"/>
    <w:rsid w:val="00E85F8E"/>
    <w:rsid w:val="00E8772E"/>
    <w:rsid w:val="00E90B25"/>
    <w:rsid w:val="00E92B6C"/>
    <w:rsid w:val="00E97A9E"/>
    <w:rsid w:val="00E97D9D"/>
    <w:rsid w:val="00EA2E21"/>
    <w:rsid w:val="00EA4837"/>
    <w:rsid w:val="00EA4F59"/>
    <w:rsid w:val="00EA765F"/>
    <w:rsid w:val="00EB1D6B"/>
    <w:rsid w:val="00EB40B7"/>
    <w:rsid w:val="00EB6A32"/>
    <w:rsid w:val="00EB74D7"/>
    <w:rsid w:val="00EB74DD"/>
    <w:rsid w:val="00EC1D6E"/>
    <w:rsid w:val="00EC1F32"/>
    <w:rsid w:val="00EC4537"/>
    <w:rsid w:val="00EC58BE"/>
    <w:rsid w:val="00ED1D9E"/>
    <w:rsid w:val="00ED7B95"/>
    <w:rsid w:val="00EE4888"/>
    <w:rsid w:val="00EE6114"/>
    <w:rsid w:val="00EE6F11"/>
    <w:rsid w:val="00EF0218"/>
    <w:rsid w:val="00EF0ADA"/>
    <w:rsid w:val="00EF1E3F"/>
    <w:rsid w:val="00EF3F84"/>
    <w:rsid w:val="00EF4BBC"/>
    <w:rsid w:val="00EF660E"/>
    <w:rsid w:val="00EF6FCC"/>
    <w:rsid w:val="00F04703"/>
    <w:rsid w:val="00F0689D"/>
    <w:rsid w:val="00F07509"/>
    <w:rsid w:val="00F10FE4"/>
    <w:rsid w:val="00F11BE1"/>
    <w:rsid w:val="00F12B78"/>
    <w:rsid w:val="00F174B6"/>
    <w:rsid w:val="00F17B0D"/>
    <w:rsid w:val="00F208C1"/>
    <w:rsid w:val="00F24D50"/>
    <w:rsid w:val="00F25924"/>
    <w:rsid w:val="00F275A9"/>
    <w:rsid w:val="00F27A10"/>
    <w:rsid w:val="00F32B62"/>
    <w:rsid w:val="00F3324D"/>
    <w:rsid w:val="00F40D71"/>
    <w:rsid w:val="00F43FEC"/>
    <w:rsid w:val="00F46524"/>
    <w:rsid w:val="00F46C06"/>
    <w:rsid w:val="00F46DC4"/>
    <w:rsid w:val="00F516FF"/>
    <w:rsid w:val="00F54D3C"/>
    <w:rsid w:val="00F6007B"/>
    <w:rsid w:val="00F60C0D"/>
    <w:rsid w:val="00F62145"/>
    <w:rsid w:val="00F621AC"/>
    <w:rsid w:val="00F670DA"/>
    <w:rsid w:val="00F7540B"/>
    <w:rsid w:val="00F802BB"/>
    <w:rsid w:val="00F81CD4"/>
    <w:rsid w:val="00F82036"/>
    <w:rsid w:val="00F91B74"/>
    <w:rsid w:val="00FA1A3E"/>
    <w:rsid w:val="00FA252C"/>
    <w:rsid w:val="00FA54FE"/>
    <w:rsid w:val="00FA5948"/>
    <w:rsid w:val="00FA75D4"/>
    <w:rsid w:val="00FB2D6D"/>
    <w:rsid w:val="00FB335B"/>
    <w:rsid w:val="00FB6C2D"/>
    <w:rsid w:val="00FB7437"/>
    <w:rsid w:val="00FC03D7"/>
    <w:rsid w:val="00FC0DA7"/>
    <w:rsid w:val="00FC18B8"/>
    <w:rsid w:val="00FC2025"/>
    <w:rsid w:val="00FC65A0"/>
    <w:rsid w:val="00FD15C4"/>
    <w:rsid w:val="00FD1D5B"/>
    <w:rsid w:val="00FD2000"/>
    <w:rsid w:val="00FD3D77"/>
    <w:rsid w:val="00FD4B8D"/>
    <w:rsid w:val="00FD7F63"/>
    <w:rsid w:val="00FD7FC4"/>
    <w:rsid w:val="00FE30B1"/>
    <w:rsid w:val="00FE50D2"/>
    <w:rsid w:val="00FF01A2"/>
    <w:rsid w:val="00FF0CF4"/>
    <w:rsid w:val="00FF161E"/>
    <w:rsid w:val="00FF205C"/>
    <w:rsid w:val="00FF2B8F"/>
    <w:rsid w:val="00FF59BF"/>
    <w:rsid w:val="00FF61F9"/>
    <w:rsid w:val="00FF713F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E275C3"/>
  <w15:docId w15:val="{6F755AA8-CD1E-47CE-A28D-818FD1B4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39A"/>
    <w:pPr>
      <w:spacing w:line="480" w:lineRule="auto"/>
    </w:pPr>
    <w:rPr>
      <w:rFonts w:ascii="Arial" w:eastAsia="Times New Roman" w:hAnsi="Arial" w:cs="Times New Roman"/>
      <w:sz w:val="24"/>
    </w:rPr>
  </w:style>
  <w:style w:type="paragraph" w:styleId="Heading1">
    <w:name w:val="heading 1"/>
    <w:basedOn w:val="Normal"/>
    <w:uiPriority w:val="9"/>
    <w:qFormat/>
    <w:pPr>
      <w:ind w:left="133"/>
      <w:outlineLvl w:val="0"/>
    </w:pPr>
    <w:rPr>
      <w:rFonts w:eastAsia="Arial" w:cs="Arial"/>
      <w:b/>
      <w:bCs/>
      <w:szCs w:val="24"/>
    </w:rPr>
  </w:style>
  <w:style w:type="paragraph" w:styleId="Heading2">
    <w:name w:val="heading 2"/>
    <w:basedOn w:val="Normal"/>
    <w:uiPriority w:val="9"/>
    <w:unhideWhenUsed/>
    <w:qFormat/>
    <w:pPr>
      <w:ind w:left="510" w:hanging="378"/>
      <w:outlineLvl w:val="1"/>
    </w:pPr>
    <w:rPr>
      <w:rFonts w:eastAsia="Arial" w:cs="Arial"/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134"/>
    <w:pPr>
      <w:tabs>
        <w:tab w:val="left" w:pos="623"/>
      </w:tabs>
      <w:outlineLvl w:val="2"/>
    </w:pPr>
    <w:rPr>
      <w:rFonts w:cs="Arial"/>
      <w:bCs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5"/>
      <w:ind w:left="133"/>
    </w:pPr>
    <w:rPr>
      <w:rFonts w:eastAsia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482" w:hanging="349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18"/>
    </w:pPr>
  </w:style>
  <w:style w:type="paragraph" w:styleId="Revision">
    <w:name w:val="Revision"/>
    <w:hidden/>
    <w:uiPriority w:val="99"/>
    <w:semiHidden/>
    <w:rsid w:val="00C134C9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134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4C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134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4C9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F2B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2B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BC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B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BC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DE0134"/>
    <w:rPr>
      <w:rFonts w:ascii="Arial" w:eastAsia="Times New Roman" w:hAnsi="Arial" w:cs="Arial"/>
      <w:bCs/>
      <w:i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6B7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6B7F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452E7B"/>
    <w:rPr>
      <w:rFonts w:ascii="Segoe UI" w:hAnsi="Segoe UI" w:cs="Segoe UI" w:hint="default"/>
      <w:sz w:val="18"/>
      <w:szCs w:val="18"/>
      <w:shd w:val="clear" w:color="auto" w:fill="00FF00"/>
    </w:rPr>
  </w:style>
  <w:style w:type="character" w:customStyle="1" w:styleId="BodyTextChar">
    <w:name w:val="Body Text Char"/>
    <w:basedOn w:val="DefaultParagraphFont"/>
    <w:link w:val="BodyText"/>
    <w:uiPriority w:val="1"/>
    <w:rsid w:val="00C87312"/>
    <w:rPr>
      <w:rFonts w:ascii="Arial" w:eastAsia="Times New Roman" w:hAnsi="Arial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5627A"/>
    <w:pPr>
      <w:widowControl/>
      <w:autoSpaceDE/>
      <w:autoSpaceDN/>
      <w:spacing w:before="100" w:beforeAutospacing="1" w:after="100" w:afterAutospacing="1" w:line="240" w:lineRule="auto"/>
    </w:pPr>
    <w:rPr>
      <w:rFonts w:ascii="Times New Roman" w:hAnsi="Times New Roman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0352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2.png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oter" Target="footer1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 A Z L E G A L ! 6 9 5 3 3 3 0 . 1 < / d o c u m e n t i d >  
     < s e n d e r i d > K Q B J 6 5 3 < / s e n d e r i d >  
     < s e n d e r e m a i l > J O E L . A L D R I C H @ A S T R A Z E N E C A . C O M < / s e n d e r e m a i l >  
     < l a s t m o d i f i e d > 2 0 2 2 - 0 9 - 3 0 T 1 2 : 3 3 : 0 0 . 0 0 0 0 0 0 0 - 0 4 : 0 0 < / l a s t m o d i f i e d >  
     < d a t a b a s e > A Z L E G A L < / d a t a b a s e >  
 < / p r o p e r t i e s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42e68b-6ed6-4d1c-b513-61b5a0a65ca2">
      <Terms xmlns="http://schemas.microsoft.com/office/infopath/2007/PartnerControls"/>
    </lcf76f155ced4ddcb4097134ff3c332f>
    <TaxCatchAll xmlns="2a97a6ef-b59d-436a-9ba7-74c328e9f92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DD30F724507048AC81048168840A3C" ma:contentTypeVersion="13" ma:contentTypeDescription="Create a new document." ma:contentTypeScope="" ma:versionID="e6e972061b4d7fb42c6c51aa069a2422">
  <xsd:schema xmlns:xsd="http://www.w3.org/2001/XMLSchema" xmlns:xs="http://www.w3.org/2001/XMLSchema" xmlns:p="http://schemas.microsoft.com/office/2006/metadata/properties" xmlns:ns2="6e42e68b-6ed6-4d1c-b513-61b5a0a65ca2" xmlns:ns3="2a97a6ef-b59d-436a-9ba7-74c328e9f927" targetNamespace="http://schemas.microsoft.com/office/2006/metadata/properties" ma:root="true" ma:fieldsID="f480b04fd69f63512fa1ec60885f5e4b" ns2:_="" ns3:_="">
    <xsd:import namespace="6e42e68b-6ed6-4d1c-b513-61b5a0a65ca2"/>
    <xsd:import namespace="2a97a6ef-b59d-436a-9ba7-74c328e9f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2e68b-6ed6-4d1c-b513-61b5a0a65c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87c265c-107f-4931-8a68-c05b077f8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7a6ef-b59d-436a-9ba7-74c328e9f92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00b48c5-8e1d-4cea-bfb7-dc12caf19aff}" ma:internalName="TaxCatchAll" ma:showField="CatchAllData" ma:web="2a97a6ef-b59d-436a-9ba7-74c328e9f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7ABDC-72D7-4707-9821-CC23F77EB6BE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90E5999C-7C00-4C58-8113-EDFF227D8B4F}">
  <ds:schemaRefs>
    <ds:schemaRef ds:uri="http://schemas.microsoft.com/office/2006/metadata/properties"/>
    <ds:schemaRef ds:uri="http://schemas.microsoft.com/office/infopath/2007/PartnerControls"/>
    <ds:schemaRef ds:uri="6e42e68b-6ed6-4d1c-b513-61b5a0a65ca2"/>
    <ds:schemaRef ds:uri="2a97a6ef-b59d-436a-9ba7-74c328e9f927"/>
  </ds:schemaRefs>
</ds:datastoreItem>
</file>

<file path=customXml/itemProps3.xml><?xml version="1.0" encoding="utf-8"?>
<ds:datastoreItem xmlns:ds="http://schemas.openxmlformats.org/officeDocument/2006/customXml" ds:itemID="{784DC840-8C27-49A1-9596-440C060B84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394C60-53E2-40D0-9429-F4CD85829D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42e68b-6ed6-4d1c-b513-61b5a0a65ca2"/>
    <ds:schemaRef ds:uri="2a97a6ef-b59d-436a-9ba7-74c328e9f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EC062C6-1D68-4AEF-B828-50A35E9F7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17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Kapil, Ansh</dc:creator>
  <cp:keywords/>
  <cp:lastModifiedBy>Datacheck</cp:lastModifiedBy>
  <cp:revision>28</cp:revision>
  <cp:lastPrinted>2023-11-05T14:30:00Z</cp:lastPrinted>
  <dcterms:created xsi:type="dcterms:W3CDTF">2023-11-05T14:36:00Z</dcterms:created>
  <dcterms:modified xsi:type="dcterms:W3CDTF">2023-12-08T10:31:00Z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0x010100B8DD30F724507048AC81048168840A3C</vt:lpwstr>
  </property>
  <property fmtid="{D5CDD505-2E9C-101B-9397-08002B2CF9AE}" pid="3" name="MediaServiceImageTags">
    <vt:lpwstr/>
  </property>
</Properties>
</file>