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A005" w14:textId="34CF8B5A" w:rsidR="00CD4060" w:rsidRPr="00BB3791" w:rsidRDefault="00CD4060" w:rsidP="007808DC">
      <w:pPr>
        <w:spacing w:line="300" w:lineRule="auto"/>
        <w:jc w:val="both"/>
        <w:rPr>
          <w:rFonts w:ascii="Garamond" w:hAnsi="Garamond"/>
          <w:b/>
          <w:bCs/>
          <w:color w:val="000000" w:themeColor="text1"/>
          <w:sz w:val="32"/>
          <w:szCs w:val="32"/>
          <w:lang w:val="en-GB"/>
        </w:rPr>
      </w:pPr>
      <w:r w:rsidRPr="00BB3791">
        <w:rPr>
          <w:rFonts w:ascii="Garamond" w:hAnsi="Garamond"/>
          <w:b/>
          <w:bCs/>
          <w:color w:val="000000" w:themeColor="text1"/>
          <w:sz w:val="32"/>
          <w:szCs w:val="32"/>
          <w:lang w:val="en-GB"/>
        </w:rPr>
        <w:t>Supplementary material to:</w:t>
      </w:r>
    </w:p>
    <w:p w14:paraId="2732CFB0" w14:textId="77777777" w:rsidR="00CD4060" w:rsidRPr="00BB3791" w:rsidRDefault="00CD4060" w:rsidP="007808DC">
      <w:pPr>
        <w:spacing w:line="300" w:lineRule="auto"/>
        <w:jc w:val="both"/>
        <w:rPr>
          <w:rFonts w:ascii="Garamond" w:hAnsi="Garamond"/>
          <w:b/>
          <w:bCs/>
          <w:color w:val="000000" w:themeColor="text1"/>
          <w:sz w:val="36"/>
          <w:szCs w:val="36"/>
          <w:lang w:val="en-GB"/>
        </w:rPr>
      </w:pPr>
      <w:r w:rsidRPr="00BB3791">
        <w:rPr>
          <w:rFonts w:ascii="Garamond" w:hAnsi="Garamond"/>
          <w:b/>
          <w:bCs/>
          <w:color w:val="000000" w:themeColor="text1"/>
          <w:sz w:val="36"/>
          <w:szCs w:val="36"/>
          <w:lang w:val="en-GB"/>
        </w:rPr>
        <w:t xml:space="preserve">Temporal changes in survival among adult patients with acute lymphoblastic </w:t>
      </w:r>
      <w:proofErr w:type="spellStart"/>
      <w:r w:rsidRPr="00BB3791">
        <w:rPr>
          <w:rFonts w:ascii="Garamond" w:hAnsi="Garamond"/>
          <w:b/>
          <w:bCs/>
          <w:color w:val="000000" w:themeColor="text1"/>
          <w:sz w:val="36"/>
          <w:szCs w:val="36"/>
          <w:lang w:val="en-GB"/>
        </w:rPr>
        <w:t>leukemia</w:t>
      </w:r>
      <w:proofErr w:type="spellEnd"/>
      <w:r w:rsidRPr="00BB3791">
        <w:rPr>
          <w:rFonts w:ascii="Garamond" w:hAnsi="Garamond"/>
          <w:b/>
          <w:bCs/>
          <w:color w:val="000000" w:themeColor="text1"/>
          <w:sz w:val="36"/>
          <w:szCs w:val="36"/>
          <w:lang w:val="en-GB"/>
        </w:rPr>
        <w:t xml:space="preserve"> in the period 1998-2020 – A Danish nationwide population-based study</w:t>
      </w:r>
    </w:p>
    <w:p w14:paraId="63564DAE" w14:textId="77777777" w:rsidR="00CD4060" w:rsidRPr="00BB3791" w:rsidRDefault="00CD4060" w:rsidP="007808DC">
      <w:pPr>
        <w:spacing w:line="300" w:lineRule="auto"/>
        <w:jc w:val="both"/>
        <w:rPr>
          <w:rFonts w:ascii="Garamond" w:hAnsi="Garamond"/>
          <w:b/>
          <w:bCs/>
          <w:color w:val="000000" w:themeColor="text1"/>
          <w:sz w:val="26"/>
          <w:szCs w:val="26"/>
        </w:rPr>
      </w:pPr>
      <w:r w:rsidRPr="00BB3791">
        <w:rPr>
          <w:rFonts w:ascii="Garamond" w:hAnsi="Garamond"/>
          <w:b/>
          <w:bCs/>
          <w:color w:val="000000" w:themeColor="text1"/>
          <w:sz w:val="26"/>
          <w:szCs w:val="26"/>
        </w:rPr>
        <w:t>Kristensen, D.T.</w:t>
      </w:r>
      <w:r w:rsidRPr="00BB3791">
        <w:rPr>
          <w:rFonts w:ascii="Garamond" w:hAnsi="Garamond"/>
          <w:b/>
          <w:bCs/>
          <w:i/>
          <w:iCs/>
          <w:color w:val="000000" w:themeColor="text1"/>
          <w:sz w:val="26"/>
          <w:szCs w:val="26"/>
        </w:rPr>
        <w:t xml:space="preserve"> et al</w:t>
      </w:r>
    </w:p>
    <w:sdt>
      <w:sdtPr>
        <w:rPr>
          <w:rFonts w:ascii="Garamond" w:eastAsiaTheme="minorHAnsi" w:hAnsi="Garamond" w:cstheme="minorBidi"/>
          <w:b w:val="0"/>
          <w:bCs w:val="0"/>
          <w:color w:val="000000" w:themeColor="text1"/>
          <w:sz w:val="24"/>
          <w:szCs w:val="24"/>
          <w:lang w:val="en-GB" w:eastAsia="en-US"/>
        </w:rPr>
        <w:id w:val="-1162550727"/>
        <w:docPartObj>
          <w:docPartGallery w:val="Table of Contents"/>
          <w:docPartUnique/>
        </w:docPartObj>
      </w:sdtPr>
      <w:sdtEndPr>
        <w:rPr>
          <w:rFonts w:eastAsiaTheme="majorEastAsia" w:cstheme="majorBidi"/>
          <w:noProof/>
          <w:sz w:val="32"/>
          <w:szCs w:val="32"/>
        </w:rPr>
      </w:sdtEndPr>
      <w:sdtContent>
        <w:p w14:paraId="00EEF5A4" w14:textId="77777777" w:rsidR="00CD4060" w:rsidRPr="00BB3791" w:rsidRDefault="00CD4060" w:rsidP="007808DC">
          <w:pPr>
            <w:pStyle w:val="Overskrift"/>
            <w:jc w:val="both"/>
            <w:rPr>
              <w:rFonts w:ascii="Garamond" w:hAnsi="Garamond"/>
              <w:color w:val="000000" w:themeColor="text1"/>
            </w:rPr>
          </w:pPr>
          <w:r w:rsidRPr="00BB3791">
            <w:rPr>
              <w:rFonts w:ascii="Garamond" w:hAnsi="Garamond"/>
              <w:color w:val="000000" w:themeColor="text1"/>
            </w:rPr>
            <w:t>CONTENTS:</w:t>
          </w:r>
        </w:p>
        <w:p w14:paraId="1D39E47F" w14:textId="6C567281" w:rsidR="00EF6FD6" w:rsidRDefault="00CD4060">
          <w:pPr>
            <w:pStyle w:val="Indholdsfortegnelse1"/>
            <w:tabs>
              <w:tab w:val="right" w:leader="dot" w:pos="9736"/>
            </w:tabs>
            <w:rPr>
              <w:rFonts w:eastAsiaTheme="minorEastAsia" w:cstheme="minorBidi"/>
              <w:b w:val="0"/>
              <w:bCs w:val="0"/>
              <w:noProof/>
              <w:kern w:val="2"/>
              <w:sz w:val="24"/>
              <w:szCs w:val="24"/>
              <w:lang w:eastAsia="da-DK"/>
              <w14:ligatures w14:val="standardContextual"/>
            </w:rPr>
          </w:pPr>
          <w:r w:rsidRPr="00BB3791">
            <w:rPr>
              <w:rFonts w:ascii="Garamond" w:hAnsi="Garamond"/>
              <w:b w:val="0"/>
              <w:bCs w:val="0"/>
              <w:color w:val="000000" w:themeColor="text1"/>
              <w:sz w:val="24"/>
              <w:szCs w:val="24"/>
              <w:lang w:val="en-GB"/>
            </w:rPr>
            <w:fldChar w:fldCharType="begin"/>
          </w:r>
          <w:r w:rsidRPr="00BB3791">
            <w:rPr>
              <w:rFonts w:ascii="Garamond" w:hAnsi="Garamond"/>
              <w:color w:val="000000" w:themeColor="text1"/>
              <w:sz w:val="24"/>
              <w:szCs w:val="24"/>
              <w:lang w:val="en-GB"/>
            </w:rPr>
            <w:instrText>TOC \o "1-3" \h \z \u</w:instrText>
          </w:r>
          <w:r w:rsidRPr="00BB3791">
            <w:rPr>
              <w:rFonts w:ascii="Garamond" w:hAnsi="Garamond"/>
              <w:b w:val="0"/>
              <w:bCs w:val="0"/>
              <w:color w:val="000000" w:themeColor="text1"/>
              <w:sz w:val="24"/>
              <w:szCs w:val="24"/>
              <w:lang w:val="en-GB"/>
            </w:rPr>
            <w:fldChar w:fldCharType="separate"/>
          </w:r>
          <w:hyperlink w:anchor="_Toc151718187" w:history="1">
            <w:r w:rsidR="00EF6FD6" w:rsidRPr="00471650">
              <w:rPr>
                <w:rStyle w:val="Hyperlink"/>
                <w:rFonts w:ascii="Garamond" w:hAnsi="Garamond"/>
                <w:noProof/>
                <w:lang w:val="en-US"/>
              </w:rPr>
              <w:t>Data sources</w:t>
            </w:r>
            <w:r w:rsidR="00EF6FD6">
              <w:rPr>
                <w:noProof/>
                <w:webHidden/>
              </w:rPr>
              <w:tab/>
            </w:r>
            <w:r w:rsidR="00EF6FD6">
              <w:rPr>
                <w:noProof/>
                <w:webHidden/>
              </w:rPr>
              <w:fldChar w:fldCharType="begin"/>
            </w:r>
            <w:r w:rsidR="00EF6FD6">
              <w:rPr>
                <w:noProof/>
                <w:webHidden/>
              </w:rPr>
              <w:instrText xml:space="preserve"> PAGEREF _Toc151718187 \h </w:instrText>
            </w:r>
            <w:r w:rsidR="00EF6FD6">
              <w:rPr>
                <w:noProof/>
                <w:webHidden/>
              </w:rPr>
            </w:r>
            <w:r w:rsidR="00EF6FD6">
              <w:rPr>
                <w:noProof/>
                <w:webHidden/>
              </w:rPr>
              <w:fldChar w:fldCharType="separate"/>
            </w:r>
            <w:r w:rsidR="00EF6FD6">
              <w:rPr>
                <w:noProof/>
                <w:webHidden/>
              </w:rPr>
              <w:t>2</w:t>
            </w:r>
            <w:r w:rsidR="00EF6FD6">
              <w:rPr>
                <w:noProof/>
                <w:webHidden/>
              </w:rPr>
              <w:fldChar w:fldCharType="end"/>
            </w:r>
          </w:hyperlink>
        </w:p>
        <w:p w14:paraId="50FFA950" w14:textId="380AEB94" w:rsidR="00EF6FD6" w:rsidRDefault="00000000">
          <w:pPr>
            <w:pStyle w:val="Indholdsfortegnelse2"/>
            <w:tabs>
              <w:tab w:val="right" w:leader="dot" w:pos="9736"/>
            </w:tabs>
            <w:rPr>
              <w:rFonts w:eastAsiaTheme="minorEastAsia" w:cstheme="minorBidi"/>
              <w:i w:val="0"/>
              <w:iCs w:val="0"/>
              <w:noProof/>
              <w:kern w:val="2"/>
              <w:sz w:val="24"/>
              <w:szCs w:val="24"/>
              <w:lang w:eastAsia="da-DK"/>
              <w14:ligatures w14:val="standardContextual"/>
            </w:rPr>
          </w:pPr>
          <w:hyperlink w:anchor="_Toc151718188" w:history="1">
            <w:r w:rsidR="00EF6FD6" w:rsidRPr="00471650">
              <w:rPr>
                <w:rStyle w:val="Hyperlink"/>
                <w:rFonts w:ascii="Garamond" w:hAnsi="Garamond"/>
                <w:noProof/>
                <w:lang w:val="en-US"/>
              </w:rPr>
              <w:t>The Personal Identification number (CPR number) and linkage of registers</w:t>
            </w:r>
            <w:r w:rsidR="00EF6FD6">
              <w:rPr>
                <w:noProof/>
                <w:webHidden/>
              </w:rPr>
              <w:tab/>
            </w:r>
            <w:r w:rsidR="00EF6FD6">
              <w:rPr>
                <w:noProof/>
                <w:webHidden/>
              </w:rPr>
              <w:fldChar w:fldCharType="begin"/>
            </w:r>
            <w:r w:rsidR="00EF6FD6">
              <w:rPr>
                <w:noProof/>
                <w:webHidden/>
              </w:rPr>
              <w:instrText xml:space="preserve"> PAGEREF _Toc151718188 \h </w:instrText>
            </w:r>
            <w:r w:rsidR="00EF6FD6">
              <w:rPr>
                <w:noProof/>
                <w:webHidden/>
              </w:rPr>
            </w:r>
            <w:r w:rsidR="00EF6FD6">
              <w:rPr>
                <w:noProof/>
                <w:webHidden/>
              </w:rPr>
              <w:fldChar w:fldCharType="separate"/>
            </w:r>
            <w:r w:rsidR="00EF6FD6">
              <w:rPr>
                <w:noProof/>
                <w:webHidden/>
              </w:rPr>
              <w:t>2</w:t>
            </w:r>
            <w:r w:rsidR="00EF6FD6">
              <w:rPr>
                <w:noProof/>
                <w:webHidden/>
              </w:rPr>
              <w:fldChar w:fldCharType="end"/>
            </w:r>
          </w:hyperlink>
        </w:p>
        <w:p w14:paraId="7B0F3F58" w14:textId="46D67208" w:rsidR="00EF6FD6" w:rsidRDefault="00000000">
          <w:pPr>
            <w:pStyle w:val="Indholdsfortegnelse2"/>
            <w:tabs>
              <w:tab w:val="right" w:leader="dot" w:pos="9736"/>
            </w:tabs>
            <w:rPr>
              <w:rFonts w:eastAsiaTheme="minorEastAsia" w:cstheme="minorBidi"/>
              <w:i w:val="0"/>
              <w:iCs w:val="0"/>
              <w:noProof/>
              <w:kern w:val="2"/>
              <w:sz w:val="24"/>
              <w:szCs w:val="24"/>
              <w:lang w:eastAsia="da-DK"/>
              <w14:ligatures w14:val="standardContextual"/>
            </w:rPr>
          </w:pPr>
          <w:hyperlink w:anchor="_Toc151718189" w:history="1">
            <w:r w:rsidR="00EF6FD6" w:rsidRPr="00471650">
              <w:rPr>
                <w:rStyle w:val="Hyperlink"/>
                <w:rFonts w:ascii="Garamond" w:hAnsi="Garamond"/>
                <w:noProof/>
                <w:lang w:val="en-US"/>
              </w:rPr>
              <w:t>Danish Civil Registration System (CRS)</w:t>
            </w:r>
            <w:r w:rsidR="00EF6FD6">
              <w:rPr>
                <w:noProof/>
                <w:webHidden/>
              </w:rPr>
              <w:tab/>
            </w:r>
            <w:r w:rsidR="00EF6FD6">
              <w:rPr>
                <w:noProof/>
                <w:webHidden/>
              </w:rPr>
              <w:fldChar w:fldCharType="begin"/>
            </w:r>
            <w:r w:rsidR="00EF6FD6">
              <w:rPr>
                <w:noProof/>
                <w:webHidden/>
              </w:rPr>
              <w:instrText xml:space="preserve"> PAGEREF _Toc151718189 \h </w:instrText>
            </w:r>
            <w:r w:rsidR="00EF6FD6">
              <w:rPr>
                <w:noProof/>
                <w:webHidden/>
              </w:rPr>
            </w:r>
            <w:r w:rsidR="00EF6FD6">
              <w:rPr>
                <w:noProof/>
                <w:webHidden/>
              </w:rPr>
              <w:fldChar w:fldCharType="separate"/>
            </w:r>
            <w:r w:rsidR="00EF6FD6">
              <w:rPr>
                <w:noProof/>
                <w:webHidden/>
              </w:rPr>
              <w:t>2</w:t>
            </w:r>
            <w:r w:rsidR="00EF6FD6">
              <w:rPr>
                <w:noProof/>
                <w:webHidden/>
              </w:rPr>
              <w:fldChar w:fldCharType="end"/>
            </w:r>
          </w:hyperlink>
        </w:p>
        <w:p w14:paraId="12FE18A5" w14:textId="3B0F8725" w:rsidR="00EF6FD6" w:rsidRDefault="00000000">
          <w:pPr>
            <w:pStyle w:val="Indholdsfortegnelse2"/>
            <w:tabs>
              <w:tab w:val="right" w:leader="dot" w:pos="9736"/>
            </w:tabs>
            <w:rPr>
              <w:rFonts w:eastAsiaTheme="minorEastAsia" w:cstheme="minorBidi"/>
              <w:i w:val="0"/>
              <w:iCs w:val="0"/>
              <w:noProof/>
              <w:kern w:val="2"/>
              <w:sz w:val="24"/>
              <w:szCs w:val="24"/>
              <w:lang w:eastAsia="da-DK"/>
              <w14:ligatures w14:val="standardContextual"/>
            </w:rPr>
          </w:pPr>
          <w:hyperlink w:anchor="_Toc151718190" w:history="1">
            <w:r w:rsidR="00EF6FD6" w:rsidRPr="00471650">
              <w:rPr>
                <w:rStyle w:val="Hyperlink"/>
                <w:rFonts w:ascii="Garamond" w:hAnsi="Garamond"/>
                <w:noProof/>
                <w:lang w:val="en-US"/>
              </w:rPr>
              <w:t>The Danish Acute Leukemia Registry (DNLR)</w:t>
            </w:r>
            <w:r w:rsidR="00EF6FD6">
              <w:rPr>
                <w:noProof/>
                <w:webHidden/>
              </w:rPr>
              <w:tab/>
            </w:r>
            <w:r w:rsidR="00EF6FD6">
              <w:rPr>
                <w:noProof/>
                <w:webHidden/>
              </w:rPr>
              <w:fldChar w:fldCharType="begin"/>
            </w:r>
            <w:r w:rsidR="00EF6FD6">
              <w:rPr>
                <w:noProof/>
                <w:webHidden/>
              </w:rPr>
              <w:instrText xml:space="preserve"> PAGEREF _Toc151718190 \h </w:instrText>
            </w:r>
            <w:r w:rsidR="00EF6FD6">
              <w:rPr>
                <w:noProof/>
                <w:webHidden/>
              </w:rPr>
            </w:r>
            <w:r w:rsidR="00EF6FD6">
              <w:rPr>
                <w:noProof/>
                <w:webHidden/>
              </w:rPr>
              <w:fldChar w:fldCharType="separate"/>
            </w:r>
            <w:r w:rsidR="00EF6FD6">
              <w:rPr>
                <w:noProof/>
                <w:webHidden/>
              </w:rPr>
              <w:t>2</w:t>
            </w:r>
            <w:r w:rsidR="00EF6FD6">
              <w:rPr>
                <w:noProof/>
                <w:webHidden/>
              </w:rPr>
              <w:fldChar w:fldCharType="end"/>
            </w:r>
          </w:hyperlink>
        </w:p>
        <w:p w14:paraId="39042737" w14:textId="216BD8D5" w:rsidR="00EF6FD6" w:rsidRDefault="00000000">
          <w:pPr>
            <w:pStyle w:val="Indholdsfortegnelse2"/>
            <w:tabs>
              <w:tab w:val="right" w:leader="dot" w:pos="9736"/>
            </w:tabs>
            <w:rPr>
              <w:rFonts w:eastAsiaTheme="minorEastAsia" w:cstheme="minorBidi"/>
              <w:i w:val="0"/>
              <w:iCs w:val="0"/>
              <w:noProof/>
              <w:kern w:val="2"/>
              <w:sz w:val="24"/>
              <w:szCs w:val="24"/>
              <w:lang w:eastAsia="da-DK"/>
              <w14:ligatures w14:val="standardContextual"/>
            </w:rPr>
          </w:pPr>
          <w:hyperlink w:anchor="_Toc151718191" w:history="1">
            <w:r w:rsidR="00EF6FD6" w:rsidRPr="00471650">
              <w:rPr>
                <w:rStyle w:val="Hyperlink"/>
                <w:rFonts w:ascii="Garamond" w:hAnsi="Garamond"/>
                <w:noProof/>
                <w:lang w:val="en-US"/>
              </w:rPr>
              <w:t>The local ALL register</w:t>
            </w:r>
            <w:r w:rsidR="00EF6FD6">
              <w:rPr>
                <w:noProof/>
                <w:webHidden/>
              </w:rPr>
              <w:tab/>
            </w:r>
            <w:r w:rsidR="00EF6FD6">
              <w:rPr>
                <w:noProof/>
                <w:webHidden/>
              </w:rPr>
              <w:fldChar w:fldCharType="begin"/>
            </w:r>
            <w:r w:rsidR="00EF6FD6">
              <w:rPr>
                <w:noProof/>
                <w:webHidden/>
              </w:rPr>
              <w:instrText xml:space="preserve"> PAGEREF _Toc151718191 \h </w:instrText>
            </w:r>
            <w:r w:rsidR="00EF6FD6">
              <w:rPr>
                <w:noProof/>
                <w:webHidden/>
              </w:rPr>
            </w:r>
            <w:r w:rsidR="00EF6FD6">
              <w:rPr>
                <w:noProof/>
                <w:webHidden/>
              </w:rPr>
              <w:fldChar w:fldCharType="separate"/>
            </w:r>
            <w:r w:rsidR="00EF6FD6">
              <w:rPr>
                <w:noProof/>
                <w:webHidden/>
              </w:rPr>
              <w:t>3</w:t>
            </w:r>
            <w:r w:rsidR="00EF6FD6">
              <w:rPr>
                <w:noProof/>
                <w:webHidden/>
              </w:rPr>
              <w:fldChar w:fldCharType="end"/>
            </w:r>
          </w:hyperlink>
        </w:p>
        <w:p w14:paraId="6F614870" w14:textId="727C19F9" w:rsidR="00EF6FD6" w:rsidRDefault="00000000">
          <w:pPr>
            <w:pStyle w:val="Indholdsfortegnelse2"/>
            <w:tabs>
              <w:tab w:val="right" w:leader="dot" w:pos="9736"/>
            </w:tabs>
            <w:rPr>
              <w:rFonts w:eastAsiaTheme="minorEastAsia" w:cstheme="minorBidi"/>
              <w:i w:val="0"/>
              <w:iCs w:val="0"/>
              <w:noProof/>
              <w:kern w:val="2"/>
              <w:sz w:val="24"/>
              <w:szCs w:val="24"/>
              <w:lang w:eastAsia="da-DK"/>
              <w14:ligatures w14:val="standardContextual"/>
            </w:rPr>
          </w:pPr>
          <w:hyperlink w:anchor="_Toc151718192" w:history="1">
            <w:r w:rsidR="00EF6FD6" w:rsidRPr="00471650">
              <w:rPr>
                <w:rStyle w:val="Hyperlink"/>
                <w:rFonts w:ascii="Garamond" w:hAnsi="Garamond"/>
                <w:noProof/>
                <w:lang w:val="en-US"/>
              </w:rPr>
              <w:t>Flowchart of study participants (Figure S1)</w:t>
            </w:r>
            <w:r w:rsidR="00EF6FD6">
              <w:rPr>
                <w:noProof/>
                <w:webHidden/>
              </w:rPr>
              <w:tab/>
            </w:r>
            <w:r w:rsidR="00EF6FD6">
              <w:rPr>
                <w:noProof/>
                <w:webHidden/>
              </w:rPr>
              <w:fldChar w:fldCharType="begin"/>
            </w:r>
            <w:r w:rsidR="00EF6FD6">
              <w:rPr>
                <w:noProof/>
                <w:webHidden/>
              </w:rPr>
              <w:instrText xml:space="preserve"> PAGEREF _Toc151718192 \h </w:instrText>
            </w:r>
            <w:r w:rsidR="00EF6FD6">
              <w:rPr>
                <w:noProof/>
                <w:webHidden/>
              </w:rPr>
            </w:r>
            <w:r w:rsidR="00EF6FD6">
              <w:rPr>
                <w:noProof/>
                <w:webHidden/>
              </w:rPr>
              <w:fldChar w:fldCharType="separate"/>
            </w:r>
            <w:r w:rsidR="00EF6FD6">
              <w:rPr>
                <w:noProof/>
                <w:webHidden/>
              </w:rPr>
              <w:t>3</w:t>
            </w:r>
            <w:r w:rsidR="00EF6FD6">
              <w:rPr>
                <w:noProof/>
                <w:webHidden/>
              </w:rPr>
              <w:fldChar w:fldCharType="end"/>
            </w:r>
          </w:hyperlink>
        </w:p>
        <w:p w14:paraId="0224DA44" w14:textId="2E462B15" w:rsidR="00EF6FD6" w:rsidRDefault="00000000">
          <w:pPr>
            <w:pStyle w:val="Indholdsfortegnelse1"/>
            <w:tabs>
              <w:tab w:val="right" w:leader="dot" w:pos="9736"/>
            </w:tabs>
            <w:rPr>
              <w:rFonts w:eastAsiaTheme="minorEastAsia" w:cstheme="minorBidi"/>
              <w:b w:val="0"/>
              <w:bCs w:val="0"/>
              <w:noProof/>
              <w:kern w:val="2"/>
              <w:sz w:val="24"/>
              <w:szCs w:val="24"/>
              <w:lang w:eastAsia="da-DK"/>
              <w14:ligatures w14:val="standardContextual"/>
            </w:rPr>
          </w:pPr>
          <w:hyperlink w:anchor="_Toc151718193" w:history="1">
            <w:r w:rsidR="00EF6FD6" w:rsidRPr="00471650">
              <w:rPr>
                <w:rStyle w:val="Hyperlink"/>
                <w:rFonts w:ascii="Garamond" w:hAnsi="Garamond"/>
                <w:noProof/>
                <w:lang w:val="en-US"/>
              </w:rPr>
              <w:t>Definitions and additional information (Table S1)</w:t>
            </w:r>
            <w:r w:rsidR="00EF6FD6">
              <w:rPr>
                <w:noProof/>
                <w:webHidden/>
              </w:rPr>
              <w:tab/>
            </w:r>
            <w:r w:rsidR="00EF6FD6">
              <w:rPr>
                <w:noProof/>
                <w:webHidden/>
              </w:rPr>
              <w:fldChar w:fldCharType="begin"/>
            </w:r>
            <w:r w:rsidR="00EF6FD6">
              <w:rPr>
                <w:noProof/>
                <w:webHidden/>
              </w:rPr>
              <w:instrText xml:space="preserve"> PAGEREF _Toc151718193 \h </w:instrText>
            </w:r>
            <w:r w:rsidR="00EF6FD6">
              <w:rPr>
                <w:noProof/>
                <w:webHidden/>
              </w:rPr>
            </w:r>
            <w:r w:rsidR="00EF6FD6">
              <w:rPr>
                <w:noProof/>
                <w:webHidden/>
              </w:rPr>
              <w:fldChar w:fldCharType="separate"/>
            </w:r>
            <w:r w:rsidR="00EF6FD6">
              <w:rPr>
                <w:noProof/>
                <w:webHidden/>
              </w:rPr>
              <w:t>4</w:t>
            </w:r>
            <w:r w:rsidR="00EF6FD6">
              <w:rPr>
                <w:noProof/>
                <w:webHidden/>
              </w:rPr>
              <w:fldChar w:fldCharType="end"/>
            </w:r>
          </w:hyperlink>
        </w:p>
        <w:p w14:paraId="5AD613A1" w14:textId="0DE0D256" w:rsidR="00EF6FD6" w:rsidRDefault="00000000">
          <w:pPr>
            <w:pStyle w:val="Indholdsfortegnelse1"/>
            <w:tabs>
              <w:tab w:val="right" w:leader="dot" w:pos="9736"/>
            </w:tabs>
            <w:rPr>
              <w:rFonts w:eastAsiaTheme="minorEastAsia" w:cstheme="minorBidi"/>
              <w:b w:val="0"/>
              <w:bCs w:val="0"/>
              <w:noProof/>
              <w:kern w:val="2"/>
              <w:sz w:val="24"/>
              <w:szCs w:val="24"/>
              <w:lang w:eastAsia="da-DK"/>
              <w14:ligatures w14:val="standardContextual"/>
            </w:rPr>
          </w:pPr>
          <w:hyperlink w:anchor="_Toc151718194" w:history="1">
            <w:r w:rsidR="00EF6FD6" w:rsidRPr="00471650">
              <w:rPr>
                <w:rStyle w:val="Hyperlink"/>
                <w:rFonts w:ascii="Garamond" w:hAnsi="Garamond"/>
                <w:noProof/>
                <w:lang w:val="en-US"/>
              </w:rPr>
              <w:t>Parameters for flexible parametric survival models (Table S2)</w:t>
            </w:r>
            <w:r w:rsidR="00EF6FD6">
              <w:rPr>
                <w:noProof/>
                <w:webHidden/>
              </w:rPr>
              <w:tab/>
            </w:r>
            <w:r w:rsidR="00EF6FD6">
              <w:rPr>
                <w:noProof/>
                <w:webHidden/>
              </w:rPr>
              <w:fldChar w:fldCharType="begin"/>
            </w:r>
            <w:r w:rsidR="00EF6FD6">
              <w:rPr>
                <w:noProof/>
                <w:webHidden/>
              </w:rPr>
              <w:instrText xml:space="preserve"> PAGEREF _Toc151718194 \h </w:instrText>
            </w:r>
            <w:r w:rsidR="00EF6FD6">
              <w:rPr>
                <w:noProof/>
                <w:webHidden/>
              </w:rPr>
            </w:r>
            <w:r w:rsidR="00EF6FD6">
              <w:rPr>
                <w:noProof/>
                <w:webHidden/>
              </w:rPr>
              <w:fldChar w:fldCharType="separate"/>
            </w:r>
            <w:r w:rsidR="00EF6FD6">
              <w:rPr>
                <w:noProof/>
                <w:webHidden/>
              </w:rPr>
              <w:t>5</w:t>
            </w:r>
            <w:r w:rsidR="00EF6FD6">
              <w:rPr>
                <w:noProof/>
                <w:webHidden/>
              </w:rPr>
              <w:fldChar w:fldCharType="end"/>
            </w:r>
          </w:hyperlink>
        </w:p>
        <w:p w14:paraId="61BBF8C8" w14:textId="2BB2568B" w:rsidR="00EF6FD6" w:rsidRDefault="00000000">
          <w:pPr>
            <w:pStyle w:val="Indholdsfortegnelse1"/>
            <w:tabs>
              <w:tab w:val="right" w:leader="dot" w:pos="9736"/>
            </w:tabs>
            <w:rPr>
              <w:rFonts w:eastAsiaTheme="minorEastAsia" w:cstheme="minorBidi"/>
              <w:b w:val="0"/>
              <w:bCs w:val="0"/>
              <w:noProof/>
              <w:kern w:val="2"/>
              <w:sz w:val="24"/>
              <w:szCs w:val="24"/>
              <w:lang w:eastAsia="da-DK"/>
              <w14:ligatures w14:val="standardContextual"/>
            </w:rPr>
          </w:pPr>
          <w:hyperlink w:anchor="_Toc151718195" w:history="1">
            <w:r w:rsidR="00EF6FD6" w:rsidRPr="00471650">
              <w:rPr>
                <w:rStyle w:val="Hyperlink"/>
                <w:rFonts w:ascii="Garamond" w:hAnsi="Garamond"/>
                <w:noProof/>
                <w:lang w:val="en-US"/>
              </w:rPr>
              <w:t>Supplementary references</w:t>
            </w:r>
            <w:r w:rsidR="00EF6FD6">
              <w:rPr>
                <w:noProof/>
                <w:webHidden/>
              </w:rPr>
              <w:tab/>
            </w:r>
            <w:r w:rsidR="00EF6FD6">
              <w:rPr>
                <w:noProof/>
                <w:webHidden/>
              </w:rPr>
              <w:fldChar w:fldCharType="begin"/>
            </w:r>
            <w:r w:rsidR="00EF6FD6">
              <w:rPr>
                <w:noProof/>
                <w:webHidden/>
              </w:rPr>
              <w:instrText xml:space="preserve"> PAGEREF _Toc151718195 \h </w:instrText>
            </w:r>
            <w:r w:rsidR="00EF6FD6">
              <w:rPr>
                <w:noProof/>
                <w:webHidden/>
              </w:rPr>
            </w:r>
            <w:r w:rsidR="00EF6FD6">
              <w:rPr>
                <w:noProof/>
                <w:webHidden/>
              </w:rPr>
              <w:fldChar w:fldCharType="separate"/>
            </w:r>
            <w:r w:rsidR="00EF6FD6">
              <w:rPr>
                <w:noProof/>
                <w:webHidden/>
              </w:rPr>
              <w:t>6</w:t>
            </w:r>
            <w:r w:rsidR="00EF6FD6">
              <w:rPr>
                <w:noProof/>
                <w:webHidden/>
              </w:rPr>
              <w:fldChar w:fldCharType="end"/>
            </w:r>
          </w:hyperlink>
        </w:p>
        <w:p w14:paraId="4408B346" w14:textId="0343F3B7" w:rsidR="00CD4060" w:rsidRPr="00BB3791" w:rsidRDefault="00CD4060" w:rsidP="007808DC">
          <w:pPr>
            <w:pStyle w:val="Overskrift1"/>
            <w:keepNext w:val="0"/>
            <w:keepLines w:val="0"/>
            <w:jc w:val="both"/>
            <w:rPr>
              <w:rFonts w:ascii="Garamond" w:hAnsi="Garamond"/>
              <w:color w:val="000000" w:themeColor="text1"/>
              <w:lang w:val="en-US"/>
            </w:rPr>
          </w:pPr>
          <w:r w:rsidRPr="00BB3791">
            <w:rPr>
              <w:rFonts w:ascii="Garamond" w:hAnsi="Garamond"/>
              <w:b/>
              <w:bCs/>
              <w:noProof/>
              <w:color w:val="000000" w:themeColor="text1"/>
              <w:sz w:val="44"/>
              <w:szCs w:val="44"/>
              <w:lang w:val="en-GB"/>
            </w:rPr>
            <w:fldChar w:fldCharType="end"/>
          </w:r>
        </w:p>
      </w:sdtContent>
    </w:sdt>
    <w:p w14:paraId="1CD26EFB" w14:textId="77777777" w:rsidR="00CD4060" w:rsidRPr="000A5852" w:rsidRDefault="00CD4060" w:rsidP="000D10F5">
      <w:pPr>
        <w:pStyle w:val="Overskrift1"/>
        <w:keepNext w:val="0"/>
        <w:keepLines w:val="0"/>
        <w:pageBreakBefore/>
        <w:spacing w:line="276" w:lineRule="auto"/>
        <w:jc w:val="both"/>
        <w:rPr>
          <w:rFonts w:ascii="Garamond" w:hAnsi="Garamond"/>
          <w:color w:val="000000" w:themeColor="text1"/>
          <w:sz w:val="28"/>
          <w:szCs w:val="28"/>
          <w:lang w:val="en-US"/>
        </w:rPr>
      </w:pPr>
      <w:bookmarkStart w:id="0" w:name="_Toc151718187"/>
      <w:r w:rsidRPr="000A5852">
        <w:rPr>
          <w:rFonts w:ascii="Garamond" w:hAnsi="Garamond"/>
          <w:color w:val="000000" w:themeColor="text1"/>
          <w:sz w:val="28"/>
          <w:szCs w:val="28"/>
          <w:lang w:val="en-US"/>
        </w:rPr>
        <w:lastRenderedPageBreak/>
        <w:t>Data sources</w:t>
      </w:r>
      <w:bookmarkEnd w:id="0"/>
    </w:p>
    <w:p w14:paraId="4FF851E6" w14:textId="77777777" w:rsidR="00CD4060" w:rsidRPr="00BB3791" w:rsidRDefault="00CD4060" w:rsidP="000D10F5">
      <w:pPr>
        <w:spacing w:line="276" w:lineRule="auto"/>
        <w:jc w:val="both"/>
        <w:rPr>
          <w:rFonts w:ascii="Garamond" w:hAnsi="Garamond"/>
          <w:color w:val="000000" w:themeColor="text1"/>
          <w:lang w:val="en-US"/>
        </w:rPr>
      </w:pPr>
    </w:p>
    <w:p w14:paraId="046ABFAC" w14:textId="77777777" w:rsidR="00CD4060" w:rsidRPr="00BB3791" w:rsidRDefault="00CD4060" w:rsidP="000D10F5">
      <w:pPr>
        <w:pStyle w:val="Overskrift2"/>
        <w:spacing w:line="276" w:lineRule="auto"/>
        <w:jc w:val="both"/>
        <w:rPr>
          <w:rFonts w:ascii="Garamond" w:hAnsi="Garamond"/>
          <w:color w:val="000000" w:themeColor="text1"/>
          <w:lang w:val="en-US"/>
        </w:rPr>
      </w:pPr>
      <w:bookmarkStart w:id="1" w:name="_Toc120637040"/>
      <w:bookmarkStart w:id="2" w:name="_Toc151718188"/>
      <w:r w:rsidRPr="00BB3791">
        <w:rPr>
          <w:rFonts w:ascii="Garamond" w:hAnsi="Garamond"/>
          <w:color w:val="000000" w:themeColor="text1"/>
          <w:lang w:val="en-US"/>
        </w:rPr>
        <w:t>The Personal Identification number (CPR number) and linkage of registers</w:t>
      </w:r>
      <w:bookmarkEnd w:id="1"/>
      <w:bookmarkEnd w:id="2"/>
    </w:p>
    <w:p w14:paraId="0E47D82B" w14:textId="729342EB" w:rsidR="00CD4060" w:rsidRPr="00BB3791" w:rsidRDefault="00CD4060" w:rsidP="000D10F5">
      <w:pPr>
        <w:spacing w:line="276" w:lineRule="auto"/>
        <w:jc w:val="both"/>
        <w:rPr>
          <w:rFonts w:ascii="Garamond" w:hAnsi="Garamond"/>
          <w:color w:val="000000" w:themeColor="text1"/>
          <w:sz w:val="24"/>
          <w:szCs w:val="24"/>
          <w:lang w:val="en-US"/>
        </w:rPr>
      </w:pPr>
      <w:r w:rsidRPr="00BB3791">
        <w:rPr>
          <w:rFonts w:ascii="Garamond" w:hAnsi="Garamond"/>
          <w:color w:val="000000" w:themeColor="text1"/>
          <w:sz w:val="24"/>
          <w:szCs w:val="24"/>
          <w:lang w:val="en-US"/>
        </w:rPr>
        <w:t>Since 1968 all Danish residents have been given a unique 10-digit Personal Identification number (CPR number) at birth or immigration.</w:t>
      </w:r>
      <w:sdt>
        <w:sdtPr>
          <w:rPr>
            <w:rFonts w:ascii="Garamond" w:hAnsi="Garamond"/>
            <w:color w:val="000000" w:themeColor="text1"/>
            <w:sz w:val="24"/>
            <w:szCs w:val="24"/>
            <w:vertAlign w:val="superscript"/>
            <w:lang w:val="en-US"/>
          </w:rPr>
          <w:tag w:val="MENDELEY_CITATION_v3_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"/>
          <w:id w:val="-932895855"/>
          <w:placeholder>
            <w:docPart w:val="123C809A7B792B4C9B52BC35DD499740"/>
          </w:placeholder>
        </w:sdtPr>
        <w:sdtEndPr>
          <w:rPr>
            <w:sz w:val="22"/>
            <w:szCs w:val="22"/>
            <w:lang w:val="da-DK"/>
          </w:rPr>
        </w:sdtEndPr>
        <w:sdtContent>
          <w:r w:rsidR="008674D4" w:rsidRPr="00BB3791">
            <w:rPr>
              <w:rFonts w:ascii="Garamond" w:hAnsi="Garamond"/>
              <w:color w:val="000000" w:themeColor="text1"/>
              <w:vertAlign w:val="superscript"/>
              <w:lang w:val="en-US"/>
            </w:rPr>
            <w:t>1,2</w:t>
          </w:r>
        </w:sdtContent>
      </w:sdt>
      <w:r w:rsidRPr="00BB3791">
        <w:rPr>
          <w:rFonts w:ascii="Garamond" w:hAnsi="Garamond"/>
          <w:color w:val="000000" w:themeColor="text1"/>
          <w:sz w:val="24"/>
          <w:szCs w:val="24"/>
          <w:lang w:val="en-US"/>
        </w:rPr>
        <w:t xml:space="preserve"> The CPR number is used to register data from all contacts with the health care system, including hospitals. Data </w:t>
      </w:r>
      <w:r w:rsidR="001B227D">
        <w:rPr>
          <w:rFonts w:ascii="Garamond" w:hAnsi="Garamond"/>
          <w:color w:val="000000" w:themeColor="text1"/>
          <w:sz w:val="24"/>
          <w:szCs w:val="24"/>
          <w:lang w:val="en-US"/>
        </w:rPr>
        <w:t>are</w:t>
      </w:r>
      <w:r w:rsidRPr="00BB3791">
        <w:rPr>
          <w:rFonts w:ascii="Garamond" w:hAnsi="Garamond"/>
          <w:color w:val="000000" w:themeColor="text1"/>
          <w:sz w:val="24"/>
          <w:szCs w:val="24"/>
          <w:lang w:val="en-US"/>
        </w:rPr>
        <w:t xml:space="preserve"> registered at and governed by different Danish health institutions and a generalized division includes:</w:t>
      </w:r>
    </w:p>
    <w:p w14:paraId="753CA350" w14:textId="77777777" w:rsidR="00CD4060" w:rsidRPr="00BB3791" w:rsidRDefault="00CD4060" w:rsidP="000D10F5">
      <w:pPr>
        <w:pStyle w:val="Listeafsnit"/>
        <w:numPr>
          <w:ilvl w:val="0"/>
          <w:numId w:val="1"/>
        </w:numPr>
        <w:spacing w:line="276" w:lineRule="auto"/>
        <w:jc w:val="both"/>
        <w:rPr>
          <w:rFonts w:ascii="Garamond" w:hAnsi="Garamond"/>
          <w:color w:val="000000" w:themeColor="text1"/>
          <w:sz w:val="24"/>
          <w:szCs w:val="24"/>
          <w:lang w:val="en-US"/>
        </w:rPr>
      </w:pPr>
      <w:r w:rsidRPr="00BB3791">
        <w:rPr>
          <w:rFonts w:ascii="Garamond" w:hAnsi="Garamond"/>
          <w:color w:val="000000" w:themeColor="text1"/>
          <w:sz w:val="24"/>
          <w:szCs w:val="24"/>
          <w:lang w:val="en-US"/>
        </w:rPr>
        <w:t xml:space="preserve">The Danish Health Data Authority (Danish, </w:t>
      </w:r>
      <w:proofErr w:type="spellStart"/>
      <w:r w:rsidRPr="00BB3791">
        <w:rPr>
          <w:rFonts w:ascii="Garamond" w:hAnsi="Garamond"/>
          <w:color w:val="000000" w:themeColor="text1"/>
          <w:sz w:val="24"/>
          <w:szCs w:val="24"/>
          <w:lang w:val="en-US"/>
        </w:rPr>
        <w:t>Sundhedsdatastyrelsen</w:t>
      </w:r>
      <w:proofErr w:type="spellEnd"/>
      <w:r w:rsidRPr="00BB3791">
        <w:rPr>
          <w:rFonts w:ascii="Garamond" w:hAnsi="Garamond"/>
          <w:color w:val="000000" w:themeColor="text1"/>
          <w:sz w:val="24"/>
          <w:szCs w:val="24"/>
          <w:lang w:val="en-US"/>
        </w:rPr>
        <w:t>: https://sundhedsdatastyrelsen.dk/da/english) contains administrative health care data.</w:t>
      </w:r>
    </w:p>
    <w:p w14:paraId="32522F05" w14:textId="77777777" w:rsidR="00CD4060" w:rsidRPr="00BB3791" w:rsidRDefault="00CD4060" w:rsidP="000D10F5">
      <w:pPr>
        <w:pStyle w:val="Listeafsnit"/>
        <w:numPr>
          <w:ilvl w:val="0"/>
          <w:numId w:val="1"/>
        </w:numPr>
        <w:spacing w:line="276" w:lineRule="auto"/>
        <w:jc w:val="both"/>
        <w:rPr>
          <w:rFonts w:ascii="Garamond" w:hAnsi="Garamond"/>
          <w:color w:val="000000" w:themeColor="text1"/>
          <w:sz w:val="24"/>
          <w:szCs w:val="24"/>
          <w:lang w:val="en-US"/>
        </w:rPr>
      </w:pPr>
      <w:r w:rsidRPr="00BB3791">
        <w:rPr>
          <w:rFonts w:ascii="Garamond" w:hAnsi="Garamond"/>
          <w:color w:val="000000" w:themeColor="text1"/>
          <w:sz w:val="24"/>
          <w:szCs w:val="24"/>
          <w:lang w:val="en-US"/>
        </w:rPr>
        <w:t xml:space="preserve">The Danish Clinical Quality Program – National Clinical Registries (Danish, </w:t>
      </w:r>
      <w:proofErr w:type="spellStart"/>
      <w:r w:rsidRPr="00BB3791">
        <w:rPr>
          <w:rFonts w:ascii="Garamond" w:hAnsi="Garamond"/>
          <w:color w:val="000000" w:themeColor="text1"/>
          <w:sz w:val="24"/>
          <w:szCs w:val="24"/>
          <w:lang w:val="en-US"/>
        </w:rPr>
        <w:t>Regionernes</w:t>
      </w:r>
      <w:proofErr w:type="spellEnd"/>
      <w:r w:rsidRPr="00BB3791">
        <w:rPr>
          <w:rFonts w:ascii="Garamond" w:hAnsi="Garamond"/>
          <w:color w:val="000000" w:themeColor="text1"/>
          <w:sz w:val="24"/>
          <w:szCs w:val="24"/>
          <w:lang w:val="en-US"/>
        </w:rPr>
        <w:t xml:space="preserve"> </w:t>
      </w:r>
      <w:proofErr w:type="spellStart"/>
      <w:r w:rsidRPr="00BB3791">
        <w:rPr>
          <w:rFonts w:ascii="Garamond" w:hAnsi="Garamond"/>
          <w:color w:val="000000" w:themeColor="text1"/>
          <w:sz w:val="24"/>
          <w:szCs w:val="24"/>
          <w:lang w:val="en-US"/>
        </w:rPr>
        <w:t>Kliniske</w:t>
      </w:r>
      <w:proofErr w:type="spellEnd"/>
      <w:r w:rsidRPr="00BB3791">
        <w:rPr>
          <w:rFonts w:ascii="Garamond" w:hAnsi="Garamond"/>
          <w:color w:val="000000" w:themeColor="text1"/>
          <w:sz w:val="24"/>
          <w:szCs w:val="24"/>
          <w:lang w:val="en-US"/>
        </w:rPr>
        <w:t xml:space="preserve"> </w:t>
      </w:r>
      <w:proofErr w:type="spellStart"/>
      <w:r w:rsidRPr="00BB3791">
        <w:rPr>
          <w:rFonts w:ascii="Garamond" w:hAnsi="Garamond"/>
          <w:color w:val="000000" w:themeColor="text1"/>
          <w:sz w:val="24"/>
          <w:szCs w:val="24"/>
          <w:lang w:val="en-US"/>
        </w:rPr>
        <w:t>Kvalitetsudviklingsprogram</w:t>
      </w:r>
      <w:proofErr w:type="spellEnd"/>
      <w:r w:rsidRPr="00BB3791">
        <w:rPr>
          <w:rFonts w:ascii="Garamond" w:hAnsi="Garamond"/>
          <w:color w:val="000000" w:themeColor="text1"/>
          <w:sz w:val="24"/>
          <w:szCs w:val="24"/>
          <w:lang w:val="en-US"/>
        </w:rPr>
        <w:t xml:space="preserve"> [RKKP]: https://www.rkkp.dk/in-english/) contains data regarding specific diseases and treatment.</w:t>
      </w:r>
    </w:p>
    <w:p w14:paraId="15E2AF81" w14:textId="77777777" w:rsidR="00CD4060" w:rsidRPr="00BB3791" w:rsidRDefault="00CD4060" w:rsidP="000D10F5">
      <w:pPr>
        <w:pStyle w:val="Listeafsnit"/>
        <w:numPr>
          <w:ilvl w:val="0"/>
          <w:numId w:val="1"/>
        </w:numPr>
        <w:spacing w:line="276" w:lineRule="auto"/>
        <w:jc w:val="both"/>
        <w:rPr>
          <w:rFonts w:ascii="Garamond" w:hAnsi="Garamond"/>
          <w:color w:val="000000" w:themeColor="text1"/>
          <w:sz w:val="24"/>
          <w:szCs w:val="24"/>
          <w:lang w:val="en-US"/>
        </w:rPr>
      </w:pPr>
      <w:r w:rsidRPr="00BB3791">
        <w:rPr>
          <w:rFonts w:ascii="Garamond" w:hAnsi="Garamond"/>
          <w:color w:val="000000" w:themeColor="text1"/>
          <w:sz w:val="24"/>
          <w:szCs w:val="24"/>
          <w:lang w:val="en-US"/>
        </w:rPr>
        <w:t xml:space="preserve">Statistics Denmark (Danish, </w:t>
      </w:r>
      <w:proofErr w:type="spellStart"/>
      <w:r w:rsidRPr="00BB3791">
        <w:rPr>
          <w:rFonts w:ascii="Garamond" w:hAnsi="Garamond"/>
          <w:color w:val="000000" w:themeColor="text1"/>
          <w:sz w:val="24"/>
          <w:szCs w:val="24"/>
          <w:lang w:val="en-US"/>
        </w:rPr>
        <w:t>Danmarks</w:t>
      </w:r>
      <w:proofErr w:type="spellEnd"/>
      <w:r w:rsidRPr="00BB3791">
        <w:rPr>
          <w:rFonts w:ascii="Garamond" w:hAnsi="Garamond"/>
          <w:color w:val="000000" w:themeColor="text1"/>
          <w:sz w:val="24"/>
          <w:szCs w:val="24"/>
          <w:lang w:val="en-US"/>
        </w:rPr>
        <w:t xml:space="preserve"> </w:t>
      </w:r>
      <w:proofErr w:type="spellStart"/>
      <w:r w:rsidRPr="00BB3791">
        <w:rPr>
          <w:rFonts w:ascii="Garamond" w:hAnsi="Garamond"/>
          <w:color w:val="000000" w:themeColor="text1"/>
          <w:sz w:val="24"/>
          <w:szCs w:val="24"/>
          <w:lang w:val="en-US"/>
        </w:rPr>
        <w:t>Statistik</w:t>
      </w:r>
      <w:proofErr w:type="spellEnd"/>
      <w:r w:rsidRPr="00BB3791">
        <w:rPr>
          <w:rFonts w:ascii="Garamond" w:hAnsi="Garamond"/>
          <w:color w:val="000000" w:themeColor="text1"/>
          <w:sz w:val="24"/>
          <w:szCs w:val="24"/>
          <w:lang w:val="en-US"/>
        </w:rPr>
        <w:t>: https://www.dst.dk/en) holds data on socioeconomic data for the entire Danish population.</w:t>
      </w:r>
    </w:p>
    <w:p w14:paraId="3473B5CA" w14:textId="77777777" w:rsidR="00CD4060" w:rsidRPr="00BB3791" w:rsidRDefault="00CD4060" w:rsidP="000D10F5">
      <w:pPr>
        <w:pStyle w:val="Overskrift2"/>
        <w:jc w:val="both"/>
        <w:rPr>
          <w:rFonts w:ascii="Garamond" w:hAnsi="Garamond"/>
          <w:color w:val="000000" w:themeColor="text1"/>
          <w:lang w:val="en-US"/>
        </w:rPr>
      </w:pPr>
      <w:bookmarkStart w:id="3" w:name="_Toc120637041"/>
      <w:bookmarkStart w:id="4" w:name="_Toc151718189"/>
      <w:r w:rsidRPr="00BB3791">
        <w:rPr>
          <w:rFonts w:ascii="Garamond" w:hAnsi="Garamond"/>
          <w:color w:val="000000" w:themeColor="text1"/>
          <w:lang w:val="en-US"/>
        </w:rPr>
        <w:t>Danish Civil Registration System (CRS)</w:t>
      </w:r>
      <w:bookmarkEnd w:id="3"/>
      <w:bookmarkEnd w:id="4"/>
    </w:p>
    <w:p w14:paraId="5611DCA0" w14:textId="48BE0826" w:rsidR="00CD4060" w:rsidRPr="00BB3791" w:rsidRDefault="00CD4060" w:rsidP="000D10F5">
      <w:pPr>
        <w:jc w:val="both"/>
        <w:rPr>
          <w:rFonts w:ascii="Garamond" w:hAnsi="Garamond"/>
          <w:color w:val="000000" w:themeColor="text1"/>
          <w:vertAlign w:val="superscript"/>
          <w:lang w:val="en-US"/>
        </w:rPr>
      </w:pPr>
      <w:r w:rsidRPr="00BB3791">
        <w:rPr>
          <w:rFonts w:ascii="Garamond" w:hAnsi="Garamond"/>
          <w:color w:val="000000" w:themeColor="text1"/>
          <w:sz w:val="24"/>
          <w:szCs w:val="24"/>
          <w:lang w:val="en-US"/>
        </w:rPr>
        <w:t>The CRS contains data on all Danish residents since 1968 and allows for complete follow-up of all patients. The register holds information on CPR number, age, date of birth, continuously updated information on vital status along with 150 other variables.</w:t>
      </w:r>
      <w:sdt>
        <w:sdtPr>
          <w:rPr>
            <w:rFonts w:ascii="Garamond" w:hAnsi="Garamond"/>
            <w:color w:val="000000" w:themeColor="text1"/>
            <w:sz w:val="24"/>
            <w:szCs w:val="24"/>
            <w:vertAlign w:val="superscript"/>
            <w:lang w:val="en-US"/>
          </w:rPr>
          <w:tag w:val="MENDELEY_CITATION_v3_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"/>
          <w:id w:val="-1045675525"/>
          <w:placeholder>
            <w:docPart w:val="7D2064B4983EC8489B3ED8B5DA91025B"/>
          </w:placeholder>
        </w:sdtPr>
        <w:sdtEndPr>
          <w:rPr>
            <w:sz w:val="22"/>
            <w:szCs w:val="22"/>
            <w:lang w:val="da-DK"/>
          </w:rPr>
        </w:sdtEndPr>
        <w:sdtContent>
          <w:r w:rsidR="008674D4" w:rsidRPr="00BB3791">
            <w:rPr>
              <w:rFonts w:ascii="Garamond" w:hAnsi="Garamond"/>
              <w:color w:val="000000" w:themeColor="text1"/>
              <w:vertAlign w:val="superscript"/>
              <w:lang w:val="en-US"/>
            </w:rPr>
            <w:t>1,2</w:t>
          </w:r>
        </w:sdtContent>
      </w:sdt>
      <w:r w:rsidRPr="00BB3791">
        <w:rPr>
          <w:rFonts w:ascii="Garamond" w:hAnsi="Garamond"/>
          <w:color w:val="000000" w:themeColor="text1"/>
          <w:sz w:val="24"/>
          <w:szCs w:val="24"/>
          <w:lang w:val="en-US"/>
        </w:rPr>
        <w:t xml:space="preserve"> This register was used to follow all subjects during the study period to December</w:t>
      </w:r>
      <w:r w:rsidR="001B227D">
        <w:rPr>
          <w:rFonts w:ascii="Garamond" w:hAnsi="Garamond"/>
          <w:color w:val="000000" w:themeColor="text1"/>
          <w:sz w:val="24"/>
          <w:szCs w:val="24"/>
          <w:lang w:val="en-US"/>
        </w:rPr>
        <w:t xml:space="preserve"> 31,</w:t>
      </w:r>
      <w:r w:rsidRPr="00BB3791">
        <w:rPr>
          <w:rFonts w:ascii="Garamond" w:hAnsi="Garamond"/>
          <w:color w:val="000000" w:themeColor="text1"/>
          <w:sz w:val="24"/>
          <w:szCs w:val="24"/>
          <w:lang w:val="en-US"/>
        </w:rPr>
        <w:t xml:space="preserve"> 2022.</w:t>
      </w:r>
    </w:p>
    <w:p w14:paraId="0649C297" w14:textId="08A73328" w:rsidR="00CD4060" w:rsidRPr="00BB3791" w:rsidRDefault="00CD4060" w:rsidP="000D10F5">
      <w:pPr>
        <w:pStyle w:val="Overskrift2"/>
        <w:spacing w:line="276" w:lineRule="auto"/>
        <w:jc w:val="both"/>
        <w:rPr>
          <w:rFonts w:ascii="Garamond" w:hAnsi="Garamond"/>
          <w:color w:val="000000" w:themeColor="text1"/>
          <w:lang w:val="en-US"/>
        </w:rPr>
      </w:pPr>
      <w:bookmarkStart w:id="5" w:name="_Toc151718190"/>
      <w:r w:rsidRPr="00BB3791">
        <w:rPr>
          <w:rFonts w:ascii="Garamond" w:hAnsi="Garamond"/>
          <w:color w:val="000000" w:themeColor="text1"/>
          <w:lang w:val="en-US"/>
        </w:rPr>
        <w:t>The Danish Acute Leukemia Registry (DNLR)</w:t>
      </w:r>
      <w:bookmarkEnd w:id="5"/>
    </w:p>
    <w:p w14:paraId="7C23AEE1" w14:textId="77777777" w:rsidR="000D10F5" w:rsidRPr="00BB3791" w:rsidRDefault="00CD4060" w:rsidP="000D10F5">
      <w:pPr>
        <w:spacing w:line="276" w:lineRule="auto"/>
        <w:jc w:val="both"/>
        <w:rPr>
          <w:rFonts w:ascii="Garamond" w:hAnsi="Garamond" w:cs="Times New Roman"/>
          <w:color w:val="000000" w:themeColor="text1"/>
          <w:sz w:val="24"/>
          <w:szCs w:val="24"/>
          <w:lang w:val="en-US"/>
        </w:rPr>
      </w:pPr>
      <w:r w:rsidRPr="00BB3791">
        <w:rPr>
          <w:rFonts w:ascii="Garamond" w:hAnsi="Garamond" w:cs="Times New Roman"/>
          <w:color w:val="000000" w:themeColor="text1"/>
          <w:sz w:val="24"/>
          <w:szCs w:val="24"/>
          <w:lang w:val="en-US"/>
        </w:rPr>
        <w:t>A collection of hematologic registries exists under the governance of the Danish Society of Hematology (DHS) and The Danish Clinical Registries (RKKP). The registries are disease specific and include patients with different hematologic diagnoses.</w:t>
      </w:r>
    </w:p>
    <w:p w14:paraId="56BAD3E0" w14:textId="2A04FB1B" w:rsidR="00CD4060" w:rsidRPr="00BB3791" w:rsidRDefault="00CD4060" w:rsidP="000D10F5">
      <w:pPr>
        <w:spacing w:line="276" w:lineRule="auto"/>
        <w:jc w:val="both"/>
        <w:rPr>
          <w:rFonts w:ascii="Garamond" w:hAnsi="Garamond" w:cs="Times New Roman"/>
          <w:color w:val="000000" w:themeColor="text1"/>
          <w:sz w:val="24"/>
          <w:szCs w:val="24"/>
          <w:lang w:val="en-US"/>
        </w:rPr>
      </w:pPr>
      <w:r w:rsidRPr="00BB3791">
        <w:rPr>
          <w:rFonts w:ascii="Garamond" w:hAnsi="Garamond" w:cs="Times New Roman"/>
          <w:color w:val="000000" w:themeColor="text1"/>
          <w:sz w:val="24"/>
          <w:szCs w:val="24"/>
          <w:lang w:val="en-US"/>
        </w:rPr>
        <w:t>For this study the DNLR was used to define a study population and retrieve data on the disease course. DNLR was established in 2000 by the Danish Acute Leukemia Group (ALG) and include</w:t>
      </w:r>
      <w:r w:rsidR="001B227D">
        <w:rPr>
          <w:rFonts w:ascii="Garamond" w:hAnsi="Garamond" w:cs="Times New Roman"/>
          <w:color w:val="000000" w:themeColor="text1"/>
          <w:sz w:val="24"/>
          <w:szCs w:val="24"/>
          <w:lang w:val="en-US"/>
        </w:rPr>
        <w:t>s</w:t>
      </w:r>
      <w:r w:rsidR="00AD39CB" w:rsidRPr="00BB3791">
        <w:rPr>
          <w:rFonts w:ascii="Garamond" w:hAnsi="Garamond" w:cs="Times New Roman"/>
          <w:color w:val="000000" w:themeColor="text1"/>
          <w:sz w:val="24"/>
          <w:szCs w:val="24"/>
          <w:lang w:val="en-US"/>
        </w:rPr>
        <w:t xml:space="preserve"> prospectively collected</w:t>
      </w:r>
      <w:r w:rsidRPr="00BB3791">
        <w:rPr>
          <w:rFonts w:ascii="Garamond" w:hAnsi="Garamond" w:cs="Times New Roman"/>
          <w:color w:val="000000" w:themeColor="text1"/>
          <w:sz w:val="24"/>
          <w:szCs w:val="24"/>
          <w:lang w:val="en-US"/>
        </w:rPr>
        <w:t xml:space="preserve"> data on all cases of adult ALL treated at a department of hematology since January 1, 2005. </w:t>
      </w:r>
      <w:r w:rsidRPr="00BB3791">
        <w:rPr>
          <w:rFonts w:ascii="Garamond" w:hAnsi="Garamond" w:cs="Times New Roman"/>
          <w:color w:val="000000" w:themeColor="text1"/>
          <w:sz w:val="24"/>
          <w:szCs w:val="24"/>
          <w:lang w:val="en-US"/>
        </w:rPr>
        <w:br/>
        <w:t xml:space="preserve">The primary aim of the registry is to improve quality of care and treatment of these hematological malignancies, </w:t>
      </w:r>
      <w:r w:rsidR="00AD39CB" w:rsidRPr="00BB3791">
        <w:rPr>
          <w:rFonts w:ascii="Garamond" w:hAnsi="Garamond" w:cs="Times New Roman"/>
          <w:color w:val="000000" w:themeColor="text1"/>
          <w:sz w:val="24"/>
          <w:szCs w:val="24"/>
          <w:lang w:val="en-US"/>
        </w:rPr>
        <w:t>through</w:t>
      </w:r>
      <w:r w:rsidRPr="00BB3791">
        <w:rPr>
          <w:rFonts w:ascii="Garamond" w:hAnsi="Garamond" w:cs="Times New Roman"/>
          <w:color w:val="000000" w:themeColor="text1"/>
          <w:sz w:val="24"/>
          <w:szCs w:val="24"/>
          <w:lang w:val="en-US"/>
        </w:rPr>
        <w:t xml:space="preserve"> insight on epidemiological factors and identification of prognostic and predictive factors for outcome. All participating hospitals departments treating ALL </w:t>
      </w:r>
      <w:r w:rsidR="00AD39CB" w:rsidRPr="00BB3791">
        <w:rPr>
          <w:rFonts w:ascii="Garamond" w:hAnsi="Garamond" w:cs="Times New Roman"/>
          <w:color w:val="000000" w:themeColor="text1"/>
          <w:sz w:val="24"/>
          <w:szCs w:val="24"/>
          <w:lang w:val="en-US"/>
        </w:rPr>
        <w:t>are obliged to</w:t>
      </w:r>
      <w:r w:rsidRPr="00BB3791">
        <w:rPr>
          <w:rFonts w:ascii="Garamond" w:hAnsi="Garamond" w:cs="Times New Roman"/>
          <w:color w:val="000000" w:themeColor="text1"/>
          <w:sz w:val="24"/>
          <w:szCs w:val="24"/>
          <w:lang w:val="en-US"/>
        </w:rPr>
        <w:t xml:space="preserve"> report requested data to DNLR and patient consent is not required. The physician registers new cases using standardized registrations forms found in an online registration-based system. During the disease course of an ALL-patient up to five registrations forms are completed at following </w:t>
      </w:r>
      <w:proofErr w:type="gramStart"/>
      <w:r w:rsidRPr="00BB3791">
        <w:rPr>
          <w:rFonts w:ascii="Garamond" w:hAnsi="Garamond" w:cs="Times New Roman"/>
          <w:color w:val="000000" w:themeColor="text1"/>
          <w:sz w:val="24"/>
          <w:szCs w:val="24"/>
          <w:lang w:val="en-US"/>
        </w:rPr>
        <w:t>points;</w:t>
      </w:r>
      <w:proofErr w:type="gramEnd"/>
      <w:r w:rsidRPr="00BB3791">
        <w:rPr>
          <w:rFonts w:ascii="Garamond" w:hAnsi="Garamond" w:cs="Times New Roman"/>
          <w:color w:val="000000" w:themeColor="text1"/>
          <w:sz w:val="24"/>
          <w:szCs w:val="24"/>
          <w:lang w:val="en-US"/>
        </w:rPr>
        <w:t xml:space="preserve"> 1) at diagnosis, 2) completion of first-line chemotherapy treatment, 3) in case of relapse, 4) upon death or termination of follow-up and 5) in case of allogeneic stem</w:t>
      </w:r>
      <w:r w:rsidR="001B227D">
        <w:rPr>
          <w:rFonts w:ascii="Garamond" w:hAnsi="Garamond" w:cs="Times New Roman"/>
          <w:color w:val="000000" w:themeColor="text1"/>
          <w:sz w:val="24"/>
          <w:szCs w:val="24"/>
          <w:lang w:val="en-US"/>
        </w:rPr>
        <w:t xml:space="preserve"> </w:t>
      </w:r>
      <w:r w:rsidRPr="00BB3791">
        <w:rPr>
          <w:rFonts w:ascii="Garamond" w:hAnsi="Garamond" w:cs="Times New Roman"/>
          <w:color w:val="000000" w:themeColor="text1"/>
          <w:sz w:val="24"/>
          <w:szCs w:val="24"/>
          <w:lang w:val="en-US"/>
        </w:rPr>
        <w:t xml:space="preserve">cell transplantation. The database contains a number of </w:t>
      </w:r>
      <w:proofErr w:type="gramStart"/>
      <w:r w:rsidRPr="00BB3791">
        <w:rPr>
          <w:rFonts w:ascii="Garamond" w:hAnsi="Garamond" w:cs="Times New Roman"/>
          <w:color w:val="000000" w:themeColor="text1"/>
          <w:sz w:val="24"/>
          <w:szCs w:val="24"/>
          <w:lang w:val="en-US"/>
        </w:rPr>
        <w:t>baseline</w:t>
      </w:r>
      <w:proofErr w:type="gramEnd"/>
      <w:r w:rsidRPr="00BB3791">
        <w:rPr>
          <w:rFonts w:ascii="Garamond" w:hAnsi="Garamond" w:cs="Times New Roman"/>
          <w:color w:val="000000" w:themeColor="text1"/>
          <w:sz w:val="24"/>
          <w:szCs w:val="24"/>
          <w:lang w:val="en-US"/>
        </w:rPr>
        <w:t xml:space="preserve"> clinicopathological variables for all patients registered</w:t>
      </w:r>
      <w:r w:rsidR="001B227D">
        <w:rPr>
          <w:rFonts w:ascii="Garamond" w:hAnsi="Garamond" w:cs="Times New Roman"/>
          <w:color w:val="000000" w:themeColor="text1"/>
          <w:sz w:val="24"/>
          <w:szCs w:val="24"/>
          <w:lang w:val="en-US"/>
        </w:rPr>
        <w:t>;</w:t>
      </w:r>
      <w:r w:rsidRPr="00BB3791">
        <w:rPr>
          <w:rFonts w:ascii="Garamond" w:hAnsi="Garamond" w:cs="Times New Roman"/>
          <w:color w:val="000000" w:themeColor="text1"/>
          <w:sz w:val="24"/>
          <w:szCs w:val="24"/>
          <w:lang w:val="en-US"/>
        </w:rPr>
        <w:t xml:space="preserve"> however, depending on the course of the disease, data for &gt;150 variables (related to the patient, disease, treatment and outcome) may be collected</w:t>
      </w:r>
      <w:sdt>
        <w:sdtPr>
          <w:rPr>
            <w:rFonts w:ascii="Garamond" w:hAnsi="Garamond" w:cs="Times New Roman"/>
            <w:color w:val="000000" w:themeColor="text1"/>
            <w:sz w:val="24"/>
            <w:szCs w:val="24"/>
            <w:vertAlign w:val="superscript"/>
            <w:lang w:val="en-US"/>
          </w:rPr>
          <w:tag w:val="MENDELEY_CITATION_v3_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"/>
          <w:id w:val="275368876"/>
          <w:placeholder>
            <w:docPart w:val="DefaultPlaceholder_-1854013440"/>
          </w:placeholder>
        </w:sdtPr>
        <w:sdtEndPr>
          <w:rPr>
            <w:rFonts w:cstheme="minorBidi"/>
            <w:sz w:val="22"/>
            <w:szCs w:val="22"/>
            <w:lang w:val="da-DK"/>
          </w:rPr>
        </w:sdtEndPr>
        <w:sdtContent>
          <w:r w:rsidR="008674D4" w:rsidRPr="00BB3791">
            <w:rPr>
              <w:rFonts w:ascii="Garamond" w:hAnsi="Garamond"/>
              <w:color w:val="000000" w:themeColor="text1"/>
              <w:vertAlign w:val="superscript"/>
              <w:lang w:val="en-US"/>
            </w:rPr>
            <w:t>3</w:t>
          </w:r>
        </w:sdtContent>
      </w:sdt>
      <w:r w:rsidRPr="00BB3791">
        <w:rPr>
          <w:rFonts w:ascii="Garamond" w:hAnsi="Garamond" w:cs="Times New Roman"/>
          <w:color w:val="000000" w:themeColor="text1"/>
          <w:sz w:val="24"/>
          <w:szCs w:val="24"/>
          <w:lang w:val="en-US"/>
        </w:rPr>
        <w:t xml:space="preserve">. The financial support to the registry depends directly upon registration completeness and coverage. A validation study found </w:t>
      </w:r>
      <w:r w:rsidR="00AD39CB" w:rsidRPr="00BB3791">
        <w:rPr>
          <w:rFonts w:ascii="Garamond" w:hAnsi="Garamond" w:cs="Times New Roman"/>
          <w:color w:val="000000" w:themeColor="text1"/>
          <w:sz w:val="24"/>
          <w:szCs w:val="24"/>
          <w:lang w:val="en-US"/>
        </w:rPr>
        <w:t>an</w:t>
      </w:r>
      <w:r w:rsidRPr="00BB3791">
        <w:rPr>
          <w:rFonts w:ascii="Garamond" w:hAnsi="Garamond" w:cs="Times New Roman"/>
          <w:color w:val="000000" w:themeColor="text1"/>
          <w:sz w:val="24"/>
          <w:szCs w:val="24"/>
          <w:lang w:val="en-US"/>
        </w:rPr>
        <w:t xml:space="preserve"> AML-coverage &gt;99</w:t>
      </w:r>
      <w:r w:rsidR="000D10F5" w:rsidRPr="00BB3791">
        <w:rPr>
          <w:rFonts w:ascii="Garamond" w:hAnsi="Garamond" w:cs="Times New Roman"/>
          <w:color w:val="000000" w:themeColor="text1"/>
          <w:sz w:val="24"/>
          <w:szCs w:val="24"/>
          <w:lang w:val="en-US"/>
        </w:rPr>
        <w:t>% and</w:t>
      </w:r>
      <w:r w:rsidRPr="00BB3791">
        <w:rPr>
          <w:rFonts w:ascii="Garamond" w:hAnsi="Garamond" w:cs="Times New Roman"/>
          <w:color w:val="000000" w:themeColor="text1"/>
          <w:sz w:val="24"/>
          <w:szCs w:val="24"/>
          <w:lang w:val="en-US"/>
        </w:rPr>
        <w:t xml:space="preserve"> for thirty variables obtained the study found a completeness between 60-100 %, and a positive predictive value (PPV) ranging from 89-100%</w:t>
      </w:r>
      <w:sdt>
        <w:sdtPr>
          <w:rPr>
            <w:rFonts w:ascii="Garamond" w:hAnsi="Garamond" w:cs="Times New Roman"/>
            <w:color w:val="000000" w:themeColor="text1"/>
            <w:sz w:val="24"/>
            <w:szCs w:val="24"/>
            <w:vertAlign w:val="superscript"/>
            <w:lang w:val="en-US"/>
          </w:rPr>
          <w:tag w:val="MENDELEY_CITATION_v3_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"/>
          <w:id w:val="504636921"/>
          <w:placeholder>
            <w:docPart w:val="DefaultPlaceholder_-1854013440"/>
          </w:placeholder>
        </w:sdtPr>
        <w:sdtEndPr>
          <w:rPr>
            <w:rFonts w:cstheme="minorBidi"/>
            <w:sz w:val="22"/>
            <w:szCs w:val="22"/>
            <w:lang w:val="da-DK"/>
          </w:rPr>
        </w:sdtEndPr>
        <w:sdtContent>
          <w:r w:rsidR="008674D4" w:rsidRPr="00BB3791">
            <w:rPr>
              <w:rFonts w:ascii="Garamond" w:hAnsi="Garamond"/>
              <w:color w:val="000000" w:themeColor="text1"/>
              <w:vertAlign w:val="superscript"/>
              <w:lang w:val="en-US"/>
            </w:rPr>
            <w:t>4</w:t>
          </w:r>
        </w:sdtContent>
      </w:sdt>
      <w:r w:rsidRPr="00BB3791">
        <w:rPr>
          <w:rFonts w:ascii="Garamond" w:hAnsi="Garamond" w:cs="Times New Roman"/>
          <w:color w:val="000000" w:themeColor="text1"/>
          <w:sz w:val="24"/>
          <w:szCs w:val="24"/>
          <w:lang w:val="en-US"/>
        </w:rPr>
        <w:t xml:space="preserve">. </w:t>
      </w:r>
    </w:p>
    <w:p w14:paraId="585F1AFB" w14:textId="77777777" w:rsidR="00CD4060" w:rsidRPr="00BB3791" w:rsidRDefault="00CD4060" w:rsidP="0032779A">
      <w:pPr>
        <w:jc w:val="both"/>
        <w:rPr>
          <w:rFonts w:ascii="Garamond" w:hAnsi="Garamond"/>
          <w:color w:val="000000" w:themeColor="text1"/>
          <w:lang w:val="en-US"/>
        </w:rPr>
      </w:pPr>
    </w:p>
    <w:p w14:paraId="539AEA85" w14:textId="77777777" w:rsidR="00CD4060" w:rsidRPr="00BB3791" w:rsidRDefault="00CD4060" w:rsidP="0032779A">
      <w:pPr>
        <w:pStyle w:val="Overskrift2"/>
        <w:jc w:val="both"/>
        <w:rPr>
          <w:rFonts w:ascii="Garamond" w:hAnsi="Garamond"/>
          <w:color w:val="000000" w:themeColor="text1"/>
          <w:lang w:val="en-US"/>
        </w:rPr>
      </w:pPr>
      <w:bookmarkStart w:id="6" w:name="_Toc151718191"/>
      <w:r w:rsidRPr="00BB3791">
        <w:rPr>
          <w:rFonts w:ascii="Garamond" w:hAnsi="Garamond"/>
          <w:color w:val="000000" w:themeColor="text1"/>
          <w:lang w:val="en-US"/>
        </w:rPr>
        <w:lastRenderedPageBreak/>
        <w:t>The local ALL register</w:t>
      </w:r>
      <w:bookmarkEnd w:id="6"/>
    </w:p>
    <w:p w14:paraId="1AE30EFD" w14:textId="6F764400" w:rsidR="000D10F5" w:rsidRPr="00BB3791" w:rsidRDefault="008674D4" w:rsidP="00F0598A">
      <w:pPr>
        <w:spacing w:line="276" w:lineRule="auto"/>
        <w:rPr>
          <w:rFonts w:ascii="Garamond" w:hAnsi="Garamond"/>
          <w:color w:val="000000" w:themeColor="text1"/>
          <w:sz w:val="24"/>
          <w:szCs w:val="24"/>
          <w:lang w:val="en-US"/>
        </w:rPr>
      </w:pPr>
      <w:r w:rsidRPr="00BB3791">
        <w:rPr>
          <w:rFonts w:ascii="Garamond" w:hAnsi="Garamond"/>
          <w:color w:val="000000" w:themeColor="text1"/>
          <w:sz w:val="24"/>
          <w:szCs w:val="24"/>
          <w:lang w:val="en-US"/>
        </w:rPr>
        <w:t>In 201</w:t>
      </w:r>
      <w:r w:rsidR="00514302" w:rsidRPr="00BB3791">
        <w:rPr>
          <w:rFonts w:ascii="Garamond" w:hAnsi="Garamond"/>
          <w:color w:val="000000" w:themeColor="text1"/>
          <w:sz w:val="24"/>
          <w:szCs w:val="24"/>
          <w:lang w:val="en-US"/>
        </w:rPr>
        <w:t>0</w:t>
      </w:r>
      <w:r w:rsidRPr="00BB3791">
        <w:rPr>
          <w:rFonts w:ascii="Garamond" w:hAnsi="Garamond"/>
          <w:color w:val="000000" w:themeColor="text1"/>
          <w:sz w:val="24"/>
          <w:szCs w:val="24"/>
          <w:lang w:val="en-US"/>
        </w:rPr>
        <w:t xml:space="preserve"> Toft and colleagues collected data from patients diagnosed with ALL between 1 January 1998 and 31 December 2008, who were ≥15 years of age and treated at an adult hematology department or ≥18 years of age and treated at a pediatric department</w:t>
      </w:r>
      <w:sdt>
        <w:sdtPr>
          <w:rPr>
            <w:rFonts w:ascii="Garamond" w:hAnsi="Garamond"/>
            <w:color w:val="000000" w:themeColor="text1"/>
            <w:sz w:val="24"/>
            <w:szCs w:val="24"/>
            <w:vertAlign w:val="superscript"/>
            <w:lang w:val="en-US"/>
          </w:rPr>
          <w:tag w:val="MENDELEY_CITATION_v3_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"/>
          <w:id w:val="-1879538144"/>
          <w:placeholder>
            <w:docPart w:val="DefaultPlaceholder_-1854013440"/>
          </w:placeholder>
        </w:sdtPr>
        <w:sdtContent>
          <w:r w:rsidRPr="00BB3791">
            <w:rPr>
              <w:rFonts w:ascii="Garamond" w:hAnsi="Garamond"/>
              <w:color w:val="000000" w:themeColor="text1"/>
              <w:sz w:val="24"/>
              <w:szCs w:val="24"/>
              <w:vertAlign w:val="superscript"/>
              <w:lang w:val="en-US"/>
            </w:rPr>
            <w:t>5</w:t>
          </w:r>
        </w:sdtContent>
      </w:sdt>
      <w:r w:rsidRPr="00BB3791">
        <w:rPr>
          <w:rFonts w:ascii="Garamond" w:hAnsi="Garamond"/>
          <w:color w:val="000000" w:themeColor="text1"/>
          <w:sz w:val="24"/>
          <w:szCs w:val="24"/>
          <w:lang w:val="en-US"/>
        </w:rPr>
        <w:t>. Patients were identified using The Danish pathology register</w:t>
      </w:r>
      <w:sdt>
        <w:sdtPr>
          <w:rPr>
            <w:rFonts w:ascii="Garamond" w:hAnsi="Garamond"/>
            <w:color w:val="000000" w:themeColor="text1"/>
            <w:sz w:val="24"/>
            <w:szCs w:val="24"/>
            <w:vertAlign w:val="superscript"/>
            <w:lang w:val="en-US"/>
          </w:rPr>
          <w:tag w:val="MENDELEY_CITATION_v3_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"/>
          <w:id w:val="-1760135145"/>
          <w:placeholder>
            <w:docPart w:val="DefaultPlaceholder_-1854013440"/>
          </w:placeholder>
        </w:sdtPr>
        <w:sdtContent>
          <w:r w:rsidRPr="00BB3791">
            <w:rPr>
              <w:rFonts w:ascii="Garamond" w:hAnsi="Garamond"/>
              <w:color w:val="000000" w:themeColor="text1"/>
              <w:sz w:val="24"/>
              <w:szCs w:val="24"/>
              <w:vertAlign w:val="superscript"/>
              <w:lang w:val="en-US"/>
            </w:rPr>
            <w:t>6</w:t>
          </w:r>
        </w:sdtContent>
      </w:sdt>
      <w:r w:rsidRPr="00BB3791">
        <w:rPr>
          <w:rFonts w:ascii="Garamond" w:hAnsi="Garamond"/>
          <w:color w:val="000000" w:themeColor="text1"/>
          <w:sz w:val="24"/>
          <w:szCs w:val="24"/>
          <w:lang w:val="en-US"/>
        </w:rPr>
        <w:t xml:space="preserve"> using SNOMED codes (M98383, M98283, M97293, M96213, M96113, M98373, M98353, M97283, M98213) and ICD10 codes from The Danish Cancer Registry</w:t>
      </w:r>
      <w:sdt>
        <w:sdtPr>
          <w:rPr>
            <w:rFonts w:ascii="Garamond" w:hAnsi="Garamond"/>
            <w:color w:val="000000" w:themeColor="text1"/>
            <w:sz w:val="24"/>
            <w:szCs w:val="24"/>
            <w:vertAlign w:val="superscript"/>
            <w:lang w:val="en-US"/>
          </w:rPr>
          <w:tag w:val="MENDELEY_CITATION_v3_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"/>
          <w:id w:val="-1825654161"/>
          <w:placeholder>
            <w:docPart w:val="DefaultPlaceholder_-1854013440"/>
          </w:placeholder>
        </w:sdtPr>
        <w:sdtContent>
          <w:r w:rsidRPr="00BB3791">
            <w:rPr>
              <w:rFonts w:ascii="Garamond" w:hAnsi="Garamond"/>
              <w:color w:val="000000" w:themeColor="text1"/>
              <w:sz w:val="24"/>
              <w:szCs w:val="24"/>
              <w:vertAlign w:val="superscript"/>
              <w:lang w:val="en-US"/>
            </w:rPr>
            <w:t>7</w:t>
          </w:r>
        </w:sdtContent>
      </w:sdt>
      <w:r w:rsidRPr="00BB3791">
        <w:rPr>
          <w:rFonts w:ascii="Garamond" w:hAnsi="Garamond"/>
          <w:color w:val="000000" w:themeColor="text1"/>
          <w:sz w:val="24"/>
          <w:szCs w:val="24"/>
          <w:lang w:val="en-US"/>
        </w:rPr>
        <w:t xml:space="preserve"> (ICD10 code: C91Æ0, C.91Æ2, C91Æ5, C91Æ7, C91Æ9) suggestive of ALL. In total, 704 patients were included for further review. Subsequently, medical records and pathology reports </w:t>
      </w:r>
      <w:r w:rsidR="001B227D">
        <w:rPr>
          <w:rFonts w:ascii="Garamond" w:hAnsi="Garamond"/>
          <w:color w:val="000000" w:themeColor="text1"/>
          <w:sz w:val="24"/>
          <w:szCs w:val="24"/>
          <w:lang w:val="en-US"/>
        </w:rPr>
        <w:t>were</w:t>
      </w:r>
      <w:r w:rsidRPr="00BB3791">
        <w:rPr>
          <w:rFonts w:ascii="Garamond" w:hAnsi="Garamond"/>
          <w:color w:val="000000" w:themeColor="text1"/>
          <w:sz w:val="24"/>
          <w:szCs w:val="24"/>
          <w:lang w:val="en-US"/>
        </w:rPr>
        <w:t xml:space="preserve"> reviewed and a diagnosis of ALL could be confirmed for </w:t>
      </w:r>
      <w:r w:rsidR="00F0598A" w:rsidRPr="00BB3791">
        <w:rPr>
          <w:rFonts w:ascii="Garamond" w:hAnsi="Garamond"/>
          <w:color w:val="000000" w:themeColor="text1"/>
          <w:sz w:val="24"/>
          <w:szCs w:val="24"/>
          <w:lang w:val="en-US"/>
        </w:rPr>
        <w:t>286 (where 9 confirmed cases were excluded since they received trial treatment on a pediatric unit)</w:t>
      </w:r>
      <w:sdt>
        <w:sdtPr>
          <w:rPr>
            <w:rFonts w:ascii="Garamond" w:hAnsi="Garamond"/>
            <w:color w:val="000000" w:themeColor="text1"/>
            <w:sz w:val="24"/>
            <w:szCs w:val="24"/>
            <w:vertAlign w:val="superscript"/>
            <w:lang w:val="en-US"/>
          </w:rPr>
          <w:tag w:val="MENDELEY_CITATION_v3_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"/>
          <w:id w:val="1275364567"/>
          <w:placeholder>
            <w:docPart w:val="DefaultPlaceholder_-1854013440"/>
          </w:placeholder>
        </w:sdtPr>
        <w:sdtContent>
          <w:r w:rsidR="00F0598A" w:rsidRPr="00BB3791">
            <w:rPr>
              <w:rFonts w:ascii="Garamond" w:hAnsi="Garamond"/>
              <w:color w:val="000000" w:themeColor="text1"/>
              <w:sz w:val="24"/>
              <w:szCs w:val="24"/>
              <w:vertAlign w:val="superscript"/>
              <w:lang w:val="en-US"/>
            </w:rPr>
            <w:t>5</w:t>
          </w:r>
        </w:sdtContent>
      </w:sdt>
      <w:r w:rsidR="00F0598A" w:rsidRPr="00BB3791">
        <w:rPr>
          <w:rFonts w:ascii="Garamond" w:hAnsi="Garamond"/>
          <w:color w:val="000000" w:themeColor="text1"/>
          <w:sz w:val="24"/>
          <w:szCs w:val="24"/>
          <w:lang w:val="en-US"/>
        </w:rPr>
        <w:t>. For the remaining 277 patients detailed baseline clinicopathological, treatment, and outcome data were collected.</w:t>
      </w:r>
    </w:p>
    <w:p w14:paraId="7692D6AC" w14:textId="77777777" w:rsidR="00F0598A" w:rsidRPr="00BB3791" w:rsidRDefault="00F0598A" w:rsidP="00F0598A">
      <w:pPr>
        <w:pStyle w:val="Overskrift2"/>
        <w:rPr>
          <w:rFonts w:ascii="Garamond" w:hAnsi="Garamond"/>
          <w:color w:val="000000" w:themeColor="text1"/>
          <w:lang w:val="en-US"/>
        </w:rPr>
      </w:pPr>
      <w:bookmarkStart w:id="7" w:name="_Toc151718192"/>
      <w:r w:rsidRPr="00BB3791">
        <w:rPr>
          <w:rFonts w:ascii="Garamond" w:hAnsi="Garamond"/>
          <w:color w:val="000000" w:themeColor="text1"/>
          <w:lang w:val="en-US"/>
        </w:rPr>
        <w:t>Flowchart of study participants (Figure S1)</w:t>
      </w:r>
      <w:bookmarkEnd w:id="7"/>
    </w:p>
    <w:p w14:paraId="666D3426" w14:textId="77777777" w:rsidR="00F0598A" w:rsidRPr="00BB3791" w:rsidRDefault="00F0598A" w:rsidP="00F0598A">
      <w:pPr>
        <w:pStyle w:val="Overskrift2"/>
        <w:rPr>
          <w:rFonts w:ascii="Garamond" w:hAnsi="Garamond"/>
          <w:color w:val="000000" w:themeColor="text1"/>
          <w:lang w:val="en-US"/>
        </w:rPr>
      </w:pPr>
    </w:p>
    <w:p w14:paraId="4DE855DB" w14:textId="1E4B135C" w:rsidR="00F0598A" w:rsidRPr="00BB3791" w:rsidRDefault="00F0598A" w:rsidP="0064333E">
      <w:pPr>
        <w:jc w:val="center"/>
        <w:rPr>
          <w:rFonts w:ascii="Garamond" w:hAnsi="Garamond"/>
          <w:color w:val="000000" w:themeColor="text1"/>
          <w:lang w:val="en-US"/>
        </w:rPr>
      </w:pPr>
      <w:r w:rsidRPr="00BB3791">
        <w:rPr>
          <w:rFonts w:ascii="Garamond" w:hAnsi="Garamond"/>
          <w:noProof/>
          <w:color w:val="000000" w:themeColor="text1"/>
          <w:lang w:val="en-US"/>
        </w:rPr>
        <mc:AlternateContent>
          <mc:Choice Requires="wps">
            <w:drawing>
              <wp:anchor distT="0" distB="0" distL="114300" distR="114300" simplePos="0" relativeHeight="251659264" behindDoc="0" locked="0" layoutInCell="1" allowOverlap="1" wp14:anchorId="4132683E" wp14:editId="54DF682B">
                <wp:simplePos x="0" y="0"/>
                <wp:positionH relativeFrom="column">
                  <wp:posOffset>72957</wp:posOffset>
                </wp:positionH>
                <wp:positionV relativeFrom="paragraph">
                  <wp:posOffset>3224125</wp:posOffset>
                </wp:positionV>
                <wp:extent cx="6051550" cy="671208"/>
                <wp:effectExtent l="0" t="0" r="19050" b="14605"/>
                <wp:wrapNone/>
                <wp:docPr id="1623880650" name="Tekstfelt 2"/>
                <wp:cNvGraphicFramePr/>
                <a:graphic xmlns:a="http://schemas.openxmlformats.org/drawingml/2006/main">
                  <a:graphicData uri="http://schemas.microsoft.com/office/word/2010/wordprocessingShape">
                    <wps:wsp>
                      <wps:cNvSpPr txBox="1"/>
                      <wps:spPr>
                        <a:xfrm>
                          <a:off x="0" y="0"/>
                          <a:ext cx="6051550" cy="671208"/>
                        </a:xfrm>
                        <a:prstGeom prst="rect">
                          <a:avLst/>
                        </a:prstGeom>
                        <a:solidFill>
                          <a:schemeClr val="lt1"/>
                        </a:solidFill>
                        <a:ln w="9525">
                          <a:solidFill>
                            <a:prstClr val="black"/>
                          </a:solidFill>
                        </a:ln>
                      </wps:spPr>
                      <wps:txbx>
                        <w:txbxContent>
                          <w:p w14:paraId="20DA32E0" w14:textId="42637513" w:rsidR="00F0598A" w:rsidRPr="003C4A37" w:rsidRDefault="00F0598A">
                            <w:pPr>
                              <w:rPr>
                                <w:rFonts w:ascii="Garamond" w:hAnsi="Garamond"/>
                                <w:lang w:val="en-US"/>
                              </w:rPr>
                            </w:pPr>
                            <w:r w:rsidRPr="003C4A37">
                              <w:rPr>
                                <w:rFonts w:ascii="Garamond" w:hAnsi="Garamond"/>
                                <w:b/>
                                <w:bCs/>
                                <w:lang w:val="en-US"/>
                              </w:rPr>
                              <w:t>Figure S1</w:t>
                            </w:r>
                            <w:r w:rsidRPr="003C4A37">
                              <w:rPr>
                                <w:rFonts w:ascii="Garamond" w:hAnsi="Garamond"/>
                                <w:lang w:val="en-US"/>
                              </w:rPr>
                              <w:t xml:space="preserve">: Flow and selection of study base. </w:t>
                            </w:r>
                            <w:r w:rsidR="003C4A37" w:rsidRPr="003C4A37">
                              <w:rPr>
                                <w:rFonts w:ascii="Garamond" w:hAnsi="Garamond"/>
                                <w:lang w:val="en-US"/>
                              </w:rPr>
                              <w:t xml:space="preserve">Data sources include the Danish Acute Leukemia Registry (DNLR) and a local registry from 2011. Since the period of data collection overlap (2005-2008), duplicates were removed and data from the DNLR </w:t>
                            </w:r>
                            <w:r w:rsidR="001B227D">
                              <w:rPr>
                                <w:rFonts w:ascii="Garamond" w:hAnsi="Garamond"/>
                                <w:lang w:val="en-US"/>
                              </w:rPr>
                              <w:t>were</w:t>
                            </w:r>
                            <w:r w:rsidR="003C4A37" w:rsidRPr="003C4A37">
                              <w:rPr>
                                <w:rFonts w:ascii="Garamond" w:hAnsi="Garamond"/>
                                <w:lang w:val="en-US"/>
                              </w:rPr>
                              <w:t xml:space="preserve"> used.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32683E" id="_x0000_t202" coordsize="21600,21600" o:spt="202" path="m,l,21600r21600,l21600,xe">
                <v:stroke joinstyle="miter"/>
                <v:path gradientshapeok="t" o:connecttype="rect"/>
              </v:shapetype>
              <v:shape id="Tekstfelt 2" o:spid="_x0000_s1026" type="#_x0000_t202" style="position:absolute;left:0;text-align:left;margin-left:5.75pt;margin-top:253.85pt;width:476.5pt;height:5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" fillcolor="white [3201]">
                <v:textbox>
                  <w:txbxContent>
                    <w:p w14:paraId="20DA32E0" w14:textId="42637513" w:rsidR="00F0598A" w:rsidRPr="003C4A37" w:rsidRDefault="00F0598A">
                      <w:pPr>
                        <w:rPr>
                          <w:rFonts w:ascii="Garamond" w:hAnsi="Garamond"/>
                          <w:lang w:val="en-US"/>
                        </w:rPr>
                      </w:pPr>
                      <w:r w:rsidRPr="003C4A37">
                        <w:rPr>
                          <w:rFonts w:ascii="Garamond" w:hAnsi="Garamond"/>
                          <w:b/>
                          <w:bCs/>
                          <w:lang w:val="en-US"/>
                        </w:rPr>
                        <w:t>Figure S1</w:t>
                      </w:r>
                      <w:r w:rsidRPr="003C4A37">
                        <w:rPr>
                          <w:rFonts w:ascii="Garamond" w:hAnsi="Garamond"/>
                          <w:lang w:val="en-US"/>
                        </w:rPr>
                        <w:t xml:space="preserve">: Flow and selection of study base. </w:t>
                      </w:r>
                      <w:r w:rsidR="003C4A37" w:rsidRPr="003C4A37">
                        <w:rPr>
                          <w:rFonts w:ascii="Garamond" w:hAnsi="Garamond"/>
                          <w:lang w:val="en-US"/>
                        </w:rPr>
                        <w:t xml:space="preserve">Data sources include the Danish Acute Leukemia Registry (DNLR) and a local registry from 2011. Since the period of data collection overlap (2005-2008), duplicates were removed and data from the DNLR </w:t>
                      </w:r>
                      <w:r w:rsidR="001B227D">
                        <w:rPr>
                          <w:rFonts w:ascii="Garamond" w:hAnsi="Garamond"/>
                          <w:lang w:val="en-US"/>
                        </w:rPr>
                        <w:t>were</w:t>
                      </w:r>
                      <w:r w:rsidR="003C4A37" w:rsidRPr="003C4A37">
                        <w:rPr>
                          <w:rFonts w:ascii="Garamond" w:hAnsi="Garamond"/>
                          <w:lang w:val="en-US"/>
                        </w:rPr>
                        <w:t xml:space="preserve"> used. </w:t>
                      </w:r>
                    </w:p>
                  </w:txbxContent>
                </v:textbox>
              </v:shape>
            </w:pict>
          </mc:Fallback>
        </mc:AlternateContent>
      </w:r>
      <w:r w:rsidRPr="00BB3791">
        <w:rPr>
          <w:rFonts w:ascii="Garamond" w:hAnsi="Garamond"/>
          <w:noProof/>
          <w:color w:val="000000" w:themeColor="text1"/>
          <w:lang w:val="en-US"/>
        </w:rPr>
        <w:drawing>
          <wp:inline distT="0" distB="0" distL="0" distR="0" wp14:anchorId="462329A7" wp14:editId="4065427D">
            <wp:extent cx="6051550" cy="3083668"/>
            <wp:effectExtent l="12700" t="12700" r="6350" b="15240"/>
            <wp:docPr id="151103754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37544" name="Billede 1511037544"/>
                    <pic:cNvPicPr/>
                  </pic:nvPicPr>
                  <pic:blipFill rotWithShape="1">
                    <a:blip r:embed="rId8">
                      <a:extLst>
                        <a:ext uri="{28A0092B-C50C-407E-A947-70E740481C1C}">
                          <a14:useLocalDpi xmlns:a14="http://schemas.microsoft.com/office/drawing/2010/main" val="0"/>
                        </a:ext>
                      </a:extLst>
                    </a:blip>
                    <a:srcRect l="2200" t="13262" b="10287"/>
                    <a:stretch/>
                  </pic:blipFill>
                  <pic:spPr bwMode="auto">
                    <a:xfrm>
                      <a:off x="0" y="0"/>
                      <a:ext cx="6052512" cy="30841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BB3791">
        <w:rPr>
          <w:rFonts w:ascii="Garamond" w:hAnsi="Garamond"/>
          <w:color w:val="000000" w:themeColor="text1"/>
          <w:lang w:val="en-US"/>
        </w:rPr>
        <w:br/>
      </w:r>
    </w:p>
    <w:p w14:paraId="57EBA151" w14:textId="77777777" w:rsidR="00F0598A" w:rsidRPr="00BB3791" w:rsidRDefault="00F0598A" w:rsidP="00F0598A">
      <w:pPr>
        <w:spacing w:line="276" w:lineRule="auto"/>
        <w:rPr>
          <w:rFonts w:ascii="Garamond" w:hAnsi="Garamond"/>
          <w:color w:val="000000" w:themeColor="text1"/>
          <w:sz w:val="24"/>
          <w:szCs w:val="24"/>
          <w:lang w:val="en-US"/>
        </w:rPr>
      </w:pPr>
    </w:p>
    <w:p w14:paraId="01A5E366" w14:textId="77777777" w:rsidR="003C4A37" w:rsidRPr="00BB3791" w:rsidRDefault="003C4A37" w:rsidP="006464AF">
      <w:pPr>
        <w:pStyle w:val="Overskrift1"/>
        <w:keepNext w:val="0"/>
        <w:keepLines w:val="0"/>
        <w:spacing w:line="276" w:lineRule="auto"/>
        <w:jc w:val="both"/>
        <w:rPr>
          <w:rFonts w:ascii="Garamond" w:hAnsi="Garamond"/>
          <w:color w:val="000000" w:themeColor="text1"/>
          <w:lang w:val="en-US"/>
        </w:rPr>
      </w:pPr>
    </w:p>
    <w:p w14:paraId="3A9010D7" w14:textId="77777777" w:rsidR="003C4A37" w:rsidRPr="00BB3791" w:rsidRDefault="003C4A37" w:rsidP="006464AF">
      <w:pPr>
        <w:pStyle w:val="Overskrift1"/>
        <w:keepNext w:val="0"/>
        <w:keepLines w:val="0"/>
        <w:spacing w:line="276" w:lineRule="auto"/>
        <w:jc w:val="both"/>
        <w:rPr>
          <w:rFonts w:ascii="Garamond" w:hAnsi="Garamond"/>
          <w:color w:val="000000" w:themeColor="text1"/>
          <w:lang w:val="en-US"/>
        </w:rPr>
      </w:pPr>
    </w:p>
    <w:p w14:paraId="731F65C8" w14:textId="77777777" w:rsidR="003C4A37" w:rsidRPr="00BB3791" w:rsidRDefault="003C4A37" w:rsidP="006464AF">
      <w:pPr>
        <w:pStyle w:val="Overskrift1"/>
        <w:keepNext w:val="0"/>
        <w:keepLines w:val="0"/>
        <w:spacing w:line="276" w:lineRule="auto"/>
        <w:jc w:val="both"/>
        <w:rPr>
          <w:rFonts w:ascii="Garamond" w:hAnsi="Garamond"/>
          <w:color w:val="000000" w:themeColor="text1"/>
          <w:lang w:val="en-US"/>
        </w:rPr>
      </w:pPr>
    </w:p>
    <w:p w14:paraId="4319B967" w14:textId="77777777" w:rsidR="003C4A37" w:rsidRPr="00BB3791" w:rsidRDefault="003C4A37" w:rsidP="006464AF">
      <w:pPr>
        <w:pStyle w:val="Overskrift1"/>
        <w:keepNext w:val="0"/>
        <w:keepLines w:val="0"/>
        <w:spacing w:line="276" w:lineRule="auto"/>
        <w:jc w:val="both"/>
        <w:rPr>
          <w:rFonts w:ascii="Garamond" w:hAnsi="Garamond"/>
          <w:color w:val="000000" w:themeColor="text1"/>
          <w:lang w:val="en-US"/>
        </w:rPr>
      </w:pPr>
    </w:p>
    <w:p w14:paraId="585CB9C8" w14:textId="77777777" w:rsidR="003C4A37" w:rsidRPr="00BB3791" w:rsidRDefault="003C4A37" w:rsidP="006464AF">
      <w:pPr>
        <w:pStyle w:val="Overskrift1"/>
        <w:keepNext w:val="0"/>
        <w:keepLines w:val="0"/>
        <w:spacing w:line="276" w:lineRule="auto"/>
        <w:jc w:val="both"/>
        <w:rPr>
          <w:rFonts w:ascii="Garamond" w:hAnsi="Garamond"/>
          <w:color w:val="000000" w:themeColor="text1"/>
          <w:lang w:val="en-US"/>
        </w:rPr>
      </w:pPr>
    </w:p>
    <w:p w14:paraId="70537344" w14:textId="77777777" w:rsidR="00744597" w:rsidRPr="00BB3791" w:rsidRDefault="00744597" w:rsidP="006464AF">
      <w:pPr>
        <w:pStyle w:val="Overskrift1"/>
        <w:keepNext w:val="0"/>
        <w:keepLines w:val="0"/>
        <w:spacing w:line="276" w:lineRule="auto"/>
        <w:jc w:val="both"/>
        <w:rPr>
          <w:rFonts w:ascii="Garamond" w:hAnsi="Garamond"/>
          <w:color w:val="000000" w:themeColor="text1"/>
          <w:lang w:val="en-US"/>
        </w:rPr>
      </w:pPr>
    </w:p>
    <w:p w14:paraId="7923DA43" w14:textId="11662DCC" w:rsidR="00CD4060" w:rsidRPr="000A5852" w:rsidRDefault="00CD4060" w:rsidP="00744597">
      <w:pPr>
        <w:pStyle w:val="Overskrift1"/>
        <w:keepNext w:val="0"/>
        <w:keepLines w:val="0"/>
        <w:pageBreakBefore/>
        <w:spacing w:line="276" w:lineRule="auto"/>
        <w:jc w:val="both"/>
        <w:rPr>
          <w:rFonts w:ascii="Garamond" w:hAnsi="Garamond"/>
          <w:color w:val="000000" w:themeColor="text1"/>
          <w:sz w:val="28"/>
          <w:szCs w:val="28"/>
          <w:lang w:val="en-US"/>
        </w:rPr>
      </w:pPr>
      <w:bookmarkStart w:id="8" w:name="_Toc151718193"/>
      <w:r w:rsidRPr="000A5852">
        <w:rPr>
          <w:rFonts w:ascii="Garamond" w:hAnsi="Garamond"/>
          <w:color w:val="000000" w:themeColor="text1"/>
          <w:sz w:val="28"/>
          <w:szCs w:val="28"/>
          <w:lang w:val="en-US"/>
        </w:rPr>
        <w:lastRenderedPageBreak/>
        <w:t>Definitions and additional information</w:t>
      </w:r>
      <w:r w:rsidR="00F0598A" w:rsidRPr="000A5852">
        <w:rPr>
          <w:rFonts w:ascii="Garamond" w:hAnsi="Garamond"/>
          <w:color w:val="000000" w:themeColor="text1"/>
          <w:sz w:val="28"/>
          <w:szCs w:val="28"/>
          <w:lang w:val="en-US"/>
        </w:rPr>
        <w:t xml:space="preserve"> (Table S</w:t>
      </w:r>
      <w:r w:rsidR="000A5852" w:rsidRPr="000A5852">
        <w:rPr>
          <w:rFonts w:ascii="Garamond" w:hAnsi="Garamond"/>
          <w:color w:val="000000" w:themeColor="text1"/>
          <w:sz w:val="28"/>
          <w:szCs w:val="28"/>
          <w:lang w:val="en-US"/>
        </w:rPr>
        <w:t>1</w:t>
      </w:r>
      <w:r w:rsidR="00F0598A" w:rsidRPr="000A5852">
        <w:rPr>
          <w:rFonts w:ascii="Garamond" w:hAnsi="Garamond"/>
          <w:color w:val="000000" w:themeColor="text1"/>
          <w:sz w:val="28"/>
          <w:szCs w:val="28"/>
          <w:lang w:val="en-US"/>
        </w:rPr>
        <w:t>)</w:t>
      </w:r>
      <w:bookmarkEnd w:id="8"/>
    </w:p>
    <w:p w14:paraId="6F793665" w14:textId="77777777" w:rsidR="00CD4060" w:rsidRPr="00BB3791" w:rsidRDefault="00CD4060" w:rsidP="0032779A">
      <w:pPr>
        <w:jc w:val="both"/>
        <w:rPr>
          <w:rFonts w:ascii="Garamond" w:hAnsi="Garamond"/>
          <w:b/>
          <w:bCs/>
          <w:color w:val="000000" w:themeColor="text1"/>
          <w:sz w:val="24"/>
          <w:szCs w:val="24"/>
          <w:lang w:val="en-US"/>
        </w:rPr>
      </w:pPr>
    </w:p>
    <w:tbl>
      <w:tblPr>
        <w:tblStyle w:val="Tabel-Gitter"/>
        <w:tblW w:w="0" w:type="auto"/>
        <w:tblLook w:val="04A0" w:firstRow="1" w:lastRow="0" w:firstColumn="1" w:lastColumn="0" w:noHBand="0" w:noVBand="1"/>
      </w:tblPr>
      <w:tblGrid>
        <w:gridCol w:w="3256"/>
        <w:gridCol w:w="6480"/>
      </w:tblGrid>
      <w:tr w:rsidR="00BB3791" w:rsidRPr="001B227D" w14:paraId="60927570" w14:textId="77777777" w:rsidTr="00EF5209">
        <w:tc>
          <w:tcPr>
            <w:tcW w:w="9736" w:type="dxa"/>
            <w:gridSpan w:val="2"/>
          </w:tcPr>
          <w:p w14:paraId="0B4E940D" w14:textId="78290ED3" w:rsidR="00E27E91" w:rsidRPr="00BB3791" w:rsidRDefault="00F0598A" w:rsidP="0032779A">
            <w:pPr>
              <w:jc w:val="both"/>
              <w:rPr>
                <w:rFonts w:ascii="Garamond" w:hAnsi="Garamond"/>
                <w:b/>
                <w:bCs/>
                <w:color w:val="000000" w:themeColor="text1"/>
                <w:sz w:val="24"/>
                <w:szCs w:val="24"/>
                <w:lang w:val="en-US"/>
              </w:rPr>
            </w:pPr>
            <w:r w:rsidRPr="00BB3791">
              <w:rPr>
                <w:rFonts w:ascii="Garamond" w:hAnsi="Garamond"/>
                <w:b/>
                <w:bCs/>
                <w:color w:val="000000" w:themeColor="text1"/>
                <w:sz w:val="24"/>
                <w:szCs w:val="24"/>
                <w:lang w:val="en-US"/>
              </w:rPr>
              <w:t>Table S</w:t>
            </w:r>
            <w:r w:rsidR="000A5852">
              <w:rPr>
                <w:rFonts w:ascii="Garamond" w:hAnsi="Garamond"/>
                <w:b/>
                <w:bCs/>
                <w:color w:val="000000" w:themeColor="text1"/>
                <w:sz w:val="24"/>
                <w:szCs w:val="24"/>
                <w:lang w:val="en-US"/>
              </w:rPr>
              <w:t>1</w:t>
            </w:r>
            <w:r w:rsidRPr="00BB3791">
              <w:rPr>
                <w:rFonts w:ascii="Garamond" w:hAnsi="Garamond"/>
                <w:b/>
                <w:bCs/>
                <w:color w:val="000000" w:themeColor="text1"/>
                <w:sz w:val="24"/>
                <w:szCs w:val="24"/>
                <w:lang w:val="en-US"/>
              </w:rPr>
              <w:t xml:space="preserve">: </w:t>
            </w:r>
            <w:r w:rsidR="00E27E91" w:rsidRPr="00BB3791">
              <w:rPr>
                <w:rFonts w:ascii="Garamond" w:hAnsi="Garamond"/>
                <w:b/>
                <w:bCs/>
                <w:color w:val="000000" w:themeColor="text1"/>
                <w:sz w:val="24"/>
                <w:szCs w:val="24"/>
                <w:lang w:val="en-US"/>
              </w:rPr>
              <w:t>Detailed information regarding treatment intensity categorization</w:t>
            </w:r>
          </w:p>
        </w:tc>
      </w:tr>
      <w:tr w:rsidR="00BB3791" w:rsidRPr="00BB3791" w14:paraId="76C12515" w14:textId="77777777" w:rsidTr="00EA1C79">
        <w:tc>
          <w:tcPr>
            <w:tcW w:w="3256" w:type="dxa"/>
          </w:tcPr>
          <w:p w14:paraId="6DB024CC" w14:textId="24004A80"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Treatment intensity category</w:t>
            </w:r>
          </w:p>
        </w:tc>
        <w:tc>
          <w:tcPr>
            <w:tcW w:w="6480" w:type="dxa"/>
          </w:tcPr>
          <w:p w14:paraId="1980A185" w14:textId="5D16D845" w:rsidR="00E27E91" w:rsidRPr="00BB3791" w:rsidRDefault="00EA1C79" w:rsidP="0032779A">
            <w:pPr>
              <w:jc w:val="both"/>
              <w:rPr>
                <w:rFonts w:ascii="Garamond" w:hAnsi="Garamond"/>
                <w:color w:val="000000" w:themeColor="text1"/>
                <w:vertAlign w:val="superscript"/>
                <w:lang w:val="en-US"/>
              </w:rPr>
            </w:pPr>
            <w:r w:rsidRPr="00BB3791">
              <w:rPr>
                <w:rFonts w:ascii="Garamond" w:hAnsi="Garamond"/>
                <w:color w:val="000000" w:themeColor="text1"/>
                <w:lang w:val="en-US"/>
              </w:rPr>
              <w:t>Induction/consolidation</w:t>
            </w:r>
            <w:r w:rsidRPr="00BB3791">
              <w:rPr>
                <w:rFonts w:ascii="Garamond" w:hAnsi="Garamond"/>
                <w:color w:val="000000" w:themeColor="text1"/>
                <w:vertAlign w:val="superscript"/>
                <w:lang w:val="en-US"/>
              </w:rPr>
              <w:t>#</w:t>
            </w:r>
          </w:p>
        </w:tc>
      </w:tr>
      <w:tr w:rsidR="00BB3791" w:rsidRPr="001B227D" w14:paraId="025CBE9A" w14:textId="77777777" w:rsidTr="00E76CCD">
        <w:tc>
          <w:tcPr>
            <w:tcW w:w="3256" w:type="dxa"/>
            <w:shd w:val="clear" w:color="auto" w:fill="E7E6E6" w:themeFill="background2"/>
          </w:tcPr>
          <w:p w14:paraId="6AB8988D" w14:textId="57499C5E"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None/palliative</w:t>
            </w:r>
          </w:p>
        </w:tc>
        <w:tc>
          <w:tcPr>
            <w:tcW w:w="6480" w:type="dxa"/>
            <w:shd w:val="clear" w:color="auto" w:fill="E7E6E6" w:themeFill="background2"/>
          </w:tcPr>
          <w:p w14:paraId="4771DC3C" w14:textId="34874D9A"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I) No treatment except palliative antimicrobial treatment and transfusions.</w:t>
            </w:r>
          </w:p>
          <w:p w14:paraId="48ED1842" w14:textId="3F9C651A"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II) Low dose cyclophosphamide or hydroxycarbamide monotherapy or with a glucocorticoid.</w:t>
            </w:r>
          </w:p>
          <w:p w14:paraId="46C15813" w14:textId="15D0351B"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III) Intermittent low dose vincristine (or similar) monotherapy or with a glucocorticoid.</w:t>
            </w:r>
          </w:p>
        </w:tc>
      </w:tr>
      <w:tr w:rsidR="00BB3791" w:rsidRPr="001B227D" w14:paraId="53FA1E0C" w14:textId="77777777" w:rsidTr="00EA1C79">
        <w:tc>
          <w:tcPr>
            <w:tcW w:w="3256" w:type="dxa"/>
          </w:tcPr>
          <w:p w14:paraId="3B08CA6D" w14:textId="77C6DBEA"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Low intensity</w:t>
            </w:r>
          </w:p>
        </w:tc>
        <w:tc>
          <w:tcPr>
            <w:tcW w:w="6480" w:type="dxa"/>
          </w:tcPr>
          <w:p w14:paraId="60A51AF2" w14:textId="56770817"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 xml:space="preserve">I) CHOP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R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CNS</w:t>
            </w:r>
            <w:r w:rsidR="00C57A7D" w:rsidRPr="00BB3791">
              <w:rPr>
                <w:rFonts w:ascii="Garamond" w:hAnsi="Garamond"/>
                <w:color w:val="000000" w:themeColor="text1"/>
                <w:lang w:val="en-US"/>
              </w:rPr>
              <w:t>-</w:t>
            </w:r>
            <w:r w:rsidRPr="00BB3791">
              <w:rPr>
                <w:rFonts w:ascii="Garamond" w:hAnsi="Garamond"/>
                <w:color w:val="000000" w:themeColor="text1"/>
                <w:lang w:val="en-US"/>
              </w:rPr>
              <w:t>IT</w:t>
            </w:r>
            <w:r w:rsidR="00EE0F0F" w:rsidRPr="00BB3791">
              <w:rPr>
                <w:rFonts w:ascii="Garamond" w:hAnsi="Garamond"/>
                <w:color w:val="000000" w:themeColor="text1"/>
                <w:lang w:val="en-US"/>
              </w:rPr>
              <w:t xml:space="preserve">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TKI</w:t>
            </w:r>
          </w:p>
          <w:p w14:paraId="6F469E19" w14:textId="1AF80D8F"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 xml:space="preserve">II) CVP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R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CNS</w:t>
            </w:r>
            <w:r w:rsidR="00C57A7D" w:rsidRPr="00BB3791">
              <w:rPr>
                <w:rFonts w:ascii="Garamond" w:hAnsi="Garamond"/>
                <w:color w:val="000000" w:themeColor="text1"/>
                <w:lang w:val="en-US"/>
              </w:rPr>
              <w:t>-</w:t>
            </w:r>
            <w:r w:rsidRPr="00BB3791">
              <w:rPr>
                <w:rFonts w:ascii="Garamond" w:hAnsi="Garamond"/>
                <w:color w:val="000000" w:themeColor="text1"/>
                <w:lang w:val="en-US"/>
              </w:rPr>
              <w:t>IT</w:t>
            </w:r>
            <w:r w:rsidR="00EE0F0F" w:rsidRPr="00BB3791">
              <w:rPr>
                <w:rFonts w:ascii="Garamond" w:hAnsi="Garamond"/>
                <w:color w:val="000000" w:themeColor="text1"/>
                <w:lang w:val="en-US"/>
              </w:rPr>
              <w:t xml:space="preserve">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TKI</w:t>
            </w:r>
          </w:p>
          <w:p w14:paraId="5B4A7F15" w14:textId="09DE0C99"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 xml:space="preserve">III) CEOP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R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CNS</w:t>
            </w:r>
            <w:r w:rsidR="00C57A7D" w:rsidRPr="00BB3791">
              <w:rPr>
                <w:rFonts w:ascii="Garamond" w:hAnsi="Garamond"/>
                <w:color w:val="000000" w:themeColor="text1"/>
                <w:lang w:val="en-US"/>
              </w:rPr>
              <w:t>-</w:t>
            </w:r>
            <w:r w:rsidRPr="00BB3791">
              <w:rPr>
                <w:rFonts w:ascii="Garamond" w:hAnsi="Garamond"/>
                <w:color w:val="000000" w:themeColor="text1"/>
                <w:lang w:val="en-US"/>
              </w:rPr>
              <w:t>IT</w:t>
            </w:r>
            <w:r w:rsidR="00EE0F0F" w:rsidRPr="00BB3791">
              <w:rPr>
                <w:rFonts w:ascii="Garamond" w:hAnsi="Garamond"/>
                <w:color w:val="000000" w:themeColor="text1"/>
                <w:lang w:val="en-US"/>
              </w:rPr>
              <w:t xml:space="preserve">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TKI</w:t>
            </w:r>
          </w:p>
        </w:tc>
      </w:tr>
      <w:tr w:rsidR="00BB3791" w:rsidRPr="001B227D" w14:paraId="2B4F2BFB" w14:textId="77777777" w:rsidTr="00E76CCD">
        <w:tc>
          <w:tcPr>
            <w:tcW w:w="3256" w:type="dxa"/>
            <w:shd w:val="clear" w:color="auto" w:fill="E7E6E6" w:themeFill="background2"/>
          </w:tcPr>
          <w:p w14:paraId="3D5F8EE5" w14:textId="39063A17"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Standard intensity</w:t>
            </w:r>
          </w:p>
        </w:tc>
        <w:tc>
          <w:tcPr>
            <w:tcW w:w="6480" w:type="dxa"/>
            <w:shd w:val="clear" w:color="auto" w:fill="E7E6E6" w:themeFill="background2"/>
          </w:tcPr>
          <w:p w14:paraId="4E2E9BD8" w14:textId="1E185880" w:rsidR="00E27E91" w:rsidRPr="00BB3791" w:rsidRDefault="000D10F5" w:rsidP="0032779A">
            <w:pPr>
              <w:jc w:val="both"/>
              <w:rPr>
                <w:rFonts w:ascii="Garamond" w:hAnsi="Garamond"/>
                <w:color w:val="000000" w:themeColor="text1"/>
                <w:vertAlign w:val="superscript"/>
                <w:lang w:val="en-US"/>
              </w:rPr>
            </w:pPr>
            <w:r w:rsidRPr="00BB3791">
              <w:rPr>
                <w:rFonts w:ascii="Garamond" w:hAnsi="Garamond"/>
                <w:color w:val="000000" w:themeColor="text1"/>
                <w:lang w:val="en-US"/>
              </w:rPr>
              <w:t xml:space="preserve">I) </w:t>
            </w:r>
            <w:proofErr w:type="spellStart"/>
            <w:r w:rsidR="00EE0F0F" w:rsidRPr="00BB3791">
              <w:rPr>
                <w:rFonts w:ascii="Garamond" w:hAnsi="Garamond"/>
                <w:color w:val="000000" w:themeColor="text1"/>
                <w:lang w:val="en-US"/>
              </w:rPr>
              <w:t>HyperCVAD</w:t>
            </w:r>
            <w:proofErr w:type="spellEnd"/>
            <w:r w:rsidR="00EE0F0F" w:rsidRPr="00BB3791">
              <w:rPr>
                <w:rFonts w:ascii="Garamond" w:hAnsi="Garamond"/>
                <w:color w:val="000000" w:themeColor="text1"/>
                <w:lang w:val="en-US"/>
              </w:rPr>
              <w:t xml:space="preserve"> (</w:t>
            </w:r>
            <w:proofErr w:type="spellStart"/>
            <w:r w:rsidR="005731AF" w:rsidRPr="00BB3791">
              <w:rPr>
                <w:rFonts w:ascii="Garamond" w:hAnsi="Garamond"/>
                <w:color w:val="000000" w:themeColor="text1"/>
                <w:lang w:val="en-US"/>
              </w:rPr>
              <w:t>hyperfractionated</w:t>
            </w:r>
            <w:proofErr w:type="spellEnd"/>
            <w:r w:rsidR="00EE0F0F" w:rsidRPr="00BB3791">
              <w:rPr>
                <w:rFonts w:ascii="Garamond" w:hAnsi="Garamond"/>
                <w:color w:val="000000" w:themeColor="text1"/>
                <w:lang w:val="en-US"/>
              </w:rPr>
              <w:t xml:space="preserve"> cyclophosphamide, vincristine, doxorubicin, dexamethasone alternating with high dose methotrexate and cytarabine) protocol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R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CNS</w:t>
            </w:r>
            <w:r w:rsidR="00C57A7D" w:rsidRPr="00BB3791">
              <w:rPr>
                <w:rFonts w:ascii="Garamond" w:hAnsi="Garamond"/>
                <w:color w:val="000000" w:themeColor="text1"/>
                <w:lang w:val="en-US"/>
              </w:rPr>
              <w:t>-</w:t>
            </w:r>
            <w:r w:rsidR="00EE0F0F" w:rsidRPr="00BB3791">
              <w:rPr>
                <w:rFonts w:ascii="Garamond" w:hAnsi="Garamond"/>
                <w:color w:val="000000" w:themeColor="text1"/>
                <w:lang w:val="en-US"/>
              </w:rPr>
              <w:t>IT</w:t>
            </w:r>
            <w:sdt>
              <w:sdtPr>
                <w:rPr>
                  <w:rFonts w:ascii="Garamond" w:hAnsi="Garamond"/>
                  <w:color w:val="000000" w:themeColor="text1"/>
                  <w:vertAlign w:val="superscript"/>
                  <w:lang w:val="en-US"/>
                </w:rPr>
                <w:tag w:val="MENDELEY_CITATION_v3_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"/>
                <w:id w:val="1342433710"/>
                <w:placeholder>
                  <w:docPart w:val="DefaultPlaceholder_-1854013440"/>
                </w:placeholder>
              </w:sdtPr>
              <w:sdtContent>
                <w:r w:rsidR="008674D4" w:rsidRPr="00BB3791">
                  <w:rPr>
                    <w:rFonts w:ascii="Garamond" w:hAnsi="Garamond"/>
                    <w:color w:val="000000" w:themeColor="text1"/>
                    <w:vertAlign w:val="superscript"/>
                    <w:lang w:val="en-US"/>
                  </w:rPr>
                  <w:t>8</w:t>
                </w:r>
              </w:sdtContent>
            </w:sdt>
          </w:p>
          <w:p w14:paraId="15F9CD8C" w14:textId="06A7785A" w:rsidR="00EA1C79" w:rsidRPr="00BB3791" w:rsidRDefault="000D10F5" w:rsidP="0032779A">
            <w:pPr>
              <w:jc w:val="both"/>
              <w:rPr>
                <w:rFonts w:ascii="Garamond" w:hAnsi="Garamond"/>
                <w:color w:val="000000" w:themeColor="text1"/>
                <w:lang w:val="en-US"/>
              </w:rPr>
            </w:pPr>
            <w:r w:rsidRPr="00BB3791">
              <w:rPr>
                <w:rFonts w:ascii="Garamond" w:hAnsi="Garamond"/>
                <w:color w:val="000000" w:themeColor="text1"/>
                <w:lang w:val="en-US"/>
              </w:rPr>
              <w:t xml:space="preserve">II) </w:t>
            </w:r>
            <w:r w:rsidR="00EA1C79" w:rsidRPr="00BB3791">
              <w:rPr>
                <w:rFonts w:ascii="Garamond" w:hAnsi="Garamond"/>
                <w:color w:val="000000" w:themeColor="text1"/>
                <w:lang w:val="en-US"/>
              </w:rPr>
              <w:t>AML-like therapy: FLAG-Ida or DA “3+10”</w:t>
            </w:r>
            <w:r w:rsidR="00C57A7D" w:rsidRPr="00BB3791">
              <w:rPr>
                <w:rFonts w:ascii="Garamond" w:hAnsi="Garamond"/>
                <w:color w:val="000000" w:themeColor="text1"/>
                <w:lang w:val="en-US"/>
              </w:rPr>
              <w:t xml:space="preserve">-like </w:t>
            </w:r>
            <w:r w:rsidR="00C57A7D" w:rsidRPr="00BB3791">
              <w:rPr>
                <w:rFonts w:ascii="Garamond" w:hAnsi="Garamond"/>
                <w:color w:val="000000" w:themeColor="text1"/>
                <w:lang w:val="en-US"/>
              </w:rPr>
              <w:sym w:font="Symbol" w:char="F0B1"/>
            </w:r>
            <w:r w:rsidR="00C57A7D" w:rsidRPr="00BB3791">
              <w:rPr>
                <w:rFonts w:ascii="Garamond" w:hAnsi="Garamond"/>
                <w:color w:val="000000" w:themeColor="text1"/>
                <w:lang w:val="en-US"/>
              </w:rPr>
              <w:t xml:space="preserve"> CNS-IT</w:t>
            </w:r>
          </w:p>
        </w:tc>
      </w:tr>
      <w:tr w:rsidR="00BB3791" w:rsidRPr="00BB3791" w14:paraId="45D19CDA" w14:textId="77777777" w:rsidTr="00EA1C79">
        <w:tc>
          <w:tcPr>
            <w:tcW w:w="3256" w:type="dxa"/>
          </w:tcPr>
          <w:p w14:paraId="175717E6" w14:textId="777C8F14" w:rsidR="00E27E91" w:rsidRPr="00BB3791" w:rsidRDefault="00E27E91" w:rsidP="0032779A">
            <w:pPr>
              <w:jc w:val="both"/>
              <w:rPr>
                <w:rFonts w:ascii="Garamond" w:hAnsi="Garamond"/>
                <w:color w:val="000000" w:themeColor="text1"/>
                <w:lang w:val="en-US"/>
              </w:rPr>
            </w:pPr>
            <w:r w:rsidRPr="00BB3791">
              <w:rPr>
                <w:rFonts w:ascii="Garamond" w:hAnsi="Garamond"/>
                <w:color w:val="000000" w:themeColor="text1"/>
                <w:lang w:val="en-US"/>
              </w:rPr>
              <w:t>High intensity</w:t>
            </w:r>
          </w:p>
        </w:tc>
        <w:tc>
          <w:tcPr>
            <w:tcW w:w="6480" w:type="dxa"/>
          </w:tcPr>
          <w:p w14:paraId="232F811B" w14:textId="3E5EFF59" w:rsidR="00E27E91" w:rsidRPr="00BB3791" w:rsidRDefault="000D10F5" w:rsidP="0032779A">
            <w:pPr>
              <w:jc w:val="both"/>
              <w:rPr>
                <w:rFonts w:ascii="Garamond" w:hAnsi="Garamond"/>
                <w:color w:val="000000" w:themeColor="text1"/>
                <w:lang w:val="en-US"/>
              </w:rPr>
            </w:pPr>
            <w:r w:rsidRPr="00BB3791">
              <w:rPr>
                <w:rFonts w:ascii="Garamond" w:hAnsi="Garamond"/>
                <w:color w:val="000000" w:themeColor="text1"/>
                <w:lang w:val="en-US"/>
              </w:rPr>
              <w:t xml:space="preserve">I) </w:t>
            </w:r>
            <w:r w:rsidR="00E27E91" w:rsidRPr="00BB3791">
              <w:rPr>
                <w:rFonts w:ascii="Garamond" w:hAnsi="Garamond"/>
                <w:color w:val="000000" w:themeColor="text1"/>
                <w:lang w:val="en-US"/>
              </w:rPr>
              <w:t>NOPHO ALL2008 regime</w:t>
            </w:r>
            <w:sdt>
              <w:sdtPr>
                <w:rPr>
                  <w:rFonts w:ascii="Garamond" w:hAnsi="Garamond"/>
                  <w:color w:val="000000" w:themeColor="text1"/>
                  <w:vertAlign w:val="superscript"/>
                  <w:lang w:val="en-US"/>
                </w:rPr>
                <w:tag w:val="MENDELEY_CITATION_v3_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"/>
                <w:id w:val="1796252574"/>
                <w:placeholder>
                  <w:docPart w:val="DefaultPlaceholder_-1854013440"/>
                </w:placeholder>
              </w:sdtPr>
              <w:sdtContent>
                <w:r w:rsidR="008674D4" w:rsidRPr="00BB3791">
                  <w:rPr>
                    <w:rFonts w:ascii="Garamond" w:hAnsi="Garamond"/>
                    <w:color w:val="000000" w:themeColor="text1"/>
                    <w:vertAlign w:val="superscript"/>
                    <w:lang w:val="en-US"/>
                  </w:rPr>
                  <w:t>9</w:t>
                </w:r>
              </w:sdtContent>
            </w:sdt>
          </w:p>
          <w:p w14:paraId="71815A74" w14:textId="1481D4C7" w:rsidR="00E27E91" w:rsidRPr="00BB3791" w:rsidRDefault="000D10F5" w:rsidP="0032779A">
            <w:pPr>
              <w:jc w:val="both"/>
              <w:rPr>
                <w:rFonts w:ascii="Garamond" w:hAnsi="Garamond"/>
                <w:color w:val="000000" w:themeColor="text1"/>
                <w:lang w:val="en-US"/>
              </w:rPr>
            </w:pPr>
            <w:r w:rsidRPr="00BB3791">
              <w:rPr>
                <w:rFonts w:ascii="Garamond" w:hAnsi="Garamond"/>
                <w:color w:val="000000" w:themeColor="text1"/>
                <w:lang w:val="en-US"/>
              </w:rPr>
              <w:t xml:space="preserve">II) </w:t>
            </w:r>
            <w:proofErr w:type="spellStart"/>
            <w:r w:rsidR="00E27E91" w:rsidRPr="00BB3791">
              <w:rPr>
                <w:rFonts w:ascii="Garamond" w:hAnsi="Garamond"/>
                <w:color w:val="000000" w:themeColor="text1"/>
                <w:lang w:val="en-US"/>
              </w:rPr>
              <w:t>ALLtogether</w:t>
            </w:r>
            <w:proofErr w:type="spellEnd"/>
            <w:r w:rsidR="00E27E91" w:rsidRPr="00BB3791">
              <w:rPr>
                <w:rFonts w:ascii="Garamond" w:hAnsi="Garamond"/>
                <w:color w:val="000000" w:themeColor="text1"/>
                <w:lang w:val="en-US"/>
              </w:rPr>
              <w:t>-I regime</w:t>
            </w:r>
            <w:r w:rsidR="00EA1C79" w:rsidRPr="00BB3791">
              <w:rPr>
                <w:rFonts w:ascii="Garamond" w:hAnsi="Garamond"/>
                <w:color w:val="000000" w:themeColor="text1"/>
                <w:lang w:val="en-US"/>
              </w:rPr>
              <w:t xml:space="preserve"> (ClinicalTrials.gov: NCT03911128)</w:t>
            </w:r>
          </w:p>
          <w:p w14:paraId="3E044EFB" w14:textId="525B284B" w:rsidR="00EE0F0F" w:rsidRPr="00BB3791" w:rsidRDefault="000D10F5" w:rsidP="0032779A">
            <w:pPr>
              <w:jc w:val="both"/>
              <w:rPr>
                <w:rFonts w:ascii="Garamond" w:hAnsi="Garamond"/>
                <w:color w:val="000000" w:themeColor="text1"/>
                <w:lang w:val="en-US"/>
              </w:rPr>
            </w:pPr>
            <w:r w:rsidRPr="00BB3791">
              <w:rPr>
                <w:rFonts w:ascii="Garamond" w:hAnsi="Garamond"/>
                <w:color w:val="000000" w:themeColor="text1"/>
                <w:lang w:val="en-US"/>
              </w:rPr>
              <w:t xml:space="preserve">III) </w:t>
            </w:r>
            <w:r w:rsidR="00EE0F0F" w:rsidRPr="00BB3791">
              <w:rPr>
                <w:rFonts w:ascii="Garamond" w:hAnsi="Garamond"/>
                <w:color w:val="000000" w:themeColor="text1"/>
                <w:lang w:val="en-US"/>
              </w:rPr>
              <w:t xml:space="preserve">Plan A: </w:t>
            </w:r>
            <w:proofErr w:type="spellStart"/>
            <w:r w:rsidR="00EE0F0F" w:rsidRPr="00BB3791">
              <w:rPr>
                <w:rFonts w:ascii="Garamond" w:hAnsi="Garamond"/>
                <w:color w:val="000000" w:themeColor="text1"/>
                <w:lang w:val="en-US"/>
              </w:rPr>
              <w:t>Cyclofosfamide</w:t>
            </w:r>
            <w:proofErr w:type="spellEnd"/>
            <w:r w:rsidR="00EE0F0F" w:rsidRPr="00BB3791">
              <w:rPr>
                <w:rFonts w:ascii="Garamond" w:hAnsi="Garamond"/>
                <w:color w:val="000000" w:themeColor="text1"/>
                <w:lang w:val="en-US"/>
              </w:rPr>
              <w:t>, vincristine, daunorubicin, prednisone, L-asparaginase</w:t>
            </w:r>
            <w:r w:rsidR="00EA1C79" w:rsidRPr="00BB3791">
              <w:rPr>
                <w:rFonts w:ascii="Garamond" w:hAnsi="Garamond"/>
                <w:color w:val="000000" w:themeColor="text1"/>
                <w:lang w:val="en-US"/>
              </w:rPr>
              <w:t xml:space="preserve"> and consolidation with high dose methotrexate and cytarabine</w:t>
            </w:r>
            <w:r w:rsidR="00EE0F0F" w:rsidRPr="00BB3791">
              <w:rPr>
                <w:rFonts w:ascii="Garamond" w:hAnsi="Garamond"/>
                <w:color w:val="000000" w:themeColor="text1"/>
                <w:lang w:val="en-US"/>
              </w:rPr>
              <w:t xml:space="preserve">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R </w:t>
            </w:r>
            <w:r w:rsidR="00EE0F0F" w:rsidRPr="00BB3791">
              <w:rPr>
                <w:rFonts w:ascii="Garamond" w:hAnsi="Garamond"/>
                <w:color w:val="000000" w:themeColor="text1"/>
                <w:lang w:val="en-US"/>
              </w:rPr>
              <w:sym w:font="Symbol" w:char="F0B1"/>
            </w:r>
            <w:r w:rsidR="00EE0F0F" w:rsidRPr="00BB3791">
              <w:rPr>
                <w:rFonts w:ascii="Garamond" w:hAnsi="Garamond"/>
                <w:color w:val="000000" w:themeColor="text1"/>
                <w:lang w:val="en-US"/>
              </w:rPr>
              <w:t xml:space="preserve"> CNS</w:t>
            </w:r>
            <w:r w:rsidR="00C57A7D" w:rsidRPr="00BB3791">
              <w:rPr>
                <w:rFonts w:ascii="Garamond" w:hAnsi="Garamond"/>
                <w:color w:val="000000" w:themeColor="text1"/>
                <w:lang w:val="en-US"/>
              </w:rPr>
              <w:t>-</w:t>
            </w:r>
            <w:r w:rsidR="00EE0F0F" w:rsidRPr="00BB3791">
              <w:rPr>
                <w:rFonts w:ascii="Garamond" w:hAnsi="Garamond"/>
                <w:color w:val="000000" w:themeColor="text1"/>
                <w:lang w:val="en-US"/>
              </w:rPr>
              <w:t>IT</w:t>
            </w:r>
          </w:p>
          <w:p w14:paraId="033C929F" w14:textId="4BC93718" w:rsidR="00EE0F0F" w:rsidRPr="00BB3791" w:rsidRDefault="000D10F5" w:rsidP="0032779A">
            <w:pPr>
              <w:jc w:val="both"/>
              <w:rPr>
                <w:rFonts w:ascii="Garamond" w:hAnsi="Garamond"/>
                <w:color w:val="000000" w:themeColor="text1"/>
                <w:vertAlign w:val="superscript"/>
                <w:lang w:val="en-US"/>
              </w:rPr>
            </w:pPr>
            <w:r w:rsidRPr="00BB3791">
              <w:rPr>
                <w:rFonts w:ascii="Garamond" w:hAnsi="Garamond"/>
                <w:color w:val="000000" w:themeColor="text1"/>
                <w:lang w:val="en-US"/>
              </w:rPr>
              <w:t xml:space="preserve">IV) </w:t>
            </w:r>
            <w:r w:rsidR="00E27E91" w:rsidRPr="00BB3791">
              <w:rPr>
                <w:rFonts w:ascii="Garamond" w:hAnsi="Garamond"/>
                <w:color w:val="000000" w:themeColor="text1"/>
                <w:lang w:val="en-US"/>
              </w:rPr>
              <w:t>CAL</w:t>
            </w:r>
            <w:r w:rsidR="00EE0F0F" w:rsidRPr="00BB3791">
              <w:rPr>
                <w:rFonts w:ascii="Garamond" w:hAnsi="Garamond"/>
                <w:color w:val="000000" w:themeColor="text1"/>
                <w:lang w:val="en-US"/>
              </w:rPr>
              <w:t>GB</w:t>
            </w:r>
            <w:r w:rsidR="00E27E91" w:rsidRPr="00BB3791">
              <w:rPr>
                <w:rFonts w:ascii="Garamond" w:hAnsi="Garamond"/>
                <w:color w:val="000000" w:themeColor="text1"/>
                <w:lang w:val="en-US"/>
              </w:rPr>
              <w:t>-inspired treatment</w:t>
            </w:r>
            <w:sdt>
              <w:sdtPr>
                <w:rPr>
                  <w:rFonts w:ascii="Garamond" w:hAnsi="Garamond"/>
                  <w:color w:val="000000" w:themeColor="text1"/>
                  <w:vertAlign w:val="superscript"/>
                  <w:lang w:val="en-US"/>
                </w:rPr>
                <w:tag w:val="MENDELEY_CITATION_v3_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"/>
                <w:id w:val="1700120304"/>
                <w:placeholder>
                  <w:docPart w:val="DefaultPlaceholder_-1854013440"/>
                </w:placeholder>
              </w:sdtPr>
              <w:sdtContent>
                <w:r w:rsidR="008674D4" w:rsidRPr="00BB3791">
                  <w:rPr>
                    <w:rFonts w:ascii="Garamond" w:hAnsi="Garamond"/>
                    <w:color w:val="000000" w:themeColor="text1"/>
                    <w:vertAlign w:val="superscript"/>
                    <w:lang w:val="en-US"/>
                  </w:rPr>
                  <w:t>10</w:t>
                </w:r>
              </w:sdtContent>
            </w:sdt>
          </w:p>
        </w:tc>
      </w:tr>
      <w:tr w:rsidR="00BB3791" w:rsidRPr="001B227D" w14:paraId="4C6F70ED" w14:textId="77777777" w:rsidTr="003A1361">
        <w:tc>
          <w:tcPr>
            <w:tcW w:w="9736" w:type="dxa"/>
            <w:gridSpan w:val="2"/>
          </w:tcPr>
          <w:p w14:paraId="3045570A" w14:textId="5E9BCC07" w:rsidR="00E27E91" w:rsidRPr="00BB3791" w:rsidRDefault="000A5852" w:rsidP="0032779A">
            <w:pPr>
              <w:jc w:val="both"/>
              <w:rPr>
                <w:rFonts w:ascii="Garamond" w:hAnsi="Garamond"/>
                <w:color w:val="000000" w:themeColor="text1"/>
                <w:lang w:val="en-US"/>
              </w:rPr>
            </w:pPr>
            <w:r>
              <w:rPr>
                <w:rFonts w:ascii="Garamond" w:hAnsi="Garamond"/>
                <w:color w:val="000000" w:themeColor="text1"/>
                <w:lang w:val="en-US"/>
              </w:rPr>
              <w:t xml:space="preserve">Abbreviations: </w:t>
            </w:r>
            <w:r w:rsidR="00C67436" w:rsidRPr="00BB3791">
              <w:rPr>
                <w:rFonts w:ascii="Garamond" w:hAnsi="Garamond"/>
                <w:color w:val="000000" w:themeColor="text1"/>
                <w:lang w:val="en-US"/>
              </w:rPr>
              <w:t xml:space="preserve">CALGB, </w:t>
            </w:r>
            <w:r w:rsidR="00C57A7D" w:rsidRPr="00BB3791">
              <w:rPr>
                <w:rFonts w:ascii="Garamond" w:hAnsi="Garamond"/>
                <w:color w:val="000000" w:themeColor="text1"/>
                <w:lang w:val="en-US"/>
              </w:rPr>
              <w:t xml:space="preserve">Cancer and Leukemia Group B; </w:t>
            </w:r>
            <w:r w:rsidR="000A0444" w:rsidRPr="00BB3791">
              <w:rPr>
                <w:rFonts w:ascii="Garamond" w:hAnsi="Garamond"/>
                <w:color w:val="000000" w:themeColor="text1"/>
                <w:lang w:val="en-US"/>
              </w:rPr>
              <w:t xml:space="preserve">CEOP, cyclophosphamide, etoposide, vincristine, prednisone; CHOP, cyclophosphamide, doxorubicin, vincristine, prednisone; CVP, cyclophosphamide, vincristine, prednisone. </w:t>
            </w:r>
            <w:r w:rsidR="00C57A7D" w:rsidRPr="00BB3791">
              <w:rPr>
                <w:rFonts w:ascii="Garamond" w:hAnsi="Garamond"/>
                <w:color w:val="000000" w:themeColor="text1"/>
                <w:lang w:val="en-US"/>
              </w:rPr>
              <w:t>DA “3+10”, daunorubicin (or other anthracycline or mitoxantrone);</w:t>
            </w:r>
            <w:r w:rsidR="000A0444" w:rsidRPr="00BB3791">
              <w:rPr>
                <w:rFonts w:ascii="Garamond" w:hAnsi="Garamond"/>
                <w:color w:val="000000" w:themeColor="text1"/>
                <w:lang w:val="en-US"/>
              </w:rPr>
              <w:t xml:space="preserve"> </w:t>
            </w:r>
            <w:r w:rsidR="00C57A7D" w:rsidRPr="00BB3791">
              <w:rPr>
                <w:rFonts w:ascii="Garamond" w:hAnsi="Garamond"/>
                <w:color w:val="000000" w:themeColor="text1"/>
                <w:lang w:val="en-US"/>
              </w:rPr>
              <w:t>FLAG-Ida, fludarabine, cytarabine and idarubicin; CNS-IT, intrathecal</w:t>
            </w:r>
            <w:r w:rsidR="00E27E91" w:rsidRPr="00BB3791">
              <w:rPr>
                <w:rFonts w:ascii="Garamond" w:hAnsi="Garamond"/>
                <w:color w:val="000000" w:themeColor="text1"/>
                <w:lang w:val="en-US"/>
              </w:rPr>
              <w:t xml:space="preserve"> installation</w:t>
            </w:r>
            <w:r w:rsidR="000A0444" w:rsidRPr="00BB3791">
              <w:rPr>
                <w:rFonts w:ascii="Garamond" w:hAnsi="Garamond"/>
                <w:color w:val="000000" w:themeColor="text1"/>
                <w:lang w:val="en-US"/>
              </w:rPr>
              <w:t xml:space="preserve"> of methotrexate and/or cytarabine and/or glucocorticoid; NOPHO, </w:t>
            </w:r>
            <w:r w:rsidR="00C67436" w:rsidRPr="00BB3791">
              <w:rPr>
                <w:rFonts w:ascii="Garamond" w:hAnsi="Garamond"/>
                <w:color w:val="000000" w:themeColor="text1"/>
                <w:lang w:val="en-US"/>
              </w:rPr>
              <w:t xml:space="preserve">Nordic Society of Pediatric Hematology and Oncology; R, </w:t>
            </w:r>
            <w:proofErr w:type="gramStart"/>
            <w:r w:rsidR="00C67436" w:rsidRPr="00BB3791">
              <w:rPr>
                <w:rFonts w:ascii="Garamond" w:hAnsi="Garamond"/>
                <w:color w:val="000000" w:themeColor="text1"/>
                <w:lang w:val="en-US"/>
              </w:rPr>
              <w:t>rituximab</w:t>
            </w:r>
            <w:proofErr w:type="gramEnd"/>
            <w:r w:rsidR="00C67436" w:rsidRPr="00BB3791">
              <w:rPr>
                <w:rFonts w:ascii="Garamond" w:hAnsi="Garamond"/>
                <w:color w:val="000000" w:themeColor="text1"/>
                <w:lang w:val="en-US"/>
              </w:rPr>
              <w:t xml:space="preserve"> or biosimilar anti-CD20-antibody;</w:t>
            </w:r>
            <w:r w:rsidR="00EA1C79" w:rsidRPr="00BB3791">
              <w:rPr>
                <w:rFonts w:ascii="Garamond" w:hAnsi="Garamond"/>
                <w:color w:val="000000" w:themeColor="text1"/>
                <w:lang w:val="en-US"/>
              </w:rPr>
              <w:t xml:space="preserve"> TKI,</w:t>
            </w:r>
            <w:r w:rsidR="000A0444" w:rsidRPr="00BB3791">
              <w:rPr>
                <w:rFonts w:ascii="Garamond" w:hAnsi="Garamond"/>
                <w:color w:val="000000" w:themeColor="text1"/>
                <w:lang w:val="en-US"/>
              </w:rPr>
              <w:t xml:space="preserve"> BCR-ABL-targeting tyrosine kinase </w:t>
            </w:r>
            <w:r w:rsidR="00AD39CB" w:rsidRPr="00BB3791">
              <w:rPr>
                <w:rFonts w:ascii="Garamond" w:hAnsi="Garamond"/>
                <w:color w:val="000000" w:themeColor="text1"/>
                <w:lang w:val="en-US"/>
              </w:rPr>
              <w:t>inhibitor.</w:t>
            </w:r>
            <w:r w:rsidR="00EA1C79" w:rsidRPr="00BB3791">
              <w:rPr>
                <w:rFonts w:ascii="Garamond" w:hAnsi="Garamond"/>
                <w:color w:val="000000" w:themeColor="text1"/>
                <w:lang w:val="en-US"/>
              </w:rPr>
              <w:t xml:space="preserve"> </w:t>
            </w:r>
          </w:p>
          <w:p w14:paraId="65ECE739" w14:textId="67DBD002" w:rsidR="00EA1C79" w:rsidRPr="00BB3791" w:rsidRDefault="00EA1C79" w:rsidP="0032779A">
            <w:pPr>
              <w:jc w:val="both"/>
              <w:rPr>
                <w:rFonts w:ascii="Garamond" w:hAnsi="Garamond"/>
                <w:color w:val="000000" w:themeColor="text1"/>
                <w:lang w:val="en-US"/>
              </w:rPr>
            </w:pPr>
            <w:r w:rsidRPr="00BB3791">
              <w:rPr>
                <w:rFonts w:ascii="Garamond" w:hAnsi="Garamond"/>
                <w:color w:val="000000" w:themeColor="text1"/>
                <w:vertAlign w:val="superscript"/>
                <w:lang w:val="en-US"/>
              </w:rPr>
              <w:t>#</w:t>
            </w:r>
            <w:r w:rsidRPr="00BB3791">
              <w:rPr>
                <w:rFonts w:ascii="Garamond" w:hAnsi="Garamond"/>
                <w:color w:val="000000" w:themeColor="text1"/>
                <w:lang w:val="en-US"/>
              </w:rPr>
              <w:t xml:space="preserve">Varying maintenance therapy: mostly containing 6-mercaptopurine and methotrexate </w:t>
            </w:r>
            <w:r w:rsidRPr="00BB3791">
              <w:rPr>
                <w:rFonts w:ascii="Garamond" w:hAnsi="Garamond"/>
                <w:color w:val="000000" w:themeColor="text1"/>
                <w:lang w:val="en-US"/>
              </w:rPr>
              <w:sym w:font="Symbol" w:char="F0B1"/>
            </w:r>
            <w:r w:rsidRPr="00BB3791">
              <w:rPr>
                <w:rFonts w:ascii="Garamond" w:hAnsi="Garamond"/>
                <w:color w:val="000000" w:themeColor="text1"/>
                <w:lang w:val="en-US"/>
              </w:rPr>
              <w:t xml:space="preserve"> cyclophosphamide, vincristine, daunorubicin (or other anthracycline) and prednisone.</w:t>
            </w:r>
          </w:p>
        </w:tc>
      </w:tr>
    </w:tbl>
    <w:p w14:paraId="4960F5B8" w14:textId="13459045" w:rsidR="00E27E91" w:rsidRDefault="00E27E91" w:rsidP="0032779A">
      <w:pPr>
        <w:jc w:val="both"/>
        <w:rPr>
          <w:rFonts w:ascii="Garamond" w:hAnsi="Garamond"/>
          <w:color w:val="000000" w:themeColor="text1"/>
          <w:lang w:val="en-US"/>
        </w:rPr>
      </w:pPr>
    </w:p>
    <w:p w14:paraId="07C7FC9D" w14:textId="67E061B9" w:rsidR="005675DF" w:rsidRDefault="00E76CCD" w:rsidP="005675DF">
      <w:pPr>
        <w:pStyle w:val="Overskrift1"/>
        <w:keepNext w:val="0"/>
        <w:keepLines w:val="0"/>
        <w:pageBreakBefore/>
        <w:spacing w:line="276" w:lineRule="auto"/>
        <w:jc w:val="both"/>
        <w:rPr>
          <w:rFonts w:ascii="Garamond" w:hAnsi="Garamond"/>
          <w:color w:val="000000" w:themeColor="text1"/>
          <w:sz w:val="28"/>
          <w:szCs w:val="28"/>
          <w:lang w:val="en-US"/>
        </w:rPr>
      </w:pPr>
      <w:bookmarkStart w:id="9" w:name="_Toc151718194"/>
      <w:r>
        <w:rPr>
          <w:rFonts w:ascii="Garamond" w:hAnsi="Garamond"/>
          <w:color w:val="000000" w:themeColor="text1"/>
          <w:sz w:val="28"/>
          <w:szCs w:val="28"/>
          <w:lang w:val="en-US"/>
        </w:rPr>
        <w:lastRenderedPageBreak/>
        <w:t>Parameters for</w:t>
      </w:r>
      <w:r w:rsidR="005675DF" w:rsidRPr="000A5852">
        <w:rPr>
          <w:rFonts w:ascii="Garamond" w:hAnsi="Garamond"/>
          <w:color w:val="000000" w:themeColor="text1"/>
          <w:sz w:val="28"/>
          <w:szCs w:val="28"/>
          <w:lang w:val="en-US"/>
        </w:rPr>
        <w:t xml:space="preserve"> </w:t>
      </w:r>
      <w:r w:rsidR="000A5852" w:rsidRPr="000A5852">
        <w:rPr>
          <w:rFonts w:ascii="Garamond" w:hAnsi="Garamond"/>
          <w:color w:val="000000" w:themeColor="text1"/>
          <w:sz w:val="28"/>
          <w:szCs w:val="28"/>
          <w:lang w:val="en-US"/>
        </w:rPr>
        <w:t>flexible parametric survival models</w:t>
      </w:r>
      <w:r w:rsidR="005675DF" w:rsidRPr="000A5852">
        <w:rPr>
          <w:rFonts w:ascii="Garamond" w:hAnsi="Garamond"/>
          <w:color w:val="000000" w:themeColor="text1"/>
          <w:sz w:val="28"/>
          <w:szCs w:val="28"/>
          <w:lang w:val="en-US"/>
        </w:rPr>
        <w:t xml:space="preserve"> (Table S</w:t>
      </w:r>
      <w:r w:rsidR="000A5852" w:rsidRPr="000A5852">
        <w:rPr>
          <w:rFonts w:ascii="Garamond" w:hAnsi="Garamond"/>
          <w:color w:val="000000" w:themeColor="text1"/>
          <w:sz w:val="28"/>
          <w:szCs w:val="28"/>
          <w:lang w:val="en-US"/>
        </w:rPr>
        <w:t>2</w:t>
      </w:r>
      <w:r w:rsidR="005675DF" w:rsidRPr="000A5852">
        <w:rPr>
          <w:rFonts w:ascii="Garamond" w:hAnsi="Garamond"/>
          <w:color w:val="000000" w:themeColor="text1"/>
          <w:sz w:val="28"/>
          <w:szCs w:val="28"/>
          <w:lang w:val="en-US"/>
        </w:rPr>
        <w:t>)</w:t>
      </w:r>
      <w:bookmarkEnd w:id="9"/>
    </w:p>
    <w:p w14:paraId="6EBC5718" w14:textId="5754F941" w:rsidR="005675DF" w:rsidRDefault="005675DF" w:rsidP="0032779A">
      <w:pPr>
        <w:jc w:val="both"/>
        <w:rPr>
          <w:rFonts w:ascii="Garamond" w:hAnsi="Garamond"/>
          <w:color w:val="000000" w:themeColor="text1"/>
          <w:lang w:val="en-US"/>
        </w:rPr>
      </w:pPr>
    </w:p>
    <w:tbl>
      <w:tblPr>
        <w:tblStyle w:val="Tabel-Gitter"/>
        <w:tblW w:w="9783" w:type="dxa"/>
        <w:jc w:val="center"/>
        <w:tblLook w:val="04A0" w:firstRow="1" w:lastRow="0" w:firstColumn="1" w:lastColumn="0" w:noHBand="0" w:noVBand="1"/>
      </w:tblPr>
      <w:tblGrid>
        <w:gridCol w:w="2972"/>
        <w:gridCol w:w="1701"/>
        <w:gridCol w:w="1701"/>
        <w:gridCol w:w="792"/>
        <w:gridCol w:w="2617"/>
      </w:tblGrid>
      <w:tr w:rsidR="00E76CCD" w:rsidRPr="001B227D" w14:paraId="26F849ED" w14:textId="77777777" w:rsidTr="00E76CCD">
        <w:trPr>
          <w:cantSplit/>
          <w:trHeight w:val="340"/>
          <w:jc w:val="center"/>
        </w:trPr>
        <w:tc>
          <w:tcPr>
            <w:tcW w:w="9783" w:type="dxa"/>
            <w:gridSpan w:val="5"/>
            <w:vAlign w:val="center"/>
          </w:tcPr>
          <w:p w14:paraId="5CE0610E" w14:textId="42FC3983" w:rsidR="00E76CCD" w:rsidRPr="000A5852" w:rsidRDefault="00E76CCD" w:rsidP="00E76CCD">
            <w:pPr>
              <w:rPr>
                <w:rFonts w:ascii="Garamond" w:hAnsi="Garamond"/>
                <w:b/>
                <w:bCs/>
                <w:lang w:val="en-US"/>
              </w:rPr>
            </w:pPr>
            <w:r>
              <w:rPr>
                <w:rFonts w:ascii="Garamond" w:hAnsi="Garamond"/>
                <w:b/>
                <w:bCs/>
                <w:lang w:val="en-US"/>
              </w:rPr>
              <w:t xml:space="preserve">Table S2: </w:t>
            </w:r>
            <w:r w:rsidRPr="00E76CCD">
              <w:rPr>
                <w:rFonts w:ascii="Garamond" w:hAnsi="Garamond"/>
                <w:lang w:val="en-US"/>
              </w:rPr>
              <w:t>Degrees of freedom</w:t>
            </w:r>
            <w:r>
              <w:rPr>
                <w:rFonts w:ascii="Garamond" w:hAnsi="Garamond"/>
                <w:lang w:val="en-US"/>
              </w:rPr>
              <w:t xml:space="preserve"> (</w:t>
            </w:r>
            <w:proofErr w:type="spellStart"/>
            <w:r>
              <w:rPr>
                <w:rFonts w:ascii="Garamond" w:hAnsi="Garamond"/>
                <w:lang w:val="en-US"/>
              </w:rPr>
              <w:t>df</w:t>
            </w:r>
            <w:proofErr w:type="spellEnd"/>
            <w:r>
              <w:rPr>
                <w:rFonts w:ascii="Garamond" w:hAnsi="Garamond"/>
                <w:lang w:val="en-US"/>
              </w:rPr>
              <w:t>)</w:t>
            </w:r>
            <w:r w:rsidRPr="00E76CCD">
              <w:rPr>
                <w:rFonts w:ascii="Garamond" w:hAnsi="Garamond"/>
                <w:lang w:val="en-US"/>
              </w:rPr>
              <w:t xml:space="preserve"> for natural cubic spiles </w:t>
            </w:r>
            <w:r>
              <w:rPr>
                <w:rFonts w:ascii="Garamond" w:hAnsi="Garamond"/>
                <w:lang w:val="en-US"/>
              </w:rPr>
              <w:t>used to model 2-year OS</w:t>
            </w:r>
          </w:p>
        </w:tc>
      </w:tr>
      <w:tr w:rsidR="000A5852" w:rsidRPr="00B40139" w14:paraId="3E7F0ABE" w14:textId="77777777" w:rsidTr="00181C09">
        <w:trPr>
          <w:cantSplit/>
          <w:trHeight w:val="340"/>
          <w:jc w:val="center"/>
        </w:trPr>
        <w:tc>
          <w:tcPr>
            <w:tcW w:w="2972" w:type="dxa"/>
            <w:vAlign w:val="center"/>
          </w:tcPr>
          <w:p w14:paraId="0AFCA489" w14:textId="77777777" w:rsidR="005675DF" w:rsidRPr="000A5852" w:rsidRDefault="005675DF" w:rsidP="000A5852">
            <w:pPr>
              <w:rPr>
                <w:rFonts w:ascii="Garamond" w:hAnsi="Garamond"/>
                <w:b/>
                <w:bCs/>
                <w:lang w:val="en-US"/>
              </w:rPr>
            </w:pPr>
            <w:r w:rsidRPr="000A5852">
              <w:rPr>
                <w:rFonts w:ascii="Garamond" w:hAnsi="Garamond"/>
                <w:b/>
                <w:bCs/>
                <w:lang w:val="en-US"/>
              </w:rPr>
              <w:t>Stratification</w:t>
            </w:r>
          </w:p>
        </w:tc>
        <w:tc>
          <w:tcPr>
            <w:tcW w:w="1701" w:type="dxa"/>
            <w:vAlign w:val="center"/>
          </w:tcPr>
          <w:p w14:paraId="1940CC53" w14:textId="77777777" w:rsidR="005675DF" w:rsidRPr="000A5852" w:rsidRDefault="005675DF" w:rsidP="000A5852">
            <w:pPr>
              <w:jc w:val="center"/>
              <w:rPr>
                <w:rFonts w:ascii="Garamond" w:hAnsi="Garamond"/>
                <w:b/>
                <w:bCs/>
                <w:lang w:val="en-US"/>
              </w:rPr>
            </w:pPr>
            <w:r w:rsidRPr="000A5852">
              <w:rPr>
                <w:rFonts w:ascii="Garamond" w:hAnsi="Garamond"/>
                <w:b/>
                <w:bCs/>
                <w:lang w:val="en-US"/>
              </w:rPr>
              <w:t>Baseline hazard</w:t>
            </w:r>
          </w:p>
        </w:tc>
        <w:tc>
          <w:tcPr>
            <w:tcW w:w="1701" w:type="dxa"/>
            <w:vAlign w:val="center"/>
          </w:tcPr>
          <w:p w14:paraId="65EB5A9A" w14:textId="52BC3B9D" w:rsidR="005675DF" w:rsidRPr="000A5852" w:rsidRDefault="000A5852" w:rsidP="000A5852">
            <w:pPr>
              <w:jc w:val="center"/>
              <w:rPr>
                <w:rFonts w:ascii="Garamond" w:hAnsi="Garamond"/>
                <w:b/>
                <w:bCs/>
                <w:lang w:val="en-US"/>
              </w:rPr>
            </w:pPr>
            <w:r w:rsidRPr="000A5852">
              <w:rPr>
                <w:rFonts w:ascii="Garamond" w:hAnsi="Garamond"/>
                <w:b/>
                <w:bCs/>
                <w:lang w:val="en-US"/>
              </w:rPr>
              <w:t>Diagnost</w:t>
            </w:r>
            <w:r>
              <w:rPr>
                <w:rFonts w:ascii="Garamond" w:hAnsi="Garamond"/>
                <w:b/>
                <w:bCs/>
                <w:lang w:val="en-US"/>
              </w:rPr>
              <w:t>ic</w:t>
            </w:r>
            <w:r w:rsidR="005675DF" w:rsidRPr="000A5852">
              <w:rPr>
                <w:rFonts w:ascii="Garamond" w:hAnsi="Garamond"/>
                <w:b/>
                <w:bCs/>
                <w:lang w:val="en-US"/>
              </w:rPr>
              <w:t xml:space="preserve"> year</w:t>
            </w:r>
          </w:p>
        </w:tc>
        <w:tc>
          <w:tcPr>
            <w:tcW w:w="792" w:type="dxa"/>
            <w:vAlign w:val="center"/>
          </w:tcPr>
          <w:p w14:paraId="10FFA69B" w14:textId="77777777" w:rsidR="005675DF" w:rsidRPr="000A5852" w:rsidRDefault="005675DF" w:rsidP="000A5852">
            <w:pPr>
              <w:jc w:val="center"/>
              <w:rPr>
                <w:rFonts w:ascii="Garamond" w:hAnsi="Garamond"/>
                <w:b/>
                <w:bCs/>
                <w:lang w:val="en-US"/>
              </w:rPr>
            </w:pPr>
            <w:r w:rsidRPr="000A5852">
              <w:rPr>
                <w:rFonts w:ascii="Garamond" w:hAnsi="Garamond"/>
                <w:b/>
                <w:bCs/>
                <w:lang w:val="en-US"/>
              </w:rPr>
              <w:t>Age</w:t>
            </w:r>
          </w:p>
        </w:tc>
        <w:tc>
          <w:tcPr>
            <w:tcW w:w="2617" w:type="dxa"/>
            <w:vAlign w:val="center"/>
          </w:tcPr>
          <w:p w14:paraId="3AA747EC" w14:textId="2EEB5517" w:rsidR="005675DF" w:rsidRPr="000A5852" w:rsidRDefault="005675DF" w:rsidP="000A5852">
            <w:pPr>
              <w:jc w:val="center"/>
              <w:rPr>
                <w:rFonts w:ascii="Garamond" w:hAnsi="Garamond"/>
                <w:b/>
                <w:bCs/>
                <w:lang w:val="en-US"/>
              </w:rPr>
            </w:pPr>
            <w:r w:rsidRPr="000A5852">
              <w:rPr>
                <w:rFonts w:ascii="Garamond" w:hAnsi="Garamond"/>
                <w:b/>
                <w:bCs/>
                <w:lang w:val="en-US"/>
              </w:rPr>
              <w:t>Time-varying</w:t>
            </w:r>
            <w:r w:rsidR="000A5852" w:rsidRPr="000A5852">
              <w:rPr>
                <w:rFonts w:ascii="Garamond" w:hAnsi="Garamond"/>
                <w:b/>
                <w:bCs/>
                <w:lang w:val="en-US"/>
              </w:rPr>
              <w:t xml:space="preserve"> </w:t>
            </w:r>
            <w:r w:rsidRPr="000A5852">
              <w:rPr>
                <w:rFonts w:ascii="Garamond" w:hAnsi="Garamond"/>
                <w:b/>
                <w:bCs/>
                <w:lang w:val="en-US"/>
              </w:rPr>
              <w:t>coefficients</w:t>
            </w:r>
          </w:p>
        </w:tc>
      </w:tr>
      <w:tr w:rsidR="000A5852" w:rsidRPr="00B40139" w14:paraId="48CCF354" w14:textId="77777777" w:rsidTr="00181C09">
        <w:trPr>
          <w:cantSplit/>
          <w:trHeight w:val="340"/>
          <w:jc w:val="center"/>
        </w:trPr>
        <w:tc>
          <w:tcPr>
            <w:tcW w:w="2972" w:type="dxa"/>
            <w:shd w:val="clear" w:color="auto" w:fill="E7E6E6" w:themeFill="background2"/>
            <w:vAlign w:val="center"/>
          </w:tcPr>
          <w:p w14:paraId="2ACBE4FB" w14:textId="1E3342CB" w:rsidR="005675DF" w:rsidRPr="000A5852" w:rsidRDefault="005675DF" w:rsidP="000A5852">
            <w:pPr>
              <w:rPr>
                <w:rFonts w:ascii="Garamond" w:hAnsi="Garamond"/>
                <w:lang w:val="en-US"/>
              </w:rPr>
            </w:pPr>
            <w:r w:rsidRPr="000A5852">
              <w:rPr>
                <w:rFonts w:ascii="Garamond" w:hAnsi="Garamond"/>
                <w:lang w:val="en-US"/>
              </w:rPr>
              <w:t>None</w:t>
            </w:r>
            <w:r w:rsidR="000A5852">
              <w:rPr>
                <w:rFonts w:ascii="Garamond" w:hAnsi="Garamond"/>
                <w:lang w:val="en-US"/>
              </w:rPr>
              <w:t xml:space="preserve"> </w:t>
            </w:r>
            <w:r w:rsidRPr="000A5852">
              <w:rPr>
                <w:rFonts w:ascii="Garamond" w:hAnsi="Garamond"/>
                <w:lang w:val="en-US"/>
              </w:rPr>
              <w:t>(Figure 2)</w:t>
            </w:r>
          </w:p>
        </w:tc>
        <w:tc>
          <w:tcPr>
            <w:tcW w:w="1701" w:type="dxa"/>
            <w:shd w:val="clear" w:color="auto" w:fill="E7E6E6" w:themeFill="background2"/>
            <w:vAlign w:val="center"/>
          </w:tcPr>
          <w:p w14:paraId="6B1C2F5F" w14:textId="336A1FA1" w:rsidR="005675DF" w:rsidRPr="000A5852" w:rsidRDefault="005675DF" w:rsidP="000A5852">
            <w:pPr>
              <w:jc w:val="center"/>
              <w:rPr>
                <w:rFonts w:ascii="Garamond" w:hAnsi="Garamond"/>
                <w:lang w:val="en-US"/>
              </w:rPr>
            </w:pPr>
            <w:r w:rsidRPr="000A5852">
              <w:rPr>
                <w:rFonts w:ascii="Garamond" w:hAnsi="Garamond"/>
                <w:lang w:val="en-US"/>
              </w:rPr>
              <w:t>4</w:t>
            </w:r>
            <w:r w:rsidR="00E76CCD">
              <w:rPr>
                <w:rFonts w:ascii="Garamond" w:hAnsi="Garamond"/>
                <w:lang w:val="en-US"/>
              </w:rPr>
              <w:t xml:space="preserve"> </w:t>
            </w:r>
            <w:proofErr w:type="spellStart"/>
            <w:r w:rsidR="00E76CCD">
              <w:rPr>
                <w:rFonts w:ascii="Garamond" w:hAnsi="Garamond"/>
                <w:lang w:val="en-US"/>
              </w:rPr>
              <w:t>df</w:t>
            </w:r>
            <w:proofErr w:type="spellEnd"/>
          </w:p>
        </w:tc>
        <w:tc>
          <w:tcPr>
            <w:tcW w:w="1701" w:type="dxa"/>
            <w:shd w:val="clear" w:color="auto" w:fill="E7E6E6" w:themeFill="background2"/>
            <w:vAlign w:val="center"/>
          </w:tcPr>
          <w:p w14:paraId="33524693" w14:textId="240E92C0" w:rsidR="005675DF" w:rsidRPr="000A5852" w:rsidRDefault="005675DF" w:rsidP="000A5852">
            <w:pPr>
              <w:jc w:val="center"/>
              <w:rPr>
                <w:rFonts w:ascii="Garamond" w:hAnsi="Garamond"/>
                <w:lang w:val="en-US"/>
              </w:rPr>
            </w:pPr>
            <w:r w:rsidRPr="000A5852">
              <w:rPr>
                <w:rFonts w:ascii="Garamond" w:hAnsi="Garamond"/>
                <w:lang w:val="en-US"/>
              </w:rPr>
              <w:t>3</w:t>
            </w:r>
            <w:r w:rsidR="00E76CCD">
              <w:rPr>
                <w:rFonts w:ascii="Garamond" w:hAnsi="Garamond"/>
                <w:lang w:val="en-US"/>
              </w:rPr>
              <w:t xml:space="preserve"> </w:t>
            </w:r>
            <w:proofErr w:type="spellStart"/>
            <w:r w:rsidR="00E76CCD">
              <w:rPr>
                <w:rFonts w:ascii="Garamond" w:hAnsi="Garamond"/>
                <w:lang w:val="en-US"/>
              </w:rPr>
              <w:t>df</w:t>
            </w:r>
            <w:proofErr w:type="spellEnd"/>
            <w:r w:rsidR="00E76CCD">
              <w:rPr>
                <w:rFonts w:ascii="Garamond" w:hAnsi="Garamond"/>
                <w:lang w:val="en-US"/>
              </w:rPr>
              <w:t xml:space="preserve"> </w:t>
            </w:r>
          </w:p>
        </w:tc>
        <w:tc>
          <w:tcPr>
            <w:tcW w:w="792" w:type="dxa"/>
            <w:shd w:val="clear" w:color="auto" w:fill="E7E6E6" w:themeFill="background2"/>
            <w:vAlign w:val="center"/>
          </w:tcPr>
          <w:p w14:paraId="766A4101" w14:textId="737306C7" w:rsidR="005675DF" w:rsidRPr="000A5852" w:rsidRDefault="005675DF" w:rsidP="000A5852">
            <w:pPr>
              <w:jc w:val="center"/>
              <w:rPr>
                <w:rFonts w:ascii="Garamond" w:hAnsi="Garamond"/>
                <w:lang w:val="en-US"/>
              </w:rPr>
            </w:pPr>
            <w:r w:rsidRPr="000A5852">
              <w:rPr>
                <w:rFonts w:ascii="Garamond" w:hAnsi="Garamond"/>
                <w:lang w:val="en-US"/>
              </w:rPr>
              <w:t>3</w:t>
            </w:r>
            <w:r w:rsidR="00E76CCD">
              <w:rPr>
                <w:rFonts w:ascii="Garamond" w:hAnsi="Garamond"/>
                <w:lang w:val="en-US"/>
              </w:rPr>
              <w:t xml:space="preserve"> </w:t>
            </w:r>
            <w:proofErr w:type="spellStart"/>
            <w:r w:rsidR="00E76CCD">
              <w:rPr>
                <w:rFonts w:ascii="Garamond" w:hAnsi="Garamond"/>
                <w:lang w:val="en-US"/>
              </w:rPr>
              <w:t>df</w:t>
            </w:r>
            <w:proofErr w:type="spellEnd"/>
          </w:p>
        </w:tc>
        <w:tc>
          <w:tcPr>
            <w:tcW w:w="2617" w:type="dxa"/>
            <w:shd w:val="clear" w:color="auto" w:fill="E7E6E6" w:themeFill="background2"/>
            <w:vAlign w:val="center"/>
          </w:tcPr>
          <w:p w14:paraId="654CA7C4" w14:textId="57F30334" w:rsidR="005675DF" w:rsidRPr="000A5852" w:rsidRDefault="005675DF" w:rsidP="000A5852">
            <w:pPr>
              <w:jc w:val="center"/>
              <w:rPr>
                <w:rFonts w:ascii="Garamond" w:hAnsi="Garamond"/>
                <w:lang w:val="en-US"/>
              </w:rPr>
            </w:pPr>
            <w:r w:rsidRPr="000A5852">
              <w:rPr>
                <w:rFonts w:ascii="Garamond" w:hAnsi="Garamond"/>
                <w:lang w:val="en-US"/>
              </w:rPr>
              <w:t>2</w:t>
            </w:r>
            <w:r w:rsidR="00E76CCD">
              <w:rPr>
                <w:rFonts w:ascii="Garamond" w:hAnsi="Garamond"/>
                <w:lang w:val="en-US"/>
              </w:rPr>
              <w:t xml:space="preserve"> </w:t>
            </w:r>
            <w:proofErr w:type="spellStart"/>
            <w:r w:rsidR="00E76CCD">
              <w:rPr>
                <w:rFonts w:ascii="Garamond" w:hAnsi="Garamond"/>
                <w:lang w:val="en-US"/>
              </w:rPr>
              <w:t>df</w:t>
            </w:r>
            <w:proofErr w:type="spellEnd"/>
          </w:p>
        </w:tc>
      </w:tr>
      <w:tr w:rsidR="00181C09" w:rsidRPr="00B40139" w14:paraId="1E4FA516" w14:textId="77777777" w:rsidTr="00181C09">
        <w:trPr>
          <w:cantSplit/>
          <w:trHeight w:val="340"/>
          <w:jc w:val="center"/>
        </w:trPr>
        <w:tc>
          <w:tcPr>
            <w:tcW w:w="2972" w:type="dxa"/>
            <w:vAlign w:val="center"/>
          </w:tcPr>
          <w:p w14:paraId="7E611A34" w14:textId="51B533AD" w:rsidR="00181C09" w:rsidRPr="000A5852" w:rsidRDefault="00181C09" w:rsidP="00181C09">
            <w:pPr>
              <w:rPr>
                <w:rFonts w:ascii="Garamond" w:hAnsi="Garamond"/>
                <w:lang w:val="en-US"/>
              </w:rPr>
            </w:pPr>
            <w:r>
              <w:rPr>
                <w:rFonts w:ascii="Garamond" w:hAnsi="Garamond"/>
                <w:lang w:val="en-US"/>
              </w:rPr>
              <w:t>Ph</w:t>
            </w:r>
            <w:r w:rsidRPr="000A5852">
              <w:rPr>
                <w:rFonts w:ascii="Garamond" w:hAnsi="Garamond"/>
                <w:lang w:val="en-US"/>
              </w:rPr>
              <w:t xml:space="preserve"> chromosome</w:t>
            </w:r>
            <w:r>
              <w:rPr>
                <w:rFonts w:ascii="Garamond" w:hAnsi="Garamond"/>
                <w:lang w:val="en-US"/>
              </w:rPr>
              <w:t xml:space="preserve"> </w:t>
            </w:r>
            <w:r w:rsidRPr="000A5852">
              <w:rPr>
                <w:rFonts w:ascii="Garamond" w:hAnsi="Garamond"/>
                <w:lang w:val="en-US"/>
              </w:rPr>
              <w:t>(Figure 3</w:t>
            </w:r>
            <w:r>
              <w:rPr>
                <w:rFonts w:ascii="Garamond" w:hAnsi="Garamond"/>
                <w:lang w:val="en-US"/>
              </w:rPr>
              <w:t>A</w:t>
            </w:r>
            <w:r w:rsidRPr="000A5852">
              <w:rPr>
                <w:rFonts w:ascii="Garamond" w:hAnsi="Garamond"/>
                <w:lang w:val="en-US"/>
              </w:rPr>
              <w:t>)</w:t>
            </w:r>
          </w:p>
        </w:tc>
        <w:tc>
          <w:tcPr>
            <w:tcW w:w="1701" w:type="dxa"/>
            <w:vAlign w:val="center"/>
          </w:tcPr>
          <w:p w14:paraId="6E373140" w14:textId="7E1A5441" w:rsidR="00181C09" w:rsidRPr="000A5852" w:rsidRDefault="00181C09" w:rsidP="00181C09">
            <w:pPr>
              <w:jc w:val="center"/>
              <w:rPr>
                <w:rFonts w:ascii="Garamond" w:hAnsi="Garamond"/>
                <w:lang w:val="en-US"/>
              </w:rPr>
            </w:pPr>
            <w:r w:rsidRPr="000A5852">
              <w:rPr>
                <w:rFonts w:ascii="Garamond" w:hAnsi="Garamond"/>
                <w:lang w:val="en-US"/>
              </w:rPr>
              <w:t>4</w:t>
            </w:r>
            <w:r>
              <w:rPr>
                <w:rFonts w:ascii="Garamond" w:hAnsi="Garamond"/>
                <w:lang w:val="en-US"/>
              </w:rPr>
              <w:t xml:space="preserve"> </w:t>
            </w:r>
            <w:proofErr w:type="spellStart"/>
            <w:r>
              <w:rPr>
                <w:rFonts w:ascii="Garamond" w:hAnsi="Garamond"/>
                <w:lang w:val="en-US"/>
              </w:rPr>
              <w:t>df</w:t>
            </w:r>
            <w:proofErr w:type="spellEnd"/>
          </w:p>
        </w:tc>
        <w:tc>
          <w:tcPr>
            <w:tcW w:w="1701" w:type="dxa"/>
            <w:vAlign w:val="center"/>
          </w:tcPr>
          <w:p w14:paraId="566967E6" w14:textId="531F366D" w:rsidR="00181C09" w:rsidRPr="000A5852" w:rsidRDefault="00181C09" w:rsidP="00181C09">
            <w:pPr>
              <w:jc w:val="center"/>
              <w:rPr>
                <w:rFonts w:ascii="Garamond" w:hAnsi="Garamond"/>
                <w:lang w:val="en-US"/>
              </w:rPr>
            </w:pPr>
            <w:r w:rsidRPr="000A5852">
              <w:rPr>
                <w:rFonts w:ascii="Garamond" w:hAnsi="Garamond"/>
                <w:lang w:val="en-US"/>
              </w:rPr>
              <w:t>3</w:t>
            </w:r>
            <w:r>
              <w:rPr>
                <w:rFonts w:ascii="Garamond" w:hAnsi="Garamond"/>
                <w:lang w:val="en-US"/>
              </w:rPr>
              <w:t xml:space="preserve"> </w:t>
            </w:r>
            <w:proofErr w:type="spellStart"/>
            <w:r>
              <w:rPr>
                <w:rFonts w:ascii="Garamond" w:hAnsi="Garamond"/>
                <w:lang w:val="en-US"/>
              </w:rPr>
              <w:t>df</w:t>
            </w:r>
            <w:proofErr w:type="spellEnd"/>
          </w:p>
        </w:tc>
        <w:tc>
          <w:tcPr>
            <w:tcW w:w="792" w:type="dxa"/>
            <w:vAlign w:val="center"/>
          </w:tcPr>
          <w:p w14:paraId="24C3C1F1" w14:textId="6F77D454" w:rsidR="00181C09" w:rsidRPr="000A5852" w:rsidRDefault="00181C09" w:rsidP="00181C09">
            <w:pPr>
              <w:jc w:val="center"/>
              <w:rPr>
                <w:rFonts w:ascii="Garamond" w:hAnsi="Garamond"/>
                <w:lang w:val="en-US"/>
              </w:rPr>
            </w:pPr>
            <w:r w:rsidRPr="000A5852">
              <w:rPr>
                <w:rFonts w:ascii="Garamond" w:hAnsi="Garamond"/>
                <w:lang w:val="en-US"/>
              </w:rPr>
              <w:t>3</w:t>
            </w:r>
            <w:r>
              <w:rPr>
                <w:rFonts w:ascii="Garamond" w:hAnsi="Garamond"/>
                <w:lang w:val="en-US"/>
              </w:rPr>
              <w:t xml:space="preserve"> </w:t>
            </w:r>
            <w:proofErr w:type="spellStart"/>
            <w:r>
              <w:rPr>
                <w:rFonts w:ascii="Garamond" w:hAnsi="Garamond"/>
                <w:lang w:val="en-US"/>
              </w:rPr>
              <w:t>df</w:t>
            </w:r>
            <w:proofErr w:type="spellEnd"/>
          </w:p>
        </w:tc>
        <w:tc>
          <w:tcPr>
            <w:tcW w:w="2617" w:type="dxa"/>
            <w:vAlign w:val="center"/>
          </w:tcPr>
          <w:p w14:paraId="04F3F6CC" w14:textId="63198776"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r>
      <w:tr w:rsidR="00181C09" w:rsidRPr="00B40139" w14:paraId="1ECE3C8B" w14:textId="77777777" w:rsidTr="00181C09">
        <w:trPr>
          <w:cantSplit/>
          <w:trHeight w:val="340"/>
          <w:jc w:val="center"/>
        </w:trPr>
        <w:tc>
          <w:tcPr>
            <w:tcW w:w="2972" w:type="dxa"/>
            <w:shd w:val="clear" w:color="auto" w:fill="E7E6E6" w:themeFill="background2"/>
            <w:vAlign w:val="center"/>
          </w:tcPr>
          <w:p w14:paraId="068C0177" w14:textId="357BBFE0" w:rsidR="00181C09" w:rsidRPr="000A5852" w:rsidRDefault="00181C09" w:rsidP="00181C09">
            <w:pPr>
              <w:rPr>
                <w:rFonts w:ascii="Garamond" w:hAnsi="Garamond"/>
                <w:lang w:val="en-US"/>
              </w:rPr>
            </w:pPr>
            <w:r w:rsidRPr="000A5852">
              <w:rPr>
                <w:rFonts w:ascii="Garamond" w:hAnsi="Garamond"/>
                <w:lang w:val="en-US"/>
              </w:rPr>
              <w:t>Age group</w:t>
            </w:r>
            <w:r>
              <w:rPr>
                <w:rFonts w:ascii="Garamond" w:hAnsi="Garamond"/>
                <w:lang w:val="en-US"/>
              </w:rPr>
              <w:t xml:space="preserve"> </w:t>
            </w:r>
            <w:r w:rsidRPr="000A5852">
              <w:rPr>
                <w:rFonts w:ascii="Garamond" w:hAnsi="Garamond"/>
                <w:lang w:val="en-US"/>
              </w:rPr>
              <w:t>(Figure 3</w:t>
            </w:r>
            <w:r>
              <w:rPr>
                <w:rFonts w:ascii="Garamond" w:hAnsi="Garamond"/>
                <w:lang w:val="en-US"/>
              </w:rPr>
              <w:t>B</w:t>
            </w:r>
            <w:r w:rsidRPr="000A5852">
              <w:rPr>
                <w:rFonts w:ascii="Garamond" w:hAnsi="Garamond"/>
                <w:lang w:val="en-US"/>
              </w:rPr>
              <w:t>)</w:t>
            </w:r>
          </w:p>
        </w:tc>
        <w:tc>
          <w:tcPr>
            <w:tcW w:w="1701" w:type="dxa"/>
            <w:shd w:val="clear" w:color="auto" w:fill="E7E6E6" w:themeFill="background2"/>
            <w:vAlign w:val="center"/>
          </w:tcPr>
          <w:p w14:paraId="4420E1A9" w14:textId="7E251676" w:rsidR="00181C09" w:rsidRPr="000A5852" w:rsidRDefault="00181C09" w:rsidP="00181C09">
            <w:pPr>
              <w:jc w:val="center"/>
              <w:rPr>
                <w:rFonts w:ascii="Garamond" w:hAnsi="Garamond"/>
                <w:lang w:val="en-US"/>
              </w:rPr>
            </w:pPr>
            <w:r w:rsidRPr="000A5852">
              <w:rPr>
                <w:rFonts w:ascii="Garamond" w:hAnsi="Garamond"/>
                <w:lang w:val="en-US"/>
              </w:rPr>
              <w:t>4</w:t>
            </w:r>
            <w:r>
              <w:rPr>
                <w:rFonts w:ascii="Garamond" w:hAnsi="Garamond"/>
                <w:lang w:val="en-US"/>
              </w:rPr>
              <w:t xml:space="preserve"> </w:t>
            </w:r>
            <w:proofErr w:type="spellStart"/>
            <w:r>
              <w:rPr>
                <w:rFonts w:ascii="Garamond" w:hAnsi="Garamond"/>
                <w:lang w:val="en-US"/>
              </w:rPr>
              <w:t>df</w:t>
            </w:r>
            <w:proofErr w:type="spellEnd"/>
          </w:p>
        </w:tc>
        <w:tc>
          <w:tcPr>
            <w:tcW w:w="1701" w:type="dxa"/>
            <w:shd w:val="clear" w:color="auto" w:fill="E7E6E6" w:themeFill="background2"/>
            <w:vAlign w:val="center"/>
          </w:tcPr>
          <w:p w14:paraId="3C7DE969" w14:textId="6FDB99A9"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c>
          <w:tcPr>
            <w:tcW w:w="792" w:type="dxa"/>
            <w:shd w:val="clear" w:color="auto" w:fill="E7E6E6" w:themeFill="background2"/>
            <w:vAlign w:val="center"/>
          </w:tcPr>
          <w:p w14:paraId="457032E4" w14:textId="56A2DEB5" w:rsidR="00181C09" w:rsidRPr="000A5852" w:rsidRDefault="00181C09" w:rsidP="00181C09">
            <w:pPr>
              <w:jc w:val="center"/>
              <w:rPr>
                <w:rFonts w:ascii="Garamond" w:hAnsi="Garamond"/>
                <w:lang w:val="en-US"/>
              </w:rPr>
            </w:pPr>
            <w:r>
              <w:rPr>
                <w:rFonts w:ascii="Garamond" w:hAnsi="Garamond"/>
                <w:lang w:val="en-US"/>
              </w:rPr>
              <w:t>NA</w:t>
            </w:r>
          </w:p>
        </w:tc>
        <w:tc>
          <w:tcPr>
            <w:tcW w:w="2617" w:type="dxa"/>
            <w:shd w:val="clear" w:color="auto" w:fill="E7E6E6" w:themeFill="background2"/>
            <w:vAlign w:val="center"/>
          </w:tcPr>
          <w:p w14:paraId="7C5D352F" w14:textId="41469866"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r>
      <w:tr w:rsidR="00181C09" w:rsidRPr="00B40139" w14:paraId="751F3E88" w14:textId="77777777" w:rsidTr="00181C09">
        <w:trPr>
          <w:cantSplit/>
          <w:trHeight w:val="340"/>
          <w:jc w:val="center"/>
        </w:trPr>
        <w:tc>
          <w:tcPr>
            <w:tcW w:w="2972" w:type="dxa"/>
            <w:vAlign w:val="center"/>
          </w:tcPr>
          <w:p w14:paraId="2A57DE74" w14:textId="78AEDD61" w:rsidR="00181C09" w:rsidRPr="000A5852" w:rsidRDefault="00181C09" w:rsidP="00181C09">
            <w:pPr>
              <w:rPr>
                <w:rFonts w:ascii="Garamond" w:hAnsi="Garamond"/>
                <w:lang w:val="en-US"/>
              </w:rPr>
            </w:pPr>
            <w:r w:rsidRPr="000A5852">
              <w:rPr>
                <w:rFonts w:ascii="Garamond" w:hAnsi="Garamond"/>
                <w:lang w:val="en-US"/>
              </w:rPr>
              <w:t>Cytogenetic risk</w:t>
            </w:r>
            <w:r>
              <w:rPr>
                <w:rFonts w:ascii="Garamond" w:hAnsi="Garamond"/>
                <w:lang w:val="en-US"/>
              </w:rPr>
              <w:t xml:space="preserve"> (</w:t>
            </w:r>
            <w:r w:rsidRPr="000A5852">
              <w:rPr>
                <w:rFonts w:ascii="Garamond" w:hAnsi="Garamond"/>
                <w:lang w:val="en-US"/>
              </w:rPr>
              <w:t>Figure 3C)</w:t>
            </w:r>
          </w:p>
        </w:tc>
        <w:tc>
          <w:tcPr>
            <w:tcW w:w="1701" w:type="dxa"/>
            <w:vAlign w:val="center"/>
          </w:tcPr>
          <w:p w14:paraId="07FDD04D" w14:textId="1C125E70" w:rsidR="00181C09" w:rsidRPr="000A5852" w:rsidRDefault="00181C09" w:rsidP="00181C09">
            <w:pPr>
              <w:jc w:val="center"/>
              <w:rPr>
                <w:rFonts w:ascii="Garamond" w:hAnsi="Garamond"/>
                <w:lang w:val="en-US"/>
              </w:rPr>
            </w:pPr>
            <w:r w:rsidRPr="000A5852">
              <w:rPr>
                <w:rFonts w:ascii="Garamond" w:hAnsi="Garamond"/>
                <w:lang w:val="en-US"/>
              </w:rPr>
              <w:t>4</w:t>
            </w:r>
            <w:r>
              <w:rPr>
                <w:rFonts w:ascii="Garamond" w:hAnsi="Garamond"/>
                <w:lang w:val="en-US"/>
              </w:rPr>
              <w:t xml:space="preserve"> </w:t>
            </w:r>
            <w:proofErr w:type="spellStart"/>
            <w:r>
              <w:rPr>
                <w:rFonts w:ascii="Garamond" w:hAnsi="Garamond"/>
                <w:lang w:val="en-US"/>
              </w:rPr>
              <w:t>df</w:t>
            </w:r>
            <w:proofErr w:type="spellEnd"/>
          </w:p>
        </w:tc>
        <w:tc>
          <w:tcPr>
            <w:tcW w:w="1701" w:type="dxa"/>
            <w:vAlign w:val="center"/>
          </w:tcPr>
          <w:p w14:paraId="2F2CCA61" w14:textId="591E6EAD"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c>
          <w:tcPr>
            <w:tcW w:w="792" w:type="dxa"/>
            <w:vAlign w:val="center"/>
          </w:tcPr>
          <w:p w14:paraId="645CABC0" w14:textId="25D26278" w:rsidR="00181C09" w:rsidRPr="000A5852" w:rsidRDefault="00181C09" w:rsidP="00181C09">
            <w:pPr>
              <w:jc w:val="center"/>
              <w:rPr>
                <w:rFonts w:ascii="Garamond" w:hAnsi="Garamond"/>
                <w:lang w:val="en-US"/>
              </w:rPr>
            </w:pPr>
            <w:r w:rsidRPr="000A5852">
              <w:rPr>
                <w:rFonts w:ascii="Garamond" w:hAnsi="Garamond"/>
                <w:lang w:val="en-US"/>
              </w:rPr>
              <w:t>3</w:t>
            </w:r>
            <w:r>
              <w:rPr>
                <w:rFonts w:ascii="Garamond" w:hAnsi="Garamond"/>
                <w:lang w:val="en-US"/>
              </w:rPr>
              <w:t xml:space="preserve"> </w:t>
            </w:r>
            <w:proofErr w:type="spellStart"/>
            <w:r>
              <w:rPr>
                <w:rFonts w:ascii="Garamond" w:hAnsi="Garamond"/>
                <w:lang w:val="en-US"/>
              </w:rPr>
              <w:t>df</w:t>
            </w:r>
            <w:proofErr w:type="spellEnd"/>
          </w:p>
        </w:tc>
        <w:tc>
          <w:tcPr>
            <w:tcW w:w="2617" w:type="dxa"/>
            <w:vAlign w:val="center"/>
          </w:tcPr>
          <w:p w14:paraId="5235CDA6" w14:textId="79C5BB97"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r>
      <w:tr w:rsidR="00181C09" w:rsidRPr="00B40139" w14:paraId="37E2FC91" w14:textId="77777777" w:rsidTr="00181C09">
        <w:trPr>
          <w:cantSplit/>
          <w:trHeight w:val="340"/>
          <w:jc w:val="center"/>
        </w:trPr>
        <w:tc>
          <w:tcPr>
            <w:tcW w:w="2972" w:type="dxa"/>
            <w:shd w:val="clear" w:color="auto" w:fill="E7E6E6" w:themeFill="background2"/>
          </w:tcPr>
          <w:p w14:paraId="2F7FE575" w14:textId="6F6BD5CE" w:rsidR="00181C09" w:rsidRPr="000A5852" w:rsidRDefault="00181C09" w:rsidP="00181C09">
            <w:pPr>
              <w:rPr>
                <w:rFonts w:ascii="Garamond" w:hAnsi="Garamond"/>
                <w:lang w:val="en-US"/>
              </w:rPr>
            </w:pPr>
            <w:r>
              <w:rPr>
                <w:rFonts w:ascii="Garamond" w:hAnsi="Garamond"/>
                <w:lang w:val="en-US"/>
              </w:rPr>
              <w:t xml:space="preserve">Lineage designation </w:t>
            </w:r>
            <w:r w:rsidRPr="000A5852">
              <w:rPr>
                <w:rFonts w:ascii="Garamond" w:hAnsi="Garamond"/>
                <w:lang w:val="en-US"/>
              </w:rPr>
              <w:t>(Figure 3D)</w:t>
            </w:r>
          </w:p>
        </w:tc>
        <w:tc>
          <w:tcPr>
            <w:tcW w:w="1701" w:type="dxa"/>
            <w:shd w:val="clear" w:color="auto" w:fill="E7E6E6" w:themeFill="background2"/>
            <w:vAlign w:val="center"/>
          </w:tcPr>
          <w:p w14:paraId="589281E2" w14:textId="22CACCED" w:rsidR="00181C09" w:rsidRPr="000A5852" w:rsidRDefault="00181C09" w:rsidP="00181C09">
            <w:pPr>
              <w:jc w:val="center"/>
              <w:rPr>
                <w:rFonts w:ascii="Garamond" w:hAnsi="Garamond"/>
                <w:lang w:val="en-US"/>
              </w:rPr>
            </w:pPr>
            <w:r w:rsidRPr="000A5852">
              <w:rPr>
                <w:rFonts w:ascii="Garamond" w:hAnsi="Garamond"/>
                <w:lang w:val="en-US"/>
              </w:rPr>
              <w:t>4</w:t>
            </w:r>
            <w:r>
              <w:rPr>
                <w:rFonts w:ascii="Garamond" w:hAnsi="Garamond"/>
                <w:lang w:val="en-US"/>
              </w:rPr>
              <w:t xml:space="preserve"> </w:t>
            </w:r>
            <w:proofErr w:type="spellStart"/>
            <w:r>
              <w:rPr>
                <w:rFonts w:ascii="Garamond" w:hAnsi="Garamond"/>
                <w:lang w:val="en-US"/>
              </w:rPr>
              <w:t>df</w:t>
            </w:r>
            <w:proofErr w:type="spellEnd"/>
          </w:p>
        </w:tc>
        <w:tc>
          <w:tcPr>
            <w:tcW w:w="1701" w:type="dxa"/>
            <w:shd w:val="clear" w:color="auto" w:fill="E7E6E6" w:themeFill="background2"/>
            <w:vAlign w:val="center"/>
          </w:tcPr>
          <w:p w14:paraId="078DA6C7" w14:textId="4866ED8F"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c>
          <w:tcPr>
            <w:tcW w:w="792" w:type="dxa"/>
            <w:shd w:val="clear" w:color="auto" w:fill="E7E6E6" w:themeFill="background2"/>
            <w:vAlign w:val="center"/>
          </w:tcPr>
          <w:p w14:paraId="6043D471" w14:textId="3182E210" w:rsidR="00181C09" w:rsidRPr="000A5852" w:rsidRDefault="00181C09" w:rsidP="00181C09">
            <w:pPr>
              <w:jc w:val="center"/>
              <w:rPr>
                <w:rFonts w:ascii="Garamond" w:hAnsi="Garamond"/>
                <w:lang w:val="en-US"/>
              </w:rPr>
            </w:pPr>
            <w:r w:rsidRPr="000A5852">
              <w:rPr>
                <w:rFonts w:ascii="Garamond" w:hAnsi="Garamond"/>
                <w:lang w:val="en-US"/>
              </w:rPr>
              <w:t>3</w:t>
            </w:r>
            <w:r>
              <w:rPr>
                <w:rFonts w:ascii="Garamond" w:hAnsi="Garamond"/>
                <w:lang w:val="en-US"/>
              </w:rPr>
              <w:t xml:space="preserve"> </w:t>
            </w:r>
            <w:proofErr w:type="spellStart"/>
            <w:r>
              <w:rPr>
                <w:rFonts w:ascii="Garamond" w:hAnsi="Garamond"/>
                <w:lang w:val="en-US"/>
              </w:rPr>
              <w:t>df</w:t>
            </w:r>
            <w:proofErr w:type="spellEnd"/>
          </w:p>
        </w:tc>
        <w:tc>
          <w:tcPr>
            <w:tcW w:w="2617" w:type="dxa"/>
            <w:shd w:val="clear" w:color="auto" w:fill="E7E6E6" w:themeFill="background2"/>
            <w:vAlign w:val="center"/>
          </w:tcPr>
          <w:p w14:paraId="2539DD14" w14:textId="449AA418" w:rsidR="00181C09" w:rsidRPr="000A5852" w:rsidRDefault="00181C09" w:rsidP="00181C09">
            <w:pPr>
              <w:jc w:val="center"/>
              <w:rPr>
                <w:rFonts w:ascii="Garamond" w:hAnsi="Garamond"/>
                <w:lang w:val="en-US"/>
              </w:rPr>
            </w:pPr>
            <w:r w:rsidRPr="000A5852">
              <w:rPr>
                <w:rFonts w:ascii="Garamond" w:hAnsi="Garamond"/>
                <w:lang w:val="en-US"/>
              </w:rPr>
              <w:t>2</w:t>
            </w:r>
            <w:r>
              <w:rPr>
                <w:rFonts w:ascii="Garamond" w:hAnsi="Garamond"/>
                <w:lang w:val="en-US"/>
              </w:rPr>
              <w:t xml:space="preserve"> </w:t>
            </w:r>
            <w:proofErr w:type="spellStart"/>
            <w:r>
              <w:rPr>
                <w:rFonts w:ascii="Garamond" w:hAnsi="Garamond"/>
                <w:lang w:val="en-US"/>
              </w:rPr>
              <w:t>df</w:t>
            </w:r>
            <w:proofErr w:type="spellEnd"/>
          </w:p>
        </w:tc>
      </w:tr>
      <w:tr w:rsidR="00181C09" w:rsidRPr="001B227D" w14:paraId="59F9BD88" w14:textId="77777777" w:rsidTr="000A5852">
        <w:trPr>
          <w:cantSplit/>
          <w:trHeight w:val="340"/>
          <w:jc w:val="center"/>
        </w:trPr>
        <w:tc>
          <w:tcPr>
            <w:tcW w:w="9783" w:type="dxa"/>
            <w:gridSpan w:val="5"/>
            <w:vAlign w:val="center"/>
          </w:tcPr>
          <w:p w14:paraId="0667DF9A" w14:textId="7C8F3696" w:rsidR="00181C09" w:rsidRPr="000A5852" w:rsidRDefault="00181C09" w:rsidP="00181C09">
            <w:pPr>
              <w:rPr>
                <w:rFonts w:ascii="Garamond" w:hAnsi="Garamond"/>
                <w:lang w:val="en-US"/>
              </w:rPr>
            </w:pPr>
            <w:r>
              <w:rPr>
                <w:rFonts w:ascii="Garamond" w:hAnsi="Garamond"/>
                <w:color w:val="000000" w:themeColor="text1"/>
                <w:lang w:val="en-US"/>
              </w:rPr>
              <w:t xml:space="preserve">Abbreviations: </w:t>
            </w:r>
            <w:proofErr w:type="spellStart"/>
            <w:r>
              <w:rPr>
                <w:rFonts w:ascii="Garamond" w:hAnsi="Garamond"/>
                <w:color w:val="000000" w:themeColor="text1"/>
                <w:lang w:val="en-US"/>
              </w:rPr>
              <w:t>df</w:t>
            </w:r>
            <w:proofErr w:type="spellEnd"/>
            <w:r>
              <w:rPr>
                <w:rFonts w:ascii="Garamond" w:hAnsi="Garamond"/>
                <w:color w:val="000000" w:themeColor="text1"/>
                <w:lang w:val="en-US"/>
              </w:rPr>
              <w:t>, degrees of freedom; NA, not applicable; Ph, Philadelphia.</w:t>
            </w:r>
          </w:p>
        </w:tc>
      </w:tr>
    </w:tbl>
    <w:p w14:paraId="71EB0A5A" w14:textId="77777777" w:rsidR="005675DF" w:rsidRPr="00BB3791" w:rsidRDefault="005675DF" w:rsidP="0032779A">
      <w:pPr>
        <w:jc w:val="both"/>
        <w:rPr>
          <w:rFonts w:ascii="Garamond" w:hAnsi="Garamond"/>
          <w:color w:val="000000" w:themeColor="text1"/>
          <w:lang w:val="en-US"/>
        </w:rPr>
      </w:pPr>
    </w:p>
    <w:p w14:paraId="1828BCDA" w14:textId="77777777" w:rsidR="00CD4060" w:rsidRPr="00BB3791" w:rsidRDefault="00CD4060" w:rsidP="00AA0148">
      <w:pPr>
        <w:pStyle w:val="Overskrift1"/>
        <w:pageBreakBefore/>
        <w:rPr>
          <w:rFonts w:ascii="Garamond" w:hAnsi="Garamond"/>
          <w:color w:val="000000" w:themeColor="text1"/>
          <w:lang w:val="en-US"/>
        </w:rPr>
      </w:pPr>
      <w:bookmarkStart w:id="10" w:name="_Toc151718195"/>
      <w:r w:rsidRPr="00BB3791">
        <w:rPr>
          <w:rFonts w:ascii="Garamond" w:hAnsi="Garamond"/>
          <w:color w:val="000000" w:themeColor="text1"/>
          <w:lang w:val="en-US"/>
        </w:rPr>
        <w:lastRenderedPageBreak/>
        <w:t>Supplementary references</w:t>
      </w:r>
      <w:bookmarkEnd w:id="10"/>
    </w:p>
    <w:p w14:paraId="6DE1A9EB" w14:textId="4C13B008" w:rsidR="00CD4060" w:rsidRPr="00BB3791" w:rsidRDefault="00CD4060" w:rsidP="00F85F01">
      <w:pPr>
        <w:spacing w:line="240" w:lineRule="auto"/>
        <w:rPr>
          <w:rFonts w:ascii="Garamond" w:hAnsi="Garamond"/>
          <w:color w:val="000000" w:themeColor="text1"/>
          <w:lang w:val="en-US"/>
        </w:rPr>
      </w:pPr>
    </w:p>
    <w:sdt>
      <w:sdtPr>
        <w:rPr>
          <w:rFonts w:ascii="Garamond" w:hAnsi="Garamond"/>
          <w:color w:val="000000" w:themeColor="text1"/>
          <w:lang w:val="en-US"/>
        </w:rPr>
        <w:tag w:val="MENDELEY_BIBLIOGRAPHY"/>
        <w:id w:val="405265455"/>
        <w:placeholder>
          <w:docPart w:val="DefaultPlaceholder_-1854013440"/>
        </w:placeholder>
      </w:sdtPr>
      <w:sdtContent>
        <w:p w14:paraId="06AFD3E7" w14:textId="77777777" w:rsidR="00F0598A" w:rsidRPr="00BB3791" w:rsidRDefault="00F0598A" w:rsidP="00F0598A">
          <w:pPr>
            <w:autoSpaceDE w:val="0"/>
            <w:autoSpaceDN w:val="0"/>
            <w:ind w:hanging="641"/>
            <w:divId w:val="1040326540"/>
            <w:rPr>
              <w:rFonts w:ascii="Garamond" w:eastAsia="Times New Roman" w:hAnsi="Garamond"/>
              <w:color w:val="000000" w:themeColor="text1"/>
              <w:sz w:val="24"/>
              <w:szCs w:val="24"/>
              <w:lang w:val="en-US"/>
            </w:rPr>
          </w:pPr>
          <w:r w:rsidRPr="00BB3791">
            <w:rPr>
              <w:rFonts w:ascii="Garamond" w:eastAsia="Times New Roman" w:hAnsi="Garamond"/>
              <w:color w:val="000000" w:themeColor="text1"/>
              <w:lang w:val="en-US"/>
            </w:rPr>
            <w:t xml:space="preserve">1 </w:t>
          </w:r>
          <w:r w:rsidRPr="00BB3791">
            <w:rPr>
              <w:rFonts w:ascii="Garamond" w:eastAsia="Times New Roman" w:hAnsi="Garamond"/>
              <w:color w:val="000000" w:themeColor="text1"/>
              <w:lang w:val="en-US"/>
            </w:rPr>
            <w:tab/>
            <w:t xml:space="preserve">Pedersen CB. The Danish Civil Registration System. </w:t>
          </w:r>
          <w:proofErr w:type="spellStart"/>
          <w:r w:rsidRPr="00BB3791">
            <w:rPr>
              <w:rFonts w:ascii="Garamond" w:eastAsia="Times New Roman" w:hAnsi="Garamond"/>
              <w:i/>
              <w:iCs/>
              <w:color w:val="000000" w:themeColor="text1"/>
              <w:lang w:val="en-US"/>
            </w:rPr>
            <w:t>Scand</w:t>
          </w:r>
          <w:proofErr w:type="spellEnd"/>
          <w:r w:rsidRPr="00BB3791">
            <w:rPr>
              <w:rFonts w:ascii="Garamond" w:eastAsia="Times New Roman" w:hAnsi="Garamond"/>
              <w:i/>
              <w:iCs/>
              <w:color w:val="000000" w:themeColor="text1"/>
              <w:lang w:val="en-US"/>
            </w:rPr>
            <w:t xml:space="preserve"> J Public Health</w:t>
          </w:r>
          <w:r w:rsidRPr="00BB3791">
            <w:rPr>
              <w:rFonts w:ascii="Garamond" w:eastAsia="Times New Roman" w:hAnsi="Garamond"/>
              <w:color w:val="000000" w:themeColor="text1"/>
              <w:lang w:val="en-US"/>
            </w:rPr>
            <w:t xml:space="preserve"> 2011; </w:t>
          </w:r>
          <w:r w:rsidRPr="00BB3791">
            <w:rPr>
              <w:rFonts w:ascii="Garamond" w:eastAsia="Times New Roman" w:hAnsi="Garamond"/>
              <w:b/>
              <w:bCs/>
              <w:color w:val="000000" w:themeColor="text1"/>
              <w:lang w:val="en-US"/>
            </w:rPr>
            <w:t>39</w:t>
          </w:r>
          <w:r w:rsidRPr="00BB3791">
            <w:rPr>
              <w:rFonts w:ascii="Garamond" w:eastAsia="Times New Roman" w:hAnsi="Garamond"/>
              <w:color w:val="000000" w:themeColor="text1"/>
              <w:lang w:val="en-US"/>
            </w:rPr>
            <w:t>: 22–25.</w:t>
          </w:r>
        </w:p>
        <w:p w14:paraId="2260EB95" w14:textId="77777777" w:rsidR="00F0598A" w:rsidRPr="00BB3791" w:rsidRDefault="00F0598A" w:rsidP="00F0598A">
          <w:pPr>
            <w:autoSpaceDE w:val="0"/>
            <w:autoSpaceDN w:val="0"/>
            <w:ind w:hanging="641"/>
            <w:divId w:val="1109475293"/>
            <w:rPr>
              <w:rFonts w:ascii="Garamond" w:eastAsia="Times New Roman" w:hAnsi="Garamond"/>
              <w:color w:val="000000" w:themeColor="text1"/>
            </w:rPr>
          </w:pPr>
          <w:r w:rsidRPr="00BB3791">
            <w:rPr>
              <w:rFonts w:ascii="Garamond" w:eastAsia="Times New Roman" w:hAnsi="Garamond"/>
              <w:color w:val="000000" w:themeColor="text1"/>
              <w:lang w:val="en-US"/>
            </w:rPr>
            <w:t xml:space="preserve">2 </w:t>
          </w:r>
          <w:r w:rsidRPr="00BB3791">
            <w:rPr>
              <w:rFonts w:ascii="Garamond" w:eastAsia="Times New Roman" w:hAnsi="Garamond"/>
              <w:color w:val="000000" w:themeColor="text1"/>
              <w:lang w:val="en-US"/>
            </w:rPr>
            <w:tab/>
            <w:t xml:space="preserve">Pedersen CB, </w:t>
          </w:r>
          <w:proofErr w:type="spellStart"/>
          <w:r w:rsidRPr="00BB3791">
            <w:rPr>
              <w:rFonts w:ascii="Garamond" w:eastAsia="Times New Roman" w:hAnsi="Garamond"/>
              <w:color w:val="000000" w:themeColor="text1"/>
              <w:lang w:val="en-US"/>
            </w:rPr>
            <w:t>Gøtzsche</w:t>
          </w:r>
          <w:proofErr w:type="spellEnd"/>
          <w:r w:rsidRPr="00BB3791">
            <w:rPr>
              <w:rFonts w:ascii="Garamond" w:eastAsia="Times New Roman" w:hAnsi="Garamond"/>
              <w:color w:val="000000" w:themeColor="text1"/>
              <w:lang w:val="en-US"/>
            </w:rPr>
            <w:t xml:space="preserve"> H, </w:t>
          </w:r>
          <w:proofErr w:type="spellStart"/>
          <w:r w:rsidRPr="00BB3791">
            <w:rPr>
              <w:rFonts w:ascii="Garamond" w:eastAsia="Times New Roman" w:hAnsi="Garamond"/>
              <w:color w:val="000000" w:themeColor="text1"/>
              <w:lang w:val="en-US"/>
            </w:rPr>
            <w:t>Møller</w:t>
          </w:r>
          <w:proofErr w:type="spellEnd"/>
          <w:r w:rsidRPr="00BB3791">
            <w:rPr>
              <w:rFonts w:ascii="Garamond" w:eastAsia="Times New Roman" w:hAnsi="Garamond"/>
              <w:color w:val="000000" w:themeColor="text1"/>
              <w:lang w:val="en-US"/>
            </w:rPr>
            <w:t xml:space="preserve"> JO, Mortensen PB. The Danish Civil Registration System. </w:t>
          </w:r>
          <w:r w:rsidRPr="00BB3791">
            <w:rPr>
              <w:rFonts w:ascii="Garamond" w:eastAsia="Times New Roman" w:hAnsi="Garamond"/>
              <w:color w:val="000000" w:themeColor="text1"/>
            </w:rPr>
            <w:t xml:space="preserve">A </w:t>
          </w:r>
          <w:proofErr w:type="spellStart"/>
          <w:r w:rsidRPr="00BB3791">
            <w:rPr>
              <w:rFonts w:ascii="Garamond" w:eastAsia="Times New Roman" w:hAnsi="Garamond"/>
              <w:color w:val="000000" w:themeColor="text1"/>
            </w:rPr>
            <w:t>cohort</w:t>
          </w:r>
          <w:proofErr w:type="spellEnd"/>
          <w:r w:rsidRPr="00BB3791">
            <w:rPr>
              <w:rFonts w:ascii="Garamond" w:eastAsia="Times New Roman" w:hAnsi="Garamond"/>
              <w:color w:val="000000" w:themeColor="text1"/>
            </w:rPr>
            <w:t xml:space="preserve"> of </w:t>
          </w:r>
          <w:proofErr w:type="spellStart"/>
          <w:r w:rsidRPr="00BB3791">
            <w:rPr>
              <w:rFonts w:ascii="Garamond" w:eastAsia="Times New Roman" w:hAnsi="Garamond"/>
              <w:color w:val="000000" w:themeColor="text1"/>
            </w:rPr>
            <w:t>eight</w:t>
          </w:r>
          <w:proofErr w:type="spellEnd"/>
          <w:r w:rsidRPr="00BB3791">
            <w:rPr>
              <w:rFonts w:ascii="Garamond" w:eastAsia="Times New Roman" w:hAnsi="Garamond"/>
              <w:color w:val="000000" w:themeColor="text1"/>
            </w:rPr>
            <w:t xml:space="preserve"> million persons. </w:t>
          </w:r>
          <w:r w:rsidRPr="00BB3791">
            <w:rPr>
              <w:rFonts w:ascii="Garamond" w:eastAsia="Times New Roman" w:hAnsi="Garamond"/>
              <w:i/>
              <w:iCs/>
              <w:color w:val="000000" w:themeColor="text1"/>
            </w:rPr>
            <w:t>Dan Med Bull</w:t>
          </w:r>
          <w:r w:rsidRPr="00BB3791">
            <w:rPr>
              <w:rFonts w:ascii="Garamond" w:eastAsia="Times New Roman" w:hAnsi="Garamond"/>
              <w:color w:val="000000" w:themeColor="text1"/>
            </w:rPr>
            <w:t xml:space="preserve"> 2006; </w:t>
          </w:r>
          <w:r w:rsidRPr="00BB3791">
            <w:rPr>
              <w:rFonts w:ascii="Garamond" w:eastAsia="Times New Roman" w:hAnsi="Garamond"/>
              <w:b/>
              <w:bCs/>
              <w:color w:val="000000" w:themeColor="text1"/>
            </w:rPr>
            <w:t>53</w:t>
          </w:r>
          <w:r w:rsidRPr="00BB3791">
            <w:rPr>
              <w:rFonts w:ascii="Garamond" w:eastAsia="Times New Roman" w:hAnsi="Garamond"/>
              <w:color w:val="000000" w:themeColor="text1"/>
            </w:rPr>
            <w:t>: 441–449.</w:t>
          </w:r>
        </w:p>
        <w:p w14:paraId="7B3A827A" w14:textId="77777777" w:rsidR="00F0598A" w:rsidRPr="00BB3791" w:rsidRDefault="00F0598A" w:rsidP="00F0598A">
          <w:pPr>
            <w:autoSpaceDE w:val="0"/>
            <w:autoSpaceDN w:val="0"/>
            <w:ind w:hanging="641"/>
            <w:divId w:val="755908419"/>
            <w:rPr>
              <w:rFonts w:ascii="Garamond" w:eastAsia="Times New Roman" w:hAnsi="Garamond"/>
              <w:color w:val="000000" w:themeColor="text1"/>
            </w:rPr>
          </w:pPr>
          <w:r w:rsidRPr="00BB3791">
            <w:rPr>
              <w:rFonts w:ascii="Garamond" w:eastAsia="Times New Roman" w:hAnsi="Garamond"/>
              <w:color w:val="000000" w:themeColor="text1"/>
            </w:rPr>
            <w:t xml:space="preserve">3 </w:t>
          </w:r>
          <w:r w:rsidRPr="00BB3791">
            <w:rPr>
              <w:rFonts w:ascii="Garamond" w:eastAsia="Times New Roman" w:hAnsi="Garamond"/>
              <w:color w:val="000000" w:themeColor="text1"/>
            </w:rPr>
            <w:tab/>
          </w:r>
          <w:proofErr w:type="spellStart"/>
          <w:r w:rsidRPr="00BB3791">
            <w:rPr>
              <w:rFonts w:ascii="Garamond" w:eastAsia="Times New Roman" w:hAnsi="Garamond"/>
              <w:color w:val="000000" w:themeColor="text1"/>
            </w:rPr>
            <w:t>Østgård</w:t>
          </w:r>
          <w:proofErr w:type="spellEnd"/>
          <w:r w:rsidRPr="00BB3791">
            <w:rPr>
              <w:rFonts w:ascii="Garamond" w:eastAsia="Times New Roman" w:hAnsi="Garamond"/>
              <w:color w:val="000000" w:themeColor="text1"/>
            </w:rPr>
            <w:t xml:space="preserve"> LSG, Nørgaard JM, Raaschou-Jensen KK, Pedersen RS, Rønnov-Jessen D, Pedersen PT </w:t>
          </w:r>
          <w:r w:rsidRPr="00BB3791">
            <w:rPr>
              <w:rFonts w:ascii="Garamond" w:eastAsia="Times New Roman" w:hAnsi="Garamond"/>
              <w:i/>
              <w:iCs/>
              <w:color w:val="000000" w:themeColor="text1"/>
            </w:rPr>
            <w:t>et al.</w:t>
          </w:r>
          <w:r w:rsidRPr="00BB3791">
            <w:rPr>
              <w:rFonts w:ascii="Garamond" w:eastAsia="Times New Roman" w:hAnsi="Garamond"/>
              <w:color w:val="000000" w:themeColor="text1"/>
            </w:rPr>
            <w:t xml:space="preserve"> The Danish national </w:t>
          </w:r>
          <w:proofErr w:type="spellStart"/>
          <w:r w:rsidRPr="00BB3791">
            <w:rPr>
              <w:rFonts w:ascii="Garamond" w:eastAsia="Times New Roman" w:hAnsi="Garamond"/>
              <w:color w:val="000000" w:themeColor="text1"/>
            </w:rPr>
            <w:t>acute</w:t>
          </w:r>
          <w:proofErr w:type="spellEnd"/>
          <w:r w:rsidRPr="00BB3791">
            <w:rPr>
              <w:rFonts w:ascii="Garamond" w:eastAsia="Times New Roman" w:hAnsi="Garamond"/>
              <w:color w:val="000000" w:themeColor="text1"/>
            </w:rPr>
            <w:t xml:space="preserve"> </w:t>
          </w:r>
          <w:proofErr w:type="spellStart"/>
          <w:r w:rsidRPr="00BB3791">
            <w:rPr>
              <w:rFonts w:ascii="Garamond" w:eastAsia="Times New Roman" w:hAnsi="Garamond"/>
              <w:color w:val="000000" w:themeColor="text1"/>
            </w:rPr>
            <w:t>leukemia</w:t>
          </w:r>
          <w:proofErr w:type="spellEnd"/>
          <w:r w:rsidRPr="00BB3791">
            <w:rPr>
              <w:rFonts w:ascii="Garamond" w:eastAsia="Times New Roman" w:hAnsi="Garamond"/>
              <w:color w:val="000000" w:themeColor="text1"/>
            </w:rPr>
            <w:t xml:space="preserve"> </w:t>
          </w:r>
          <w:proofErr w:type="spellStart"/>
          <w:r w:rsidRPr="00BB3791">
            <w:rPr>
              <w:rFonts w:ascii="Garamond" w:eastAsia="Times New Roman" w:hAnsi="Garamond"/>
              <w:color w:val="000000" w:themeColor="text1"/>
            </w:rPr>
            <w:t>registry</w:t>
          </w:r>
          <w:proofErr w:type="spellEnd"/>
          <w:r w:rsidRPr="00BB3791">
            <w:rPr>
              <w:rFonts w:ascii="Garamond" w:eastAsia="Times New Roman" w:hAnsi="Garamond"/>
              <w:color w:val="000000" w:themeColor="text1"/>
            </w:rPr>
            <w:t xml:space="preserve">. </w:t>
          </w:r>
          <w:proofErr w:type="spellStart"/>
          <w:r w:rsidRPr="00BB3791">
            <w:rPr>
              <w:rFonts w:ascii="Garamond" w:eastAsia="Times New Roman" w:hAnsi="Garamond"/>
              <w:i/>
              <w:iCs/>
              <w:color w:val="000000" w:themeColor="text1"/>
            </w:rPr>
            <w:t>Clin</w:t>
          </w:r>
          <w:proofErr w:type="spellEnd"/>
          <w:r w:rsidRPr="00BB3791">
            <w:rPr>
              <w:rFonts w:ascii="Garamond" w:eastAsia="Times New Roman" w:hAnsi="Garamond"/>
              <w:i/>
              <w:iCs/>
              <w:color w:val="000000" w:themeColor="text1"/>
            </w:rPr>
            <w:t xml:space="preserve"> </w:t>
          </w:r>
          <w:proofErr w:type="spellStart"/>
          <w:r w:rsidRPr="00BB3791">
            <w:rPr>
              <w:rFonts w:ascii="Garamond" w:eastAsia="Times New Roman" w:hAnsi="Garamond"/>
              <w:i/>
              <w:iCs/>
              <w:color w:val="000000" w:themeColor="text1"/>
            </w:rPr>
            <w:t>Epidemiol</w:t>
          </w:r>
          <w:proofErr w:type="spellEnd"/>
          <w:r w:rsidRPr="00BB3791">
            <w:rPr>
              <w:rFonts w:ascii="Garamond" w:eastAsia="Times New Roman" w:hAnsi="Garamond"/>
              <w:color w:val="000000" w:themeColor="text1"/>
            </w:rPr>
            <w:t xml:space="preserve"> 2016; </w:t>
          </w:r>
          <w:r w:rsidRPr="00BB3791">
            <w:rPr>
              <w:rFonts w:ascii="Garamond" w:eastAsia="Times New Roman" w:hAnsi="Garamond"/>
              <w:b/>
              <w:bCs/>
              <w:color w:val="000000" w:themeColor="text1"/>
            </w:rPr>
            <w:t>8</w:t>
          </w:r>
          <w:r w:rsidRPr="00BB3791">
            <w:rPr>
              <w:rFonts w:ascii="Garamond" w:eastAsia="Times New Roman" w:hAnsi="Garamond"/>
              <w:color w:val="000000" w:themeColor="text1"/>
            </w:rPr>
            <w:t>: 553–560.</w:t>
          </w:r>
        </w:p>
        <w:p w14:paraId="0EAC69E0" w14:textId="77777777" w:rsidR="00F0598A" w:rsidRPr="00BB3791" w:rsidRDefault="00F0598A" w:rsidP="00F0598A">
          <w:pPr>
            <w:autoSpaceDE w:val="0"/>
            <w:autoSpaceDN w:val="0"/>
            <w:ind w:hanging="641"/>
            <w:divId w:val="284118863"/>
            <w:rPr>
              <w:rFonts w:ascii="Garamond" w:eastAsia="Times New Roman" w:hAnsi="Garamond"/>
              <w:color w:val="000000" w:themeColor="text1"/>
              <w:lang w:val="en-US"/>
            </w:rPr>
          </w:pPr>
          <w:r w:rsidRPr="00BB3791">
            <w:rPr>
              <w:rFonts w:ascii="Garamond" w:eastAsia="Times New Roman" w:hAnsi="Garamond"/>
              <w:color w:val="000000" w:themeColor="text1"/>
            </w:rPr>
            <w:t xml:space="preserve">4 </w:t>
          </w:r>
          <w:r w:rsidRPr="00BB3791">
            <w:rPr>
              <w:rFonts w:ascii="Garamond" w:eastAsia="Times New Roman" w:hAnsi="Garamond"/>
              <w:color w:val="000000" w:themeColor="text1"/>
            </w:rPr>
            <w:tab/>
          </w:r>
          <w:proofErr w:type="spellStart"/>
          <w:r w:rsidRPr="00BB3791">
            <w:rPr>
              <w:rFonts w:ascii="Garamond" w:eastAsia="Times New Roman" w:hAnsi="Garamond"/>
              <w:color w:val="000000" w:themeColor="text1"/>
            </w:rPr>
            <w:t>Østgård</w:t>
          </w:r>
          <w:proofErr w:type="spellEnd"/>
          <w:r w:rsidRPr="00BB3791">
            <w:rPr>
              <w:rFonts w:ascii="Garamond" w:eastAsia="Times New Roman" w:hAnsi="Garamond"/>
              <w:color w:val="000000" w:themeColor="text1"/>
            </w:rPr>
            <w:t xml:space="preserve"> LSG, Nørgaard JM, Severinsen MT, Sengeløv H, Friis L, Jensen MK </w:t>
          </w:r>
          <w:r w:rsidRPr="00BB3791">
            <w:rPr>
              <w:rFonts w:ascii="Garamond" w:eastAsia="Times New Roman" w:hAnsi="Garamond"/>
              <w:i/>
              <w:iCs/>
              <w:color w:val="000000" w:themeColor="text1"/>
            </w:rPr>
            <w:t>et al.</w:t>
          </w:r>
          <w:r w:rsidRPr="00BB3791">
            <w:rPr>
              <w:rFonts w:ascii="Garamond" w:eastAsia="Times New Roman" w:hAnsi="Garamond"/>
              <w:color w:val="000000" w:themeColor="text1"/>
            </w:rPr>
            <w:t xml:space="preserve"> </w:t>
          </w:r>
          <w:r w:rsidRPr="00BB3791">
            <w:rPr>
              <w:rFonts w:ascii="Garamond" w:eastAsia="Times New Roman" w:hAnsi="Garamond"/>
              <w:color w:val="000000" w:themeColor="text1"/>
              <w:lang w:val="en-US"/>
            </w:rPr>
            <w:t xml:space="preserve">Data quality in the Danish National acute Leukemia Registry: A hematological data resource. </w:t>
          </w:r>
          <w:r w:rsidRPr="00BB3791">
            <w:rPr>
              <w:rFonts w:ascii="Garamond" w:eastAsia="Times New Roman" w:hAnsi="Garamond"/>
              <w:i/>
              <w:iCs/>
              <w:color w:val="000000" w:themeColor="text1"/>
              <w:lang w:val="en-US"/>
            </w:rPr>
            <w:t>Clin Epidemiol</w:t>
          </w:r>
          <w:r w:rsidRPr="00BB3791">
            <w:rPr>
              <w:rFonts w:ascii="Garamond" w:eastAsia="Times New Roman" w:hAnsi="Garamond"/>
              <w:color w:val="000000" w:themeColor="text1"/>
              <w:lang w:val="en-US"/>
            </w:rPr>
            <w:t xml:space="preserve"> 2013; </w:t>
          </w:r>
          <w:r w:rsidRPr="00BB3791">
            <w:rPr>
              <w:rFonts w:ascii="Garamond" w:eastAsia="Times New Roman" w:hAnsi="Garamond"/>
              <w:b/>
              <w:bCs/>
              <w:color w:val="000000" w:themeColor="text1"/>
              <w:lang w:val="en-US"/>
            </w:rPr>
            <w:t>5</w:t>
          </w:r>
          <w:r w:rsidRPr="00BB3791">
            <w:rPr>
              <w:rFonts w:ascii="Garamond" w:eastAsia="Times New Roman" w:hAnsi="Garamond"/>
              <w:color w:val="000000" w:themeColor="text1"/>
              <w:lang w:val="en-US"/>
            </w:rPr>
            <w:t>: 335–344.</w:t>
          </w:r>
        </w:p>
        <w:p w14:paraId="07666AE7" w14:textId="77777777" w:rsidR="00F0598A" w:rsidRPr="00BB3791" w:rsidRDefault="00F0598A" w:rsidP="00F0598A">
          <w:pPr>
            <w:autoSpaceDE w:val="0"/>
            <w:autoSpaceDN w:val="0"/>
            <w:ind w:hanging="641"/>
            <w:divId w:val="527571655"/>
            <w:rPr>
              <w:rFonts w:ascii="Garamond" w:eastAsia="Times New Roman" w:hAnsi="Garamond"/>
              <w:color w:val="000000" w:themeColor="text1"/>
              <w:lang w:val="en-US"/>
            </w:rPr>
          </w:pPr>
          <w:r w:rsidRPr="00BB3791">
            <w:rPr>
              <w:rFonts w:ascii="Garamond" w:eastAsia="Times New Roman" w:hAnsi="Garamond"/>
              <w:color w:val="000000" w:themeColor="text1"/>
              <w:lang w:val="en-US"/>
            </w:rPr>
            <w:t xml:space="preserve">5 </w:t>
          </w:r>
          <w:r w:rsidRPr="00BB3791">
            <w:rPr>
              <w:rFonts w:ascii="Garamond" w:eastAsia="Times New Roman" w:hAnsi="Garamond"/>
              <w:color w:val="000000" w:themeColor="text1"/>
              <w:lang w:val="en-US"/>
            </w:rPr>
            <w:tab/>
            <w:t xml:space="preserve">Toft N, </w:t>
          </w:r>
          <w:proofErr w:type="spellStart"/>
          <w:r w:rsidRPr="00BB3791">
            <w:rPr>
              <w:rFonts w:ascii="Garamond" w:eastAsia="Times New Roman" w:hAnsi="Garamond"/>
              <w:color w:val="000000" w:themeColor="text1"/>
              <w:lang w:val="en-US"/>
            </w:rPr>
            <w:t>Schmiegelow</w:t>
          </w:r>
          <w:proofErr w:type="spellEnd"/>
          <w:r w:rsidRPr="00BB3791">
            <w:rPr>
              <w:rFonts w:ascii="Garamond" w:eastAsia="Times New Roman" w:hAnsi="Garamond"/>
              <w:color w:val="000000" w:themeColor="text1"/>
              <w:lang w:val="en-US"/>
            </w:rPr>
            <w:t xml:space="preserve"> K, </w:t>
          </w:r>
          <w:proofErr w:type="spellStart"/>
          <w:r w:rsidRPr="00BB3791">
            <w:rPr>
              <w:rFonts w:ascii="Garamond" w:eastAsia="Times New Roman" w:hAnsi="Garamond"/>
              <w:color w:val="000000" w:themeColor="text1"/>
              <w:lang w:val="en-US"/>
            </w:rPr>
            <w:t>Klausen</w:t>
          </w:r>
          <w:proofErr w:type="spellEnd"/>
          <w:r w:rsidRPr="00BB3791">
            <w:rPr>
              <w:rFonts w:ascii="Garamond" w:eastAsia="Times New Roman" w:hAnsi="Garamond"/>
              <w:color w:val="000000" w:themeColor="text1"/>
              <w:lang w:val="en-US"/>
            </w:rPr>
            <w:t xml:space="preserve"> TW, </w:t>
          </w:r>
          <w:proofErr w:type="spellStart"/>
          <w:r w:rsidRPr="00BB3791">
            <w:rPr>
              <w:rFonts w:ascii="Garamond" w:eastAsia="Times New Roman" w:hAnsi="Garamond"/>
              <w:color w:val="000000" w:themeColor="text1"/>
              <w:lang w:val="en-US"/>
            </w:rPr>
            <w:t>Birgens</w:t>
          </w:r>
          <w:proofErr w:type="spellEnd"/>
          <w:r w:rsidRPr="00BB3791">
            <w:rPr>
              <w:rFonts w:ascii="Garamond" w:eastAsia="Times New Roman" w:hAnsi="Garamond"/>
              <w:color w:val="000000" w:themeColor="text1"/>
              <w:lang w:val="en-US"/>
            </w:rPr>
            <w:t xml:space="preserve"> H. Adult acute lymphoblastic </w:t>
          </w:r>
          <w:proofErr w:type="spellStart"/>
          <w:r w:rsidRPr="00BB3791">
            <w:rPr>
              <w:rFonts w:ascii="Garamond" w:eastAsia="Times New Roman" w:hAnsi="Garamond"/>
              <w:color w:val="000000" w:themeColor="text1"/>
              <w:lang w:val="en-US"/>
            </w:rPr>
            <w:t>leukaemia</w:t>
          </w:r>
          <w:proofErr w:type="spellEnd"/>
          <w:r w:rsidRPr="00BB3791">
            <w:rPr>
              <w:rFonts w:ascii="Garamond" w:eastAsia="Times New Roman" w:hAnsi="Garamond"/>
              <w:color w:val="000000" w:themeColor="text1"/>
              <w:lang w:val="en-US"/>
            </w:rPr>
            <w:t xml:space="preserve"> in Denmark. A national population-based retrospective study on acute lymphoblastic </w:t>
          </w:r>
          <w:proofErr w:type="spellStart"/>
          <w:r w:rsidRPr="00BB3791">
            <w:rPr>
              <w:rFonts w:ascii="Garamond" w:eastAsia="Times New Roman" w:hAnsi="Garamond"/>
              <w:color w:val="000000" w:themeColor="text1"/>
              <w:lang w:val="en-US"/>
            </w:rPr>
            <w:t>leukaemia</w:t>
          </w:r>
          <w:proofErr w:type="spellEnd"/>
          <w:r w:rsidRPr="00BB3791">
            <w:rPr>
              <w:rFonts w:ascii="Garamond" w:eastAsia="Times New Roman" w:hAnsi="Garamond"/>
              <w:color w:val="000000" w:themeColor="text1"/>
              <w:lang w:val="en-US"/>
            </w:rPr>
            <w:t xml:space="preserve"> in Denmark 1998-2008. </w:t>
          </w:r>
          <w:r w:rsidRPr="00BB3791">
            <w:rPr>
              <w:rFonts w:ascii="Garamond" w:eastAsia="Times New Roman" w:hAnsi="Garamond"/>
              <w:i/>
              <w:iCs/>
              <w:color w:val="000000" w:themeColor="text1"/>
              <w:lang w:val="en-US"/>
            </w:rPr>
            <w:t xml:space="preserve">Br J </w:t>
          </w:r>
          <w:proofErr w:type="spellStart"/>
          <w:r w:rsidRPr="00BB3791">
            <w:rPr>
              <w:rFonts w:ascii="Garamond" w:eastAsia="Times New Roman" w:hAnsi="Garamond"/>
              <w:i/>
              <w:iCs/>
              <w:color w:val="000000" w:themeColor="text1"/>
              <w:lang w:val="en-US"/>
            </w:rPr>
            <w:t>Haematol</w:t>
          </w:r>
          <w:proofErr w:type="spellEnd"/>
          <w:r w:rsidRPr="00BB3791">
            <w:rPr>
              <w:rFonts w:ascii="Garamond" w:eastAsia="Times New Roman" w:hAnsi="Garamond"/>
              <w:color w:val="000000" w:themeColor="text1"/>
              <w:lang w:val="en-US"/>
            </w:rPr>
            <w:t xml:space="preserve"> 2012; </w:t>
          </w:r>
          <w:r w:rsidRPr="00BB3791">
            <w:rPr>
              <w:rFonts w:ascii="Garamond" w:eastAsia="Times New Roman" w:hAnsi="Garamond"/>
              <w:b/>
              <w:bCs/>
              <w:color w:val="000000" w:themeColor="text1"/>
              <w:lang w:val="en-US"/>
            </w:rPr>
            <w:t>157</w:t>
          </w:r>
          <w:r w:rsidRPr="00BB3791">
            <w:rPr>
              <w:rFonts w:ascii="Garamond" w:eastAsia="Times New Roman" w:hAnsi="Garamond"/>
              <w:color w:val="000000" w:themeColor="text1"/>
              <w:lang w:val="en-US"/>
            </w:rPr>
            <w:t>: 97–104.</w:t>
          </w:r>
        </w:p>
        <w:p w14:paraId="7F1FE00E" w14:textId="77777777" w:rsidR="00F0598A" w:rsidRPr="00BB3791" w:rsidRDefault="00F0598A" w:rsidP="00F0598A">
          <w:pPr>
            <w:autoSpaceDE w:val="0"/>
            <w:autoSpaceDN w:val="0"/>
            <w:ind w:hanging="641"/>
            <w:divId w:val="1194688227"/>
            <w:rPr>
              <w:rFonts w:ascii="Garamond" w:eastAsia="Times New Roman" w:hAnsi="Garamond"/>
              <w:color w:val="000000" w:themeColor="text1"/>
              <w:lang w:val="en-US"/>
            </w:rPr>
          </w:pPr>
          <w:r w:rsidRPr="00BB3791">
            <w:rPr>
              <w:rFonts w:ascii="Garamond" w:eastAsia="Times New Roman" w:hAnsi="Garamond"/>
              <w:color w:val="000000" w:themeColor="text1"/>
              <w:lang w:val="en-US"/>
            </w:rPr>
            <w:t xml:space="preserve">6 </w:t>
          </w:r>
          <w:r w:rsidRPr="00BB3791">
            <w:rPr>
              <w:rFonts w:ascii="Garamond" w:eastAsia="Times New Roman" w:hAnsi="Garamond"/>
              <w:color w:val="000000" w:themeColor="text1"/>
              <w:lang w:val="en-US"/>
            </w:rPr>
            <w:tab/>
          </w:r>
          <w:proofErr w:type="spellStart"/>
          <w:r w:rsidRPr="00BB3791">
            <w:rPr>
              <w:rFonts w:ascii="Garamond" w:eastAsia="Times New Roman" w:hAnsi="Garamond"/>
              <w:color w:val="000000" w:themeColor="text1"/>
              <w:lang w:val="en-US"/>
            </w:rPr>
            <w:t>Bjerregaard</w:t>
          </w:r>
          <w:proofErr w:type="spellEnd"/>
          <w:r w:rsidRPr="00BB3791">
            <w:rPr>
              <w:rFonts w:ascii="Garamond" w:eastAsia="Times New Roman" w:hAnsi="Garamond"/>
              <w:color w:val="000000" w:themeColor="text1"/>
              <w:lang w:val="en-US"/>
            </w:rPr>
            <w:t xml:space="preserve"> B, Larsen OB. The Danish Pathology Register. </w:t>
          </w:r>
          <w:proofErr w:type="spellStart"/>
          <w:r w:rsidRPr="00BB3791">
            <w:rPr>
              <w:rFonts w:ascii="Garamond" w:eastAsia="Times New Roman" w:hAnsi="Garamond"/>
              <w:i/>
              <w:iCs/>
              <w:color w:val="000000" w:themeColor="text1"/>
              <w:lang w:val="en-US"/>
            </w:rPr>
            <w:t>Scand</w:t>
          </w:r>
          <w:proofErr w:type="spellEnd"/>
          <w:r w:rsidRPr="00BB3791">
            <w:rPr>
              <w:rFonts w:ascii="Garamond" w:eastAsia="Times New Roman" w:hAnsi="Garamond"/>
              <w:i/>
              <w:iCs/>
              <w:color w:val="000000" w:themeColor="text1"/>
              <w:lang w:val="en-US"/>
            </w:rPr>
            <w:t xml:space="preserve"> J Public Health</w:t>
          </w:r>
          <w:r w:rsidRPr="00BB3791">
            <w:rPr>
              <w:rFonts w:ascii="Garamond" w:eastAsia="Times New Roman" w:hAnsi="Garamond"/>
              <w:color w:val="000000" w:themeColor="text1"/>
              <w:lang w:val="en-US"/>
            </w:rPr>
            <w:t xml:space="preserve"> 2011; </w:t>
          </w:r>
          <w:r w:rsidRPr="00BB3791">
            <w:rPr>
              <w:rFonts w:ascii="Garamond" w:eastAsia="Times New Roman" w:hAnsi="Garamond"/>
              <w:b/>
              <w:bCs/>
              <w:color w:val="000000" w:themeColor="text1"/>
              <w:lang w:val="en-US"/>
            </w:rPr>
            <w:t>39</w:t>
          </w:r>
          <w:r w:rsidRPr="00BB3791">
            <w:rPr>
              <w:rFonts w:ascii="Garamond" w:eastAsia="Times New Roman" w:hAnsi="Garamond"/>
              <w:color w:val="000000" w:themeColor="text1"/>
              <w:lang w:val="en-US"/>
            </w:rPr>
            <w:t>: 72–74.</w:t>
          </w:r>
        </w:p>
        <w:p w14:paraId="04E36583" w14:textId="77777777" w:rsidR="00F0598A" w:rsidRPr="00BB3791" w:rsidRDefault="00F0598A" w:rsidP="00F0598A">
          <w:pPr>
            <w:autoSpaceDE w:val="0"/>
            <w:autoSpaceDN w:val="0"/>
            <w:ind w:hanging="641"/>
            <w:divId w:val="1788116874"/>
            <w:rPr>
              <w:rFonts w:ascii="Garamond" w:eastAsia="Times New Roman" w:hAnsi="Garamond"/>
              <w:color w:val="000000" w:themeColor="text1"/>
              <w:lang w:val="en-US"/>
            </w:rPr>
          </w:pPr>
          <w:r w:rsidRPr="00BB3791">
            <w:rPr>
              <w:rFonts w:ascii="Garamond" w:eastAsia="Times New Roman" w:hAnsi="Garamond"/>
              <w:color w:val="000000" w:themeColor="text1"/>
              <w:lang w:val="en-US"/>
            </w:rPr>
            <w:t xml:space="preserve">7 </w:t>
          </w:r>
          <w:r w:rsidRPr="00BB3791">
            <w:rPr>
              <w:rFonts w:ascii="Garamond" w:eastAsia="Times New Roman" w:hAnsi="Garamond"/>
              <w:color w:val="000000" w:themeColor="text1"/>
              <w:lang w:val="en-US"/>
            </w:rPr>
            <w:tab/>
          </w:r>
          <w:proofErr w:type="spellStart"/>
          <w:r w:rsidRPr="00BB3791">
            <w:rPr>
              <w:rFonts w:ascii="Garamond" w:eastAsia="Times New Roman" w:hAnsi="Garamond"/>
              <w:color w:val="000000" w:themeColor="text1"/>
              <w:lang w:val="en-US"/>
            </w:rPr>
            <w:t>Gjerstorff</w:t>
          </w:r>
          <w:proofErr w:type="spellEnd"/>
          <w:r w:rsidRPr="00BB3791">
            <w:rPr>
              <w:rFonts w:ascii="Garamond" w:eastAsia="Times New Roman" w:hAnsi="Garamond"/>
              <w:color w:val="000000" w:themeColor="text1"/>
              <w:lang w:val="en-US"/>
            </w:rPr>
            <w:t xml:space="preserve"> ML. The Danish Cancer Registry. </w:t>
          </w:r>
          <w:proofErr w:type="spellStart"/>
          <w:r w:rsidRPr="00BB3791">
            <w:rPr>
              <w:rFonts w:ascii="Garamond" w:eastAsia="Times New Roman" w:hAnsi="Garamond"/>
              <w:i/>
              <w:iCs/>
              <w:color w:val="000000" w:themeColor="text1"/>
              <w:lang w:val="en-US"/>
            </w:rPr>
            <w:t>Scand</w:t>
          </w:r>
          <w:proofErr w:type="spellEnd"/>
          <w:r w:rsidRPr="00BB3791">
            <w:rPr>
              <w:rFonts w:ascii="Garamond" w:eastAsia="Times New Roman" w:hAnsi="Garamond"/>
              <w:i/>
              <w:iCs/>
              <w:color w:val="000000" w:themeColor="text1"/>
              <w:lang w:val="en-US"/>
            </w:rPr>
            <w:t xml:space="preserve"> J Public Health</w:t>
          </w:r>
          <w:r w:rsidRPr="00BB3791">
            <w:rPr>
              <w:rFonts w:ascii="Garamond" w:eastAsia="Times New Roman" w:hAnsi="Garamond"/>
              <w:color w:val="000000" w:themeColor="text1"/>
              <w:lang w:val="en-US"/>
            </w:rPr>
            <w:t xml:space="preserve"> 2011; </w:t>
          </w:r>
          <w:r w:rsidRPr="00BB3791">
            <w:rPr>
              <w:rFonts w:ascii="Garamond" w:eastAsia="Times New Roman" w:hAnsi="Garamond"/>
              <w:b/>
              <w:bCs/>
              <w:color w:val="000000" w:themeColor="text1"/>
              <w:lang w:val="en-US"/>
            </w:rPr>
            <w:t>39</w:t>
          </w:r>
          <w:r w:rsidRPr="00BB3791">
            <w:rPr>
              <w:rFonts w:ascii="Garamond" w:eastAsia="Times New Roman" w:hAnsi="Garamond"/>
              <w:color w:val="000000" w:themeColor="text1"/>
              <w:lang w:val="en-US"/>
            </w:rPr>
            <w:t>: 42–45.</w:t>
          </w:r>
        </w:p>
        <w:p w14:paraId="22B9FFC6" w14:textId="77777777" w:rsidR="00F0598A" w:rsidRPr="00BB3791" w:rsidRDefault="00F0598A" w:rsidP="00F0598A">
          <w:pPr>
            <w:autoSpaceDE w:val="0"/>
            <w:autoSpaceDN w:val="0"/>
            <w:ind w:hanging="641"/>
            <w:divId w:val="2121217175"/>
            <w:rPr>
              <w:rFonts w:ascii="Garamond" w:eastAsia="Times New Roman" w:hAnsi="Garamond"/>
              <w:color w:val="000000" w:themeColor="text1"/>
              <w:lang w:val="en-US"/>
            </w:rPr>
          </w:pPr>
          <w:r w:rsidRPr="00BB3791">
            <w:rPr>
              <w:rFonts w:ascii="Garamond" w:eastAsia="Times New Roman" w:hAnsi="Garamond"/>
              <w:color w:val="000000" w:themeColor="text1"/>
            </w:rPr>
            <w:t xml:space="preserve">8 </w:t>
          </w:r>
          <w:r w:rsidRPr="00BB3791">
            <w:rPr>
              <w:rFonts w:ascii="Garamond" w:eastAsia="Times New Roman" w:hAnsi="Garamond"/>
              <w:color w:val="000000" w:themeColor="text1"/>
            </w:rPr>
            <w:tab/>
          </w:r>
          <w:proofErr w:type="spellStart"/>
          <w:r w:rsidRPr="00BB3791">
            <w:rPr>
              <w:rFonts w:ascii="Garamond" w:eastAsia="Times New Roman" w:hAnsi="Garamond"/>
              <w:color w:val="000000" w:themeColor="text1"/>
            </w:rPr>
            <w:t>Kantarjian</w:t>
          </w:r>
          <w:proofErr w:type="spellEnd"/>
          <w:r w:rsidRPr="00BB3791">
            <w:rPr>
              <w:rFonts w:ascii="Garamond" w:eastAsia="Times New Roman" w:hAnsi="Garamond"/>
              <w:color w:val="000000" w:themeColor="text1"/>
            </w:rPr>
            <w:t xml:space="preserve"> HM, O’Brien S, Smith TL, Cortes J, </w:t>
          </w:r>
          <w:proofErr w:type="spellStart"/>
          <w:r w:rsidRPr="00BB3791">
            <w:rPr>
              <w:rFonts w:ascii="Garamond" w:eastAsia="Times New Roman" w:hAnsi="Garamond"/>
              <w:color w:val="000000" w:themeColor="text1"/>
            </w:rPr>
            <w:t>Giles</w:t>
          </w:r>
          <w:proofErr w:type="spellEnd"/>
          <w:r w:rsidRPr="00BB3791">
            <w:rPr>
              <w:rFonts w:ascii="Garamond" w:eastAsia="Times New Roman" w:hAnsi="Garamond"/>
              <w:color w:val="000000" w:themeColor="text1"/>
            </w:rPr>
            <w:t xml:space="preserve"> FJ, </w:t>
          </w:r>
          <w:proofErr w:type="spellStart"/>
          <w:r w:rsidRPr="00BB3791">
            <w:rPr>
              <w:rFonts w:ascii="Garamond" w:eastAsia="Times New Roman" w:hAnsi="Garamond"/>
              <w:color w:val="000000" w:themeColor="text1"/>
            </w:rPr>
            <w:t>Beran</w:t>
          </w:r>
          <w:proofErr w:type="spellEnd"/>
          <w:r w:rsidRPr="00BB3791">
            <w:rPr>
              <w:rFonts w:ascii="Garamond" w:eastAsia="Times New Roman" w:hAnsi="Garamond"/>
              <w:color w:val="000000" w:themeColor="text1"/>
            </w:rPr>
            <w:t xml:space="preserve"> M </w:t>
          </w:r>
          <w:r w:rsidRPr="00BB3791">
            <w:rPr>
              <w:rFonts w:ascii="Garamond" w:eastAsia="Times New Roman" w:hAnsi="Garamond"/>
              <w:i/>
              <w:iCs/>
              <w:color w:val="000000" w:themeColor="text1"/>
            </w:rPr>
            <w:t>et al.</w:t>
          </w:r>
          <w:r w:rsidRPr="00BB3791">
            <w:rPr>
              <w:rFonts w:ascii="Garamond" w:eastAsia="Times New Roman" w:hAnsi="Garamond"/>
              <w:color w:val="000000" w:themeColor="text1"/>
            </w:rPr>
            <w:t xml:space="preserve"> </w:t>
          </w:r>
          <w:r w:rsidRPr="00BB3791">
            <w:rPr>
              <w:rFonts w:ascii="Garamond" w:eastAsia="Times New Roman" w:hAnsi="Garamond"/>
              <w:color w:val="000000" w:themeColor="text1"/>
              <w:lang w:val="en-US"/>
            </w:rPr>
            <w:t xml:space="preserve">Results of Treatment With Hyper-CVAD, a Dose-Intensive Regimen, in Adult Acute Lymphocytic Leukemia. </w:t>
          </w:r>
          <w:r w:rsidRPr="00BB3791">
            <w:rPr>
              <w:rFonts w:ascii="Garamond" w:eastAsia="Times New Roman" w:hAnsi="Garamond"/>
              <w:i/>
              <w:iCs/>
              <w:color w:val="000000" w:themeColor="text1"/>
              <w:lang w:val="en-US"/>
            </w:rPr>
            <w:t>Journal of Clinical Oncology</w:t>
          </w:r>
          <w:r w:rsidRPr="00BB3791">
            <w:rPr>
              <w:rFonts w:ascii="Garamond" w:eastAsia="Times New Roman" w:hAnsi="Garamond"/>
              <w:color w:val="000000" w:themeColor="text1"/>
              <w:lang w:val="en-US"/>
            </w:rPr>
            <w:t xml:space="preserve"> 2000; </w:t>
          </w:r>
          <w:r w:rsidRPr="00BB3791">
            <w:rPr>
              <w:rFonts w:ascii="Garamond" w:eastAsia="Times New Roman" w:hAnsi="Garamond"/>
              <w:b/>
              <w:bCs/>
              <w:color w:val="000000" w:themeColor="text1"/>
              <w:lang w:val="en-US"/>
            </w:rPr>
            <w:t>18</w:t>
          </w:r>
          <w:r w:rsidRPr="00BB3791">
            <w:rPr>
              <w:rFonts w:ascii="Garamond" w:eastAsia="Times New Roman" w:hAnsi="Garamond"/>
              <w:color w:val="000000" w:themeColor="text1"/>
              <w:lang w:val="en-US"/>
            </w:rPr>
            <w:t>: 547–547.</w:t>
          </w:r>
        </w:p>
        <w:p w14:paraId="549616B6" w14:textId="77777777" w:rsidR="00F0598A" w:rsidRPr="00BB3791" w:rsidRDefault="00F0598A" w:rsidP="00F0598A">
          <w:pPr>
            <w:autoSpaceDE w:val="0"/>
            <w:autoSpaceDN w:val="0"/>
            <w:ind w:hanging="641"/>
            <w:divId w:val="164325943"/>
            <w:rPr>
              <w:rFonts w:ascii="Garamond" w:eastAsia="Times New Roman" w:hAnsi="Garamond"/>
              <w:color w:val="000000" w:themeColor="text1"/>
            </w:rPr>
          </w:pPr>
          <w:r w:rsidRPr="00BB3791">
            <w:rPr>
              <w:rFonts w:ascii="Garamond" w:eastAsia="Times New Roman" w:hAnsi="Garamond"/>
              <w:color w:val="000000" w:themeColor="text1"/>
              <w:lang w:val="en-US"/>
            </w:rPr>
            <w:t xml:space="preserve">9 </w:t>
          </w:r>
          <w:r w:rsidRPr="00BB3791">
            <w:rPr>
              <w:rFonts w:ascii="Garamond" w:eastAsia="Times New Roman" w:hAnsi="Garamond"/>
              <w:color w:val="000000" w:themeColor="text1"/>
              <w:lang w:val="en-US"/>
            </w:rPr>
            <w:tab/>
            <w:t xml:space="preserve">Toft N, </w:t>
          </w:r>
          <w:proofErr w:type="spellStart"/>
          <w:r w:rsidRPr="00BB3791">
            <w:rPr>
              <w:rFonts w:ascii="Garamond" w:eastAsia="Times New Roman" w:hAnsi="Garamond"/>
              <w:color w:val="000000" w:themeColor="text1"/>
              <w:lang w:val="en-US"/>
            </w:rPr>
            <w:t>Birgens</w:t>
          </w:r>
          <w:proofErr w:type="spellEnd"/>
          <w:r w:rsidRPr="00BB3791">
            <w:rPr>
              <w:rFonts w:ascii="Garamond" w:eastAsia="Times New Roman" w:hAnsi="Garamond"/>
              <w:color w:val="000000" w:themeColor="text1"/>
              <w:lang w:val="en-US"/>
            </w:rPr>
            <w:t xml:space="preserve"> H, </w:t>
          </w:r>
          <w:proofErr w:type="spellStart"/>
          <w:r w:rsidRPr="00BB3791">
            <w:rPr>
              <w:rFonts w:ascii="Garamond" w:eastAsia="Times New Roman" w:hAnsi="Garamond"/>
              <w:color w:val="000000" w:themeColor="text1"/>
              <w:lang w:val="en-US"/>
            </w:rPr>
            <w:t>Abrahamsson</w:t>
          </w:r>
          <w:proofErr w:type="spellEnd"/>
          <w:r w:rsidRPr="00BB3791">
            <w:rPr>
              <w:rFonts w:ascii="Garamond" w:eastAsia="Times New Roman" w:hAnsi="Garamond"/>
              <w:color w:val="000000" w:themeColor="text1"/>
              <w:lang w:val="en-US"/>
            </w:rPr>
            <w:t xml:space="preserve"> J, </w:t>
          </w:r>
          <w:proofErr w:type="spellStart"/>
          <w:r w:rsidRPr="00BB3791">
            <w:rPr>
              <w:rFonts w:ascii="Garamond" w:eastAsia="Times New Roman" w:hAnsi="Garamond"/>
              <w:color w:val="000000" w:themeColor="text1"/>
              <w:lang w:val="en-US"/>
            </w:rPr>
            <w:t>Griškevic</w:t>
          </w:r>
          <w:proofErr w:type="spellEnd"/>
          <w:r w:rsidRPr="00BB3791">
            <w:rPr>
              <w:rFonts w:ascii="Garamond" w:eastAsia="Times New Roman" w:hAnsi="Garamond"/>
              <w:color w:val="000000" w:themeColor="text1"/>
              <w:lang w:val="en-US"/>
            </w:rPr>
            <w:t xml:space="preserve"> </w:t>
          </w:r>
          <w:proofErr w:type="spellStart"/>
          <w:r w:rsidRPr="00BB3791">
            <w:rPr>
              <w:rFonts w:ascii="Garamond" w:eastAsia="Times New Roman" w:hAnsi="Garamond"/>
              <w:color w:val="000000" w:themeColor="text1"/>
              <w:lang w:val="en-US"/>
            </w:rPr>
            <w:t>Ius</w:t>
          </w:r>
          <w:proofErr w:type="spellEnd"/>
          <w:r w:rsidRPr="00BB3791">
            <w:rPr>
              <w:rFonts w:ascii="Garamond" w:eastAsia="Times New Roman" w:hAnsi="Garamond"/>
              <w:color w:val="000000" w:themeColor="text1"/>
              <w:lang w:val="en-US"/>
            </w:rPr>
            <w:t xml:space="preserve"> L, </w:t>
          </w:r>
          <w:proofErr w:type="spellStart"/>
          <w:r w:rsidRPr="00BB3791">
            <w:rPr>
              <w:rFonts w:ascii="Garamond" w:eastAsia="Times New Roman" w:hAnsi="Garamond"/>
              <w:color w:val="000000" w:themeColor="text1"/>
              <w:lang w:val="en-US"/>
            </w:rPr>
            <w:t>Hallböök</w:t>
          </w:r>
          <w:proofErr w:type="spellEnd"/>
          <w:r w:rsidRPr="00BB3791">
            <w:rPr>
              <w:rFonts w:ascii="Garamond" w:eastAsia="Times New Roman" w:hAnsi="Garamond"/>
              <w:color w:val="000000" w:themeColor="text1"/>
              <w:lang w:val="en-US"/>
            </w:rPr>
            <w:t xml:space="preserve"> H, Heyman M </w:t>
          </w:r>
          <w:r w:rsidRPr="00BB3791">
            <w:rPr>
              <w:rFonts w:ascii="Garamond" w:eastAsia="Times New Roman" w:hAnsi="Garamond"/>
              <w:i/>
              <w:iCs/>
              <w:color w:val="000000" w:themeColor="text1"/>
              <w:lang w:val="en-US"/>
            </w:rPr>
            <w:t>et al.</w:t>
          </w:r>
          <w:r w:rsidRPr="00BB3791">
            <w:rPr>
              <w:rFonts w:ascii="Garamond" w:eastAsia="Times New Roman" w:hAnsi="Garamond"/>
              <w:color w:val="000000" w:themeColor="text1"/>
              <w:lang w:val="en-US"/>
            </w:rPr>
            <w:t xml:space="preserve"> Results of NOPHO ALL2008 treatment for patients aged 1-45 years with acute lymphoblastic leukemia. </w:t>
          </w:r>
          <w:proofErr w:type="spellStart"/>
          <w:r w:rsidRPr="00BB3791">
            <w:rPr>
              <w:rFonts w:ascii="Garamond" w:eastAsia="Times New Roman" w:hAnsi="Garamond"/>
              <w:i/>
              <w:iCs/>
              <w:color w:val="000000" w:themeColor="text1"/>
            </w:rPr>
            <w:t>Leukemia</w:t>
          </w:r>
          <w:proofErr w:type="spellEnd"/>
          <w:r w:rsidRPr="00BB3791">
            <w:rPr>
              <w:rFonts w:ascii="Garamond" w:eastAsia="Times New Roman" w:hAnsi="Garamond"/>
              <w:color w:val="000000" w:themeColor="text1"/>
            </w:rPr>
            <w:t xml:space="preserve"> 2018; </w:t>
          </w:r>
          <w:r w:rsidRPr="00BB3791">
            <w:rPr>
              <w:rFonts w:ascii="Garamond" w:eastAsia="Times New Roman" w:hAnsi="Garamond"/>
              <w:b/>
              <w:bCs/>
              <w:color w:val="000000" w:themeColor="text1"/>
            </w:rPr>
            <w:t>32</w:t>
          </w:r>
          <w:r w:rsidRPr="00BB3791">
            <w:rPr>
              <w:rFonts w:ascii="Garamond" w:eastAsia="Times New Roman" w:hAnsi="Garamond"/>
              <w:color w:val="000000" w:themeColor="text1"/>
            </w:rPr>
            <w:t>: 606–615.</w:t>
          </w:r>
        </w:p>
        <w:p w14:paraId="1CF21E69" w14:textId="77777777" w:rsidR="00F0598A" w:rsidRPr="00BB3791" w:rsidRDefault="00F0598A" w:rsidP="00F0598A">
          <w:pPr>
            <w:autoSpaceDE w:val="0"/>
            <w:autoSpaceDN w:val="0"/>
            <w:ind w:hanging="641"/>
            <w:divId w:val="1915775758"/>
            <w:rPr>
              <w:rFonts w:ascii="Garamond" w:eastAsia="Times New Roman" w:hAnsi="Garamond"/>
              <w:color w:val="000000" w:themeColor="text1"/>
              <w:lang w:val="en-US"/>
            </w:rPr>
          </w:pPr>
          <w:r w:rsidRPr="00BB3791">
            <w:rPr>
              <w:rFonts w:ascii="Garamond" w:eastAsia="Times New Roman" w:hAnsi="Garamond"/>
              <w:color w:val="000000" w:themeColor="text1"/>
            </w:rPr>
            <w:t xml:space="preserve">10 </w:t>
          </w:r>
          <w:r w:rsidRPr="00BB3791">
            <w:rPr>
              <w:rFonts w:ascii="Garamond" w:eastAsia="Times New Roman" w:hAnsi="Garamond"/>
              <w:color w:val="000000" w:themeColor="text1"/>
            </w:rPr>
            <w:tab/>
          </w:r>
          <w:proofErr w:type="spellStart"/>
          <w:r w:rsidRPr="00BB3791">
            <w:rPr>
              <w:rFonts w:ascii="Garamond" w:eastAsia="Times New Roman" w:hAnsi="Garamond"/>
              <w:color w:val="000000" w:themeColor="text1"/>
            </w:rPr>
            <w:t>Ellison</w:t>
          </w:r>
          <w:proofErr w:type="spellEnd"/>
          <w:r w:rsidRPr="00BB3791">
            <w:rPr>
              <w:rFonts w:ascii="Garamond" w:eastAsia="Times New Roman" w:hAnsi="Garamond"/>
              <w:color w:val="000000" w:themeColor="text1"/>
            </w:rPr>
            <w:t xml:space="preserve"> RR, Mick R, </w:t>
          </w:r>
          <w:proofErr w:type="spellStart"/>
          <w:r w:rsidRPr="00BB3791">
            <w:rPr>
              <w:rFonts w:ascii="Garamond" w:eastAsia="Times New Roman" w:hAnsi="Garamond"/>
              <w:color w:val="000000" w:themeColor="text1"/>
            </w:rPr>
            <w:t>Cuttner</w:t>
          </w:r>
          <w:proofErr w:type="spellEnd"/>
          <w:r w:rsidRPr="00BB3791">
            <w:rPr>
              <w:rFonts w:ascii="Garamond" w:eastAsia="Times New Roman" w:hAnsi="Garamond"/>
              <w:color w:val="000000" w:themeColor="text1"/>
            </w:rPr>
            <w:t xml:space="preserve"> J, </w:t>
          </w:r>
          <w:proofErr w:type="spellStart"/>
          <w:r w:rsidRPr="00BB3791">
            <w:rPr>
              <w:rFonts w:ascii="Garamond" w:eastAsia="Times New Roman" w:hAnsi="Garamond"/>
              <w:color w:val="000000" w:themeColor="text1"/>
            </w:rPr>
            <w:t>Schiffer</w:t>
          </w:r>
          <w:proofErr w:type="spellEnd"/>
          <w:r w:rsidRPr="00BB3791">
            <w:rPr>
              <w:rFonts w:ascii="Garamond" w:eastAsia="Times New Roman" w:hAnsi="Garamond"/>
              <w:color w:val="000000" w:themeColor="text1"/>
            </w:rPr>
            <w:t xml:space="preserve"> CA, Silver RT, Henderson ES </w:t>
          </w:r>
          <w:r w:rsidRPr="00BB3791">
            <w:rPr>
              <w:rFonts w:ascii="Garamond" w:eastAsia="Times New Roman" w:hAnsi="Garamond"/>
              <w:i/>
              <w:iCs/>
              <w:color w:val="000000" w:themeColor="text1"/>
            </w:rPr>
            <w:t>et al.</w:t>
          </w:r>
          <w:r w:rsidRPr="00BB3791">
            <w:rPr>
              <w:rFonts w:ascii="Garamond" w:eastAsia="Times New Roman" w:hAnsi="Garamond"/>
              <w:color w:val="000000" w:themeColor="text1"/>
            </w:rPr>
            <w:t xml:space="preserve"> </w:t>
          </w:r>
          <w:r w:rsidRPr="00BB3791">
            <w:rPr>
              <w:rFonts w:ascii="Garamond" w:eastAsia="Times New Roman" w:hAnsi="Garamond"/>
              <w:color w:val="000000" w:themeColor="text1"/>
              <w:lang w:val="en-US"/>
            </w:rPr>
            <w:t xml:space="preserve">The effects of postinduction intensification treatment with cytarabine and daunorubicin in adult acute lymphocytic leukemia: a prospective randomized clinical trial by Cancer and Leukemia Group B. </w:t>
          </w:r>
          <w:r w:rsidRPr="00BB3791">
            <w:rPr>
              <w:rFonts w:ascii="Garamond" w:eastAsia="Times New Roman" w:hAnsi="Garamond"/>
              <w:i/>
              <w:iCs/>
              <w:color w:val="000000" w:themeColor="text1"/>
              <w:lang w:val="en-US"/>
            </w:rPr>
            <w:t>Journal of Clinical Oncology</w:t>
          </w:r>
          <w:r w:rsidRPr="00BB3791">
            <w:rPr>
              <w:rFonts w:ascii="Garamond" w:eastAsia="Times New Roman" w:hAnsi="Garamond"/>
              <w:color w:val="000000" w:themeColor="text1"/>
              <w:lang w:val="en-US"/>
            </w:rPr>
            <w:t xml:space="preserve"> 1991; </w:t>
          </w:r>
          <w:r w:rsidRPr="00BB3791">
            <w:rPr>
              <w:rFonts w:ascii="Garamond" w:eastAsia="Times New Roman" w:hAnsi="Garamond"/>
              <w:b/>
              <w:bCs/>
              <w:color w:val="000000" w:themeColor="text1"/>
              <w:lang w:val="en-US"/>
            </w:rPr>
            <w:t>9</w:t>
          </w:r>
          <w:r w:rsidRPr="00BB3791">
            <w:rPr>
              <w:rFonts w:ascii="Garamond" w:eastAsia="Times New Roman" w:hAnsi="Garamond"/>
              <w:color w:val="000000" w:themeColor="text1"/>
              <w:lang w:val="en-US"/>
            </w:rPr>
            <w:t>: 2002–2015.</w:t>
          </w:r>
        </w:p>
        <w:p w14:paraId="7F629E1E" w14:textId="0F8550E7" w:rsidR="000D10F5" w:rsidRPr="00BB3791" w:rsidRDefault="00F0598A" w:rsidP="00F85F01">
          <w:pPr>
            <w:spacing w:line="240" w:lineRule="auto"/>
            <w:rPr>
              <w:rFonts w:ascii="Garamond" w:hAnsi="Garamond"/>
              <w:color w:val="000000" w:themeColor="text1"/>
              <w:lang w:val="en-US"/>
            </w:rPr>
          </w:pPr>
          <w:r w:rsidRPr="00BB3791">
            <w:rPr>
              <w:rFonts w:ascii="Garamond" w:eastAsia="Times New Roman" w:hAnsi="Garamond"/>
              <w:color w:val="000000" w:themeColor="text1"/>
              <w:lang w:val="en-US"/>
            </w:rPr>
            <w:t> </w:t>
          </w:r>
        </w:p>
      </w:sdtContent>
    </w:sdt>
    <w:p w14:paraId="1A986704" w14:textId="5C88EF75" w:rsidR="00CD4060" w:rsidRPr="00BB3791" w:rsidRDefault="00CD4060">
      <w:pPr>
        <w:rPr>
          <w:rFonts w:ascii="Garamond" w:hAnsi="Garamond" w:cs="Times New Roman"/>
          <w:bCs/>
          <w:color w:val="000000" w:themeColor="text1"/>
          <w:sz w:val="24"/>
          <w:szCs w:val="24"/>
          <w:lang w:val="en-US"/>
        </w:rPr>
      </w:pPr>
    </w:p>
    <w:sectPr w:rsidR="00CD4060" w:rsidRPr="00BB3791" w:rsidSect="00AA014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2F783" w14:textId="77777777" w:rsidR="00FA349A" w:rsidRDefault="00FA349A" w:rsidP="00AA0148">
      <w:pPr>
        <w:spacing w:after="0" w:line="240" w:lineRule="auto"/>
      </w:pPr>
      <w:r>
        <w:separator/>
      </w:r>
    </w:p>
  </w:endnote>
  <w:endnote w:type="continuationSeparator" w:id="0">
    <w:p w14:paraId="668B46E7" w14:textId="77777777" w:rsidR="00FA349A" w:rsidRDefault="00FA349A" w:rsidP="00AA0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A9AF" w14:textId="77777777" w:rsidR="00FA349A" w:rsidRDefault="00FA349A" w:rsidP="00AA0148">
      <w:pPr>
        <w:spacing w:after="0" w:line="240" w:lineRule="auto"/>
      </w:pPr>
      <w:r>
        <w:separator/>
      </w:r>
    </w:p>
  </w:footnote>
  <w:footnote w:type="continuationSeparator" w:id="0">
    <w:p w14:paraId="1E0440CD" w14:textId="77777777" w:rsidR="00FA349A" w:rsidRDefault="00FA349A" w:rsidP="00AA0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35DF8"/>
    <w:multiLevelType w:val="hybridMultilevel"/>
    <w:tmpl w:val="5BAA2186"/>
    <w:lvl w:ilvl="0" w:tplc="B8F4FDA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72282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8A"/>
    <w:rsid w:val="00004900"/>
    <w:rsid w:val="000159CC"/>
    <w:rsid w:val="00034D00"/>
    <w:rsid w:val="00034EEF"/>
    <w:rsid w:val="00054EF8"/>
    <w:rsid w:val="00094D33"/>
    <w:rsid w:val="000A0444"/>
    <w:rsid w:val="000A5852"/>
    <w:rsid w:val="000C0C8A"/>
    <w:rsid w:val="000C5FFF"/>
    <w:rsid w:val="000D10F5"/>
    <w:rsid w:val="00107FF8"/>
    <w:rsid w:val="00181C09"/>
    <w:rsid w:val="001A6676"/>
    <w:rsid w:val="001B227D"/>
    <w:rsid w:val="0024489A"/>
    <w:rsid w:val="00265D91"/>
    <w:rsid w:val="00292150"/>
    <w:rsid w:val="00294DA5"/>
    <w:rsid w:val="00321B9C"/>
    <w:rsid w:val="0032779A"/>
    <w:rsid w:val="00346E03"/>
    <w:rsid w:val="003634AC"/>
    <w:rsid w:val="003947F2"/>
    <w:rsid w:val="003B03BD"/>
    <w:rsid w:val="003C4A37"/>
    <w:rsid w:val="004363E6"/>
    <w:rsid w:val="00461D56"/>
    <w:rsid w:val="004A5418"/>
    <w:rsid w:val="004B7A7D"/>
    <w:rsid w:val="004F4ECC"/>
    <w:rsid w:val="004F7D33"/>
    <w:rsid w:val="00514302"/>
    <w:rsid w:val="0055292E"/>
    <w:rsid w:val="005675DF"/>
    <w:rsid w:val="005731AF"/>
    <w:rsid w:val="006331C0"/>
    <w:rsid w:val="0064333E"/>
    <w:rsid w:val="006464AF"/>
    <w:rsid w:val="00656E39"/>
    <w:rsid w:val="007143FF"/>
    <w:rsid w:val="00721FC8"/>
    <w:rsid w:val="00744597"/>
    <w:rsid w:val="00757AAB"/>
    <w:rsid w:val="007808DC"/>
    <w:rsid w:val="00795B80"/>
    <w:rsid w:val="007C74DB"/>
    <w:rsid w:val="007D58E9"/>
    <w:rsid w:val="008674D4"/>
    <w:rsid w:val="008A5EF2"/>
    <w:rsid w:val="008D0F35"/>
    <w:rsid w:val="00901419"/>
    <w:rsid w:val="00940AF2"/>
    <w:rsid w:val="009656BC"/>
    <w:rsid w:val="009A235E"/>
    <w:rsid w:val="00A04E12"/>
    <w:rsid w:val="00A63E88"/>
    <w:rsid w:val="00AA0148"/>
    <w:rsid w:val="00AA5A7A"/>
    <w:rsid w:val="00AD39CB"/>
    <w:rsid w:val="00AE1019"/>
    <w:rsid w:val="00AE43A5"/>
    <w:rsid w:val="00AE71E2"/>
    <w:rsid w:val="00AF3FA2"/>
    <w:rsid w:val="00AF590D"/>
    <w:rsid w:val="00AF7BE1"/>
    <w:rsid w:val="00B05140"/>
    <w:rsid w:val="00B17670"/>
    <w:rsid w:val="00B40139"/>
    <w:rsid w:val="00B56DEC"/>
    <w:rsid w:val="00BB3791"/>
    <w:rsid w:val="00C34EF8"/>
    <w:rsid w:val="00C4397A"/>
    <w:rsid w:val="00C57A7D"/>
    <w:rsid w:val="00C65013"/>
    <w:rsid w:val="00C67436"/>
    <w:rsid w:val="00CD4060"/>
    <w:rsid w:val="00D4519E"/>
    <w:rsid w:val="00D52C1C"/>
    <w:rsid w:val="00D82216"/>
    <w:rsid w:val="00E10BCE"/>
    <w:rsid w:val="00E27E91"/>
    <w:rsid w:val="00E36A21"/>
    <w:rsid w:val="00E76CCD"/>
    <w:rsid w:val="00EA1C79"/>
    <w:rsid w:val="00EA7969"/>
    <w:rsid w:val="00ED0B38"/>
    <w:rsid w:val="00EE0F0F"/>
    <w:rsid w:val="00EF6FD6"/>
    <w:rsid w:val="00F0598A"/>
    <w:rsid w:val="00F123AB"/>
    <w:rsid w:val="00F64AAF"/>
    <w:rsid w:val="00F71384"/>
    <w:rsid w:val="00F75B17"/>
    <w:rsid w:val="00F85F01"/>
    <w:rsid w:val="00FA349A"/>
    <w:rsid w:val="00FB3F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37EF"/>
  <w15:chartTrackingRefBased/>
  <w15:docId w15:val="{77D2F65C-74C4-964F-A10D-B7F99014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E6"/>
    <w:pPr>
      <w:spacing w:after="160" w:line="259" w:lineRule="auto"/>
    </w:pPr>
    <w:rPr>
      <w:sz w:val="22"/>
      <w:szCs w:val="22"/>
    </w:rPr>
  </w:style>
  <w:style w:type="paragraph" w:styleId="Overskrift1">
    <w:name w:val="heading 1"/>
    <w:basedOn w:val="Normal"/>
    <w:next w:val="Normal"/>
    <w:link w:val="Overskrift1Tegn"/>
    <w:uiPriority w:val="9"/>
    <w:qFormat/>
    <w:rsid w:val="004363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9014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AE71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4363E6"/>
    <w:rPr>
      <w:sz w:val="16"/>
      <w:szCs w:val="16"/>
    </w:rPr>
  </w:style>
  <w:style w:type="paragraph" w:styleId="Kommentartekst">
    <w:name w:val="annotation text"/>
    <w:basedOn w:val="Normal"/>
    <w:link w:val="KommentartekstTegn"/>
    <w:uiPriority w:val="99"/>
    <w:unhideWhenUsed/>
    <w:rsid w:val="004363E6"/>
    <w:pPr>
      <w:spacing w:line="240" w:lineRule="auto"/>
    </w:pPr>
    <w:rPr>
      <w:sz w:val="20"/>
      <w:szCs w:val="20"/>
    </w:rPr>
  </w:style>
  <w:style w:type="character" w:customStyle="1" w:styleId="KommentartekstTegn">
    <w:name w:val="Kommentartekst Tegn"/>
    <w:basedOn w:val="Standardskrifttypeiafsnit"/>
    <w:link w:val="Kommentartekst"/>
    <w:uiPriority w:val="99"/>
    <w:rsid w:val="004363E6"/>
    <w:rPr>
      <w:sz w:val="20"/>
      <w:szCs w:val="20"/>
    </w:rPr>
  </w:style>
  <w:style w:type="character" w:customStyle="1" w:styleId="Overskrift1Tegn">
    <w:name w:val="Overskrift 1 Tegn"/>
    <w:basedOn w:val="Standardskrifttypeiafsnit"/>
    <w:link w:val="Overskrift1"/>
    <w:uiPriority w:val="9"/>
    <w:rsid w:val="004363E6"/>
    <w:rPr>
      <w:rFonts w:asciiTheme="majorHAnsi" w:eastAsiaTheme="majorEastAsia" w:hAnsiTheme="majorHAnsi" w:cstheme="majorBidi"/>
      <w:color w:val="2F5496" w:themeColor="accent1" w:themeShade="BF"/>
      <w:sz w:val="32"/>
      <w:szCs w:val="32"/>
    </w:rPr>
  </w:style>
  <w:style w:type="paragraph" w:styleId="Overskrift">
    <w:name w:val="TOC Heading"/>
    <w:basedOn w:val="Overskrift1"/>
    <w:next w:val="Normal"/>
    <w:uiPriority w:val="39"/>
    <w:unhideWhenUsed/>
    <w:qFormat/>
    <w:rsid w:val="004363E6"/>
    <w:pPr>
      <w:spacing w:before="480" w:line="276" w:lineRule="auto"/>
      <w:outlineLvl w:val="9"/>
    </w:pPr>
    <w:rPr>
      <w:b/>
      <w:bCs/>
      <w:sz w:val="28"/>
      <w:szCs w:val="28"/>
      <w:lang w:eastAsia="da-DK"/>
    </w:rPr>
  </w:style>
  <w:style w:type="paragraph" w:styleId="Indholdsfortegnelse1">
    <w:name w:val="toc 1"/>
    <w:basedOn w:val="Normal"/>
    <w:next w:val="Normal"/>
    <w:autoRedefine/>
    <w:uiPriority w:val="39"/>
    <w:unhideWhenUsed/>
    <w:rsid w:val="004363E6"/>
    <w:pPr>
      <w:spacing w:before="240" w:after="120" w:line="240" w:lineRule="auto"/>
    </w:pPr>
    <w:rPr>
      <w:rFonts w:cstheme="minorHAnsi"/>
      <w:b/>
      <w:bCs/>
      <w:sz w:val="20"/>
      <w:szCs w:val="20"/>
    </w:rPr>
  </w:style>
  <w:style w:type="paragraph" w:styleId="Indholdsfortegnelse2">
    <w:name w:val="toc 2"/>
    <w:basedOn w:val="Normal"/>
    <w:next w:val="Normal"/>
    <w:autoRedefine/>
    <w:uiPriority w:val="39"/>
    <w:unhideWhenUsed/>
    <w:rsid w:val="004363E6"/>
    <w:pPr>
      <w:spacing w:before="120" w:after="0" w:line="240" w:lineRule="auto"/>
      <w:ind w:left="240"/>
    </w:pPr>
    <w:rPr>
      <w:rFonts w:cstheme="minorHAnsi"/>
      <w:i/>
      <w:iCs/>
      <w:sz w:val="20"/>
      <w:szCs w:val="20"/>
    </w:rPr>
  </w:style>
  <w:style w:type="character" w:styleId="Hyperlink">
    <w:name w:val="Hyperlink"/>
    <w:basedOn w:val="Standardskrifttypeiafsnit"/>
    <w:uiPriority w:val="99"/>
    <w:unhideWhenUsed/>
    <w:rsid w:val="004363E6"/>
    <w:rPr>
      <w:color w:val="0563C1" w:themeColor="hyperlink"/>
      <w:u w:val="single"/>
    </w:rPr>
  </w:style>
  <w:style w:type="character" w:customStyle="1" w:styleId="Overskrift2Tegn">
    <w:name w:val="Overskrift 2 Tegn"/>
    <w:basedOn w:val="Standardskrifttypeiafsnit"/>
    <w:link w:val="Overskrift2"/>
    <w:uiPriority w:val="9"/>
    <w:rsid w:val="00901419"/>
    <w:rPr>
      <w:rFonts w:asciiTheme="majorHAnsi" w:eastAsiaTheme="majorEastAsia" w:hAnsiTheme="majorHAnsi" w:cstheme="majorBidi"/>
      <w:color w:val="2F5496" w:themeColor="accent1" w:themeShade="BF"/>
      <w:sz w:val="26"/>
      <w:szCs w:val="26"/>
    </w:rPr>
  </w:style>
  <w:style w:type="character" w:styleId="Ulstomtale">
    <w:name w:val="Unresolved Mention"/>
    <w:basedOn w:val="Standardskrifttypeiafsnit"/>
    <w:uiPriority w:val="99"/>
    <w:semiHidden/>
    <w:unhideWhenUsed/>
    <w:rsid w:val="00A04E12"/>
    <w:rPr>
      <w:color w:val="605E5C"/>
      <w:shd w:val="clear" w:color="auto" w:fill="E1DFDD"/>
    </w:rPr>
  </w:style>
  <w:style w:type="character" w:customStyle="1" w:styleId="Overskrift3Tegn">
    <w:name w:val="Overskrift 3 Tegn"/>
    <w:basedOn w:val="Standardskrifttypeiafsnit"/>
    <w:link w:val="Overskrift3"/>
    <w:uiPriority w:val="9"/>
    <w:semiHidden/>
    <w:rsid w:val="00AE71E2"/>
    <w:rPr>
      <w:rFonts w:asciiTheme="majorHAnsi" w:eastAsiaTheme="majorEastAsia" w:hAnsiTheme="majorHAnsi" w:cstheme="majorBidi"/>
      <w:color w:val="1F3763" w:themeColor="accent1" w:themeShade="7F"/>
    </w:rPr>
  </w:style>
  <w:style w:type="paragraph" w:styleId="Listeafsnit">
    <w:name w:val="List Paragraph"/>
    <w:basedOn w:val="Normal"/>
    <w:uiPriority w:val="34"/>
    <w:qFormat/>
    <w:rsid w:val="00AE71E2"/>
    <w:pPr>
      <w:ind w:left="720"/>
      <w:contextualSpacing/>
    </w:pPr>
  </w:style>
  <w:style w:type="table" w:styleId="Tabel-Gitter">
    <w:name w:val="Table Grid"/>
    <w:basedOn w:val="Tabel-Normal"/>
    <w:uiPriority w:val="39"/>
    <w:rsid w:val="0032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1B9C"/>
    <w:pPr>
      <w:spacing w:before="100" w:beforeAutospacing="1" w:after="100" w:afterAutospacing="1" w:line="240" w:lineRule="auto"/>
    </w:pPr>
    <w:rPr>
      <w:rFonts w:ascii="Times New Roman" w:eastAsia="Times New Roman" w:hAnsi="Times New Roman" w:cs="Times New Roman"/>
      <w:sz w:val="24"/>
      <w:szCs w:val="24"/>
      <w:lang w:eastAsia="da-DK"/>
    </w:rPr>
  </w:style>
  <w:style w:type="table" w:customStyle="1" w:styleId="Tabel-Gitter1">
    <w:name w:val="Tabel - Gitter1"/>
    <w:basedOn w:val="Tabel-Normal"/>
    <w:next w:val="Tabel-Gitter"/>
    <w:uiPriority w:val="39"/>
    <w:rsid w:val="00AA0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AA0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A014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A0148"/>
    <w:rPr>
      <w:sz w:val="22"/>
      <w:szCs w:val="22"/>
    </w:rPr>
  </w:style>
  <w:style w:type="paragraph" w:styleId="Sidefod">
    <w:name w:val="footer"/>
    <w:basedOn w:val="Normal"/>
    <w:link w:val="SidefodTegn"/>
    <w:uiPriority w:val="99"/>
    <w:unhideWhenUsed/>
    <w:rsid w:val="00AA014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A0148"/>
    <w:rPr>
      <w:sz w:val="22"/>
      <w:szCs w:val="22"/>
    </w:rPr>
  </w:style>
  <w:style w:type="paragraph" w:styleId="Kommentaremne">
    <w:name w:val="annotation subject"/>
    <w:basedOn w:val="Kommentartekst"/>
    <w:next w:val="Kommentartekst"/>
    <w:link w:val="KommentaremneTegn"/>
    <w:uiPriority w:val="99"/>
    <w:semiHidden/>
    <w:unhideWhenUsed/>
    <w:rsid w:val="004F7D33"/>
    <w:rPr>
      <w:b/>
      <w:bCs/>
    </w:rPr>
  </w:style>
  <w:style w:type="character" w:customStyle="1" w:styleId="KommentaremneTegn">
    <w:name w:val="Kommentaremne Tegn"/>
    <w:basedOn w:val="KommentartekstTegn"/>
    <w:link w:val="Kommentaremne"/>
    <w:uiPriority w:val="99"/>
    <w:semiHidden/>
    <w:rsid w:val="004F7D33"/>
    <w:rPr>
      <w:b/>
      <w:bCs/>
      <w:sz w:val="20"/>
      <w:szCs w:val="20"/>
    </w:rPr>
  </w:style>
  <w:style w:type="paragraph" w:styleId="Korrektur">
    <w:name w:val="Revision"/>
    <w:hidden/>
    <w:uiPriority w:val="99"/>
    <w:semiHidden/>
    <w:rsid w:val="00346E03"/>
    <w:rPr>
      <w:sz w:val="22"/>
      <w:szCs w:val="22"/>
    </w:rPr>
  </w:style>
  <w:style w:type="character" w:styleId="Pladsholdertekst">
    <w:name w:val="Placeholder Text"/>
    <w:basedOn w:val="Standardskrifttypeiafsnit"/>
    <w:uiPriority w:val="99"/>
    <w:semiHidden/>
    <w:rsid w:val="00CD406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24011">
      <w:bodyDiv w:val="1"/>
      <w:marLeft w:val="0"/>
      <w:marRight w:val="0"/>
      <w:marTop w:val="0"/>
      <w:marBottom w:val="0"/>
      <w:divBdr>
        <w:top w:val="none" w:sz="0" w:space="0" w:color="auto"/>
        <w:left w:val="none" w:sz="0" w:space="0" w:color="auto"/>
        <w:bottom w:val="none" w:sz="0" w:space="0" w:color="auto"/>
        <w:right w:val="none" w:sz="0" w:space="0" w:color="auto"/>
      </w:divBdr>
      <w:divsChild>
        <w:div w:id="1942570432">
          <w:marLeft w:val="640"/>
          <w:marRight w:val="0"/>
          <w:marTop w:val="0"/>
          <w:marBottom w:val="0"/>
          <w:divBdr>
            <w:top w:val="none" w:sz="0" w:space="0" w:color="auto"/>
            <w:left w:val="none" w:sz="0" w:space="0" w:color="auto"/>
            <w:bottom w:val="none" w:sz="0" w:space="0" w:color="auto"/>
            <w:right w:val="none" w:sz="0" w:space="0" w:color="auto"/>
          </w:divBdr>
        </w:div>
        <w:div w:id="1626277688">
          <w:marLeft w:val="640"/>
          <w:marRight w:val="0"/>
          <w:marTop w:val="0"/>
          <w:marBottom w:val="0"/>
          <w:divBdr>
            <w:top w:val="none" w:sz="0" w:space="0" w:color="auto"/>
            <w:left w:val="none" w:sz="0" w:space="0" w:color="auto"/>
            <w:bottom w:val="none" w:sz="0" w:space="0" w:color="auto"/>
            <w:right w:val="none" w:sz="0" w:space="0" w:color="auto"/>
          </w:divBdr>
        </w:div>
        <w:div w:id="2026247930">
          <w:marLeft w:val="640"/>
          <w:marRight w:val="0"/>
          <w:marTop w:val="0"/>
          <w:marBottom w:val="0"/>
          <w:divBdr>
            <w:top w:val="none" w:sz="0" w:space="0" w:color="auto"/>
            <w:left w:val="none" w:sz="0" w:space="0" w:color="auto"/>
            <w:bottom w:val="none" w:sz="0" w:space="0" w:color="auto"/>
            <w:right w:val="none" w:sz="0" w:space="0" w:color="auto"/>
          </w:divBdr>
        </w:div>
        <w:div w:id="2129543058">
          <w:marLeft w:val="640"/>
          <w:marRight w:val="0"/>
          <w:marTop w:val="0"/>
          <w:marBottom w:val="0"/>
          <w:divBdr>
            <w:top w:val="none" w:sz="0" w:space="0" w:color="auto"/>
            <w:left w:val="none" w:sz="0" w:space="0" w:color="auto"/>
            <w:bottom w:val="none" w:sz="0" w:space="0" w:color="auto"/>
            <w:right w:val="none" w:sz="0" w:space="0" w:color="auto"/>
          </w:divBdr>
        </w:div>
        <w:div w:id="1699811527">
          <w:marLeft w:val="640"/>
          <w:marRight w:val="0"/>
          <w:marTop w:val="0"/>
          <w:marBottom w:val="0"/>
          <w:divBdr>
            <w:top w:val="none" w:sz="0" w:space="0" w:color="auto"/>
            <w:left w:val="none" w:sz="0" w:space="0" w:color="auto"/>
            <w:bottom w:val="none" w:sz="0" w:space="0" w:color="auto"/>
            <w:right w:val="none" w:sz="0" w:space="0" w:color="auto"/>
          </w:divBdr>
        </w:div>
        <w:div w:id="950673445">
          <w:marLeft w:val="640"/>
          <w:marRight w:val="0"/>
          <w:marTop w:val="0"/>
          <w:marBottom w:val="0"/>
          <w:divBdr>
            <w:top w:val="none" w:sz="0" w:space="0" w:color="auto"/>
            <w:left w:val="none" w:sz="0" w:space="0" w:color="auto"/>
            <w:bottom w:val="none" w:sz="0" w:space="0" w:color="auto"/>
            <w:right w:val="none" w:sz="0" w:space="0" w:color="auto"/>
          </w:divBdr>
        </w:div>
        <w:div w:id="1051079582">
          <w:marLeft w:val="640"/>
          <w:marRight w:val="0"/>
          <w:marTop w:val="0"/>
          <w:marBottom w:val="0"/>
          <w:divBdr>
            <w:top w:val="none" w:sz="0" w:space="0" w:color="auto"/>
            <w:left w:val="none" w:sz="0" w:space="0" w:color="auto"/>
            <w:bottom w:val="none" w:sz="0" w:space="0" w:color="auto"/>
            <w:right w:val="none" w:sz="0" w:space="0" w:color="auto"/>
          </w:divBdr>
        </w:div>
        <w:div w:id="1107773035">
          <w:marLeft w:val="640"/>
          <w:marRight w:val="0"/>
          <w:marTop w:val="0"/>
          <w:marBottom w:val="0"/>
          <w:divBdr>
            <w:top w:val="none" w:sz="0" w:space="0" w:color="auto"/>
            <w:left w:val="none" w:sz="0" w:space="0" w:color="auto"/>
            <w:bottom w:val="none" w:sz="0" w:space="0" w:color="auto"/>
            <w:right w:val="none" w:sz="0" w:space="0" w:color="auto"/>
          </w:divBdr>
        </w:div>
      </w:divsChild>
    </w:div>
    <w:div w:id="144051650">
      <w:bodyDiv w:val="1"/>
      <w:marLeft w:val="0"/>
      <w:marRight w:val="0"/>
      <w:marTop w:val="0"/>
      <w:marBottom w:val="0"/>
      <w:divBdr>
        <w:top w:val="none" w:sz="0" w:space="0" w:color="auto"/>
        <w:left w:val="none" w:sz="0" w:space="0" w:color="auto"/>
        <w:bottom w:val="none" w:sz="0" w:space="0" w:color="auto"/>
        <w:right w:val="none" w:sz="0" w:space="0" w:color="auto"/>
      </w:divBdr>
    </w:div>
    <w:div w:id="171261582">
      <w:bodyDiv w:val="1"/>
      <w:marLeft w:val="0"/>
      <w:marRight w:val="0"/>
      <w:marTop w:val="0"/>
      <w:marBottom w:val="0"/>
      <w:divBdr>
        <w:top w:val="none" w:sz="0" w:space="0" w:color="auto"/>
        <w:left w:val="none" w:sz="0" w:space="0" w:color="auto"/>
        <w:bottom w:val="none" w:sz="0" w:space="0" w:color="auto"/>
        <w:right w:val="none" w:sz="0" w:space="0" w:color="auto"/>
      </w:divBdr>
      <w:divsChild>
        <w:div w:id="1208680495">
          <w:marLeft w:val="0"/>
          <w:marRight w:val="0"/>
          <w:marTop w:val="0"/>
          <w:marBottom w:val="0"/>
          <w:divBdr>
            <w:top w:val="none" w:sz="0" w:space="0" w:color="auto"/>
            <w:left w:val="none" w:sz="0" w:space="0" w:color="auto"/>
            <w:bottom w:val="none" w:sz="0" w:space="0" w:color="auto"/>
            <w:right w:val="none" w:sz="0" w:space="0" w:color="auto"/>
          </w:divBdr>
          <w:divsChild>
            <w:div w:id="2079671189">
              <w:marLeft w:val="0"/>
              <w:marRight w:val="0"/>
              <w:marTop w:val="0"/>
              <w:marBottom w:val="0"/>
              <w:divBdr>
                <w:top w:val="none" w:sz="0" w:space="0" w:color="auto"/>
                <w:left w:val="none" w:sz="0" w:space="0" w:color="auto"/>
                <w:bottom w:val="none" w:sz="0" w:space="0" w:color="auto"/>
                <w:right w:val="none" w:sz="0" w:space="0" w:color="auto"/>
              </w:divBdr>
              <w:divsChild>
                <w:div w:id="84043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1590">
      <w:bodyDiv w:val="1"/>
      <w:marLeft w:val="0"/>
      <w:marRight w:val="0"/>
      <w:marTop w:val="0"/>
      <w:marBottom w:val="0"/>
      <w:divBdr>
        <w:top w:val="none" w:sz="0" w:space="0" w:color="auto"/>
        <w:left w:val="none" w:sz="0" w:space="0" w:color="auto"/>
        <w:bottom w:val="none" w:sz="0" w:space="0" w:color="auto"/>
        <w:right w:val="none" w:sz="0" w:space="0" w:color="auto"/>
      </w:divBdr>
      <w:divsChild>
        <w:div w:id="2002737653">
          <w:marLeft w:val="640"/>
          <w:marRight w:val="0"/>
          <w:marTop w:val="0"/>
          <w:marBottom w:val="0"/>
          <w:divBdr>
            <w:top w:val="none" w:sz="0" w:space="0" w:color="auto"/>
            <w:left w:val="none" w:sz="0" w:space="0" w:color="auto"/>
            <w:bottom w:val="none" w:sz="0" w:space="0" w:color="auto"/>
            <w:right w:val="none" w:sz="0" w:space="0" w:color="auto"/>
          </w:divBdr>
        </w:div>
        <w:div w:id="931743799">
          <w:marLeft w:val="640"/>
          <w:marRight w:val="0"/>
          <w:marTop w:val="0"/>
          <w:marBottom w:val="0"/>
          <w:divBdr>
            <w:top w:val="none" w:sz="0" w:space="0" w:color="auto"/>
            <w:left w:val="none" w:sz="0" w:space="0" w:color="auto"/>
            <w:bottom w:val="none" w:sz="0" w:space="0" w:color="auto"/>
            <w:right w:val="none" w:sz="0" w:space="0" w:color="auto"/>
          </w:divBdr>
        </w:div>
        <w:div w:id="326983973">
          <w:marLeft w:val="640"/>
          <w:marRight w:val="0"/>
          <w:marTop w:val="0"/>
          <w:marBottom w:val="0"/>
          <w:divBdr>
            <w:top w:val="none" w:sz="0" w:space="0" w:color="auto"/>
            <w:left w:val="none" w:sz="0" w:space="0" w:color="auto"/>
            <w:bottom w:val="none" w:sz="0" w:space="0" w:color="auto"/>
            <w:right w:val="none" w:sz="0" w:space="0" w:color="auto"/>
          </w:divBdr>
        </w:div>
        <w:div w:id="1784690679">
          <w:marLeft w:val="640"/>
          <w:marRight w:val="0"/>
          <w:marTop w:val="0"/>
          <w:marBottom w:val="0"/>
          <w:divBdr>
            <w:top w:val="none" w:sz="0" w:space="0" w:color="auto"/>
            <w:left w:val="none" w:sz="0" w:space="0" w:color="auto"/>
            <w:bottom w:val="none" w:sz="0" w:space="0" w:color="auto"/>
            <w:right w:val="none" w:sz="0" w:space="0" w:color="auto"/>
          </w:divBdr>
        </w:div>
        <w:div w:id="521213245">
          <w:marLeft w:val="640"/>
          <w:marRight w:val="0"/>
          <w:marTop w:val="0"/>
          <w:marBottom w:val="0"/>
          <w:divBdr>
            <w:top w:val="none" w:sz="0" w:space="0" w:color="auto"/>
            <w:left w:val="none" w:sz="0" w:space="0" w:color="auto"/>
            <w:bottom w:val="none" w:sz="0" w:space="0" w:color="auto"/>
            <w:right w:val="none" w:sz="0" w:space="0" w:color="auto"/>
          </w:divBdr>
        </w:div>
        <w:div w:id="1231890588">
          <w:marLeft w:val="640"/>
          <w:marRight w:val="0"/>
          <w:marTop w:val="0"/>
          <w:marBottom w:val="0"/>
          <w:divBdr>
            <w:top w:val="none" w:sz="0" w:space="0" w:color="auto"/>
            <w:left w:val="none" w:sz="0" w:space="0" w:color="auto"/>
            <w:bottom w:val="none" w:sz="0" w:space="0" w:color="auto"/>
            <w:right w:val="none" w:sz="0" w:space="0" w:color="auto"/>
          </w:divBdr>
        </w:div>
        <w:div w:id="2081705102">
          <w:marLeft w:val="640"/>
          <w:marRight w:val="0"/>
          <w:marTop w:val="0"/>
          <w:marBottom w:val="0"/>
          <w:divBdr>
            <w:top w:val="none" w:sz="0" w:space="0" w:color="auto"/>
            <w:left w:val="none" w:sz="0" w:space="0" w:color="auto"/>
            <w:bottom w:val="none" w:sz="0" w:space="0" w:color="auto"/>
            <w:right w:val="none" w:sz="0" w:space="0" w:color="auto"/>
          </w:divBdr>
        </w:div>
        <w:div w:id="83501089">
          <w:marLeft w:val="640"/>
          <w:marRight w:val="0"/>
          <w:marTop w:val="0"/>
          <w:marBottom w:val="0"/>
          <w:divBdr>
            <w:top w:val="none" w:sz="0" w:space="0" w:color="auto"/>
            <w:left w:val="none" w:sz="0" w:space="0" w:color="auto"/>
            <w:bottom w:val="none" w:sz="0" w:space="0" w:color="auto"/>
            <w:right w:val="none" w:sz="0" w:space="0" w:color="auto"/>
          </w:divBdr>
        </w:div>
      </w:divsChild>
    </w:div>
    <w:div w:id="387152832">
      <w:bodyDiv w:val="1"/>
      <w:marLeft w:val="0"/>
      <w:marRight w:val="0"/>
      <w:marTop w:val="0"/>
      <w:marBottom w:val="0"/>
      <w:divBdr>
        <w:top w:val="none" w:sz="0" w:space="0" w:color="auto"/>
        <w:left w:val="none" w:sz="0" w:space="0" w:color="auto"/>
        <w:bottom w:val="none" w:sz="0" w:space="0" w:color="auto"/>
        <w:right w:val="none" w:sz="0" w:space="0" w:color="auto"/>
      </w:divBdr>
      <w:divsChild>
        <w:div w:id="1363676278">
          <w:marLeft w:val="640"/>
          <w:marRight w:val="0"/>
          <w:marTop w:val="0"/>
          <w:marBottom w:val="0"/>
          <w:divBdr>
            <w:top w:val="none" w:sz="0" w:space="0" w:color="auto"/>
            <w:left w:val="none" w:sz="0" w:space="0" w:color="auto"/>
            <w:bottom w:val="none" w:sz="0" w:space="0" w:color="auto"/>
            <w:right w:val="none" w:sz="0" w:space="0" w:color="auto"/>
          </w:divBdr>
        </w:div>
        <w:div w:id="347677080">
          <w:marLeft w:val="640"/>
          <w:marRight w:val="0"/>
          <w:marTop w:val="0"/>
          <w:marBottom w:val="0"/>
          <w:divBdr>
            <w:top w:val="none" w:sz="0" w:space="0" w:color="auto"/>
            <w:left w:val="none" w:sz="0" w:space="0" w:color="auto"/>
            <w:bottom w:val="none" w:sz="0" w:space="0" w:color="auto"/>
            <w:right w:val="none" w:sz="0" w:space="0" w:color="auto"/>
          </w:divBdr>
        </w:div>
        <w:div w:id="1453015875">
          <w:marLeft w:val="640"/>
          <w:marRight w:val="0"/>
          <w:marTop w:val="0"/>
          <w:marBottom w:val="0"/>
          <w:divBdr>
            <w:top w:val="none" w:sz="0" w:space="0" w:color="auto"/>
            <w:left w:val="none" w:sz="0" w:space="0" w:color="auto"/>
            <w:bottom w:val="none" w:sz="0" w:space="0" w:color="auto"/>
            <w:right w:val="none" w:sz="0" w:space="0" w:color="auto"/>
          </w:divBdr>
        </w:div>
        <w:div w:id="77988350">
          <w:marLeft w:val="640"/>
          <w:marRight w:val="0"/>
          <w:marTop w:val="0"/>
          <w:marBottom w:val="0"/>
          <w:divBdr>
            <w:top w:val="none" w:sz="0" w:space="0" w:color="auto"/>
            <w:left w:val="none" w:sz="0" w:space="0" w:color="auto"/>
            <w:bottom w:val="none" w:sz="0" w:space="0" w:color="auto"/>
            <w:right w:val="none" w:sz="0" w:space="0" w:color="auto"/>
          </w:divBdr>
        </w:div>
        <w:div w:id="1817525041">
          <w:marLeft w:val="640"/>
          <w:marRight w:val="0"/>
          <w:marTop w:val="0"/>
          <w:marBottom w:val="0"/>
          <w:divBdr>
            <w:top w:val="none" w:sz="0" w:space="0" w:color="auto"/>
            <w:left w:val="none" w:sz="0" w:space="0" w:color="auto"/>
            <w:bottom w:val="none" w:sz="0" w:space="0" w:color="auto"/>
            <w:right w:val="none" w:sz="0" w:space="0" w:color="auto"/>
          </w:divBdr>
        </w:div>
        <w:div w:id="1853228094">
          <w:marLeft w:val="640"/>
          <w:marRight w:val="0"/>
          <w:marTop w:val="0"/>
          <w:marBottom w:val="0"/>
          <w:divBdr>
            <w:top w:val="none" w:sz="0" w:space="0" w:color="auto"/>
            <w:left w:val="none" w:sz="0" w:space="0" w:color="auto"/>
            <w:bottom w:val="none" w:sz="0" w:space="0" w:color="auto"/>
            <w:right w:val="none" w:sz="0" w:space="0" w:color="auto"/>
          </w:divBdr>
        </w:div>
        <w:div w:id="1197739861">
          <w:marLeft w:val="640"/>
          <w:marRight w:val="0"/>
          <w:marTop w:val="0"/>
          <w:marBottom w:val="0"/>
          <w:divBdr>
            <w:top w:val="none" w:sz="0" w:space="0" w:color="auto"/>
            <w:left w:val="none" w:sz="0" w:space="0" w:color="auto"/>
            <w:bottom w:val="none" w:sz="0" w:space="0" w:color="auto"/>
            <w:right w:val="none" w:sz="0" w:space="0" w:color="auto"/>
          </w:divBdr>
        </w:div>
        <w:div w:id="837887620">
          <w:marLeft w:val="640"/>
          <w:marRight w:val="0"/>
          <w:marTop w:val="0"/>
          <w:marBottom w:val="0"/>
          <w:divBdr>
            <w:top w:val="none" w:sz="0" w:space="0" w:color="auto"/>
            <w:left w:val="none" w:sz="0" w:space="0" w:color="auto"/>
            <w:bottom w:val="none" w:sz="0" w:space="0" w:color="auto"/>
            <w:right w:val="none" w:sz="0" w:space="0" w:color="auto"/>
          </w:divBdr>
        </w:div>
      </w:divsChild>
    </w:div>
    <w:div w:id="416831670">
      <w:bodyDiv w:val="1"/>
      <w:marLeft w:val="0"/>
      <w:marRight w:val="0"/>
      <w:marTop w:val="0"/>
      <w:marBottom w:val="0"/>
      <w:divBdr>
        <w:top w:val="none" w:sz="0" w:space="0" w:color="auto"/>
        <w:left w:val="none" w:sz="0" w:space="0" w:color="auto"/>
        <w:bottom w:val="none" w:sz="0" w:space="0" w:color="auto"/>
        <w:right w:val="none" w:sz="0" w:space="0" w:color="auto"/>
      </w:divBdr>
      <w:divsChild>
        <w:div w:id="22247893">
          <w:marLeft w:val="640"/>
          <w:marRight w:val="0"/>
          <w:marTop w:val="0"/>
          <w:marBottom w:val="0"/>
          <w:divBdr>
            <w:top w:val="none" w:sz="0" w:space="0" w:color="auto"/>
            <w:left w:val="none" w:sz="0" w:space="0" w:color="auto"/>
            <w:bottom w:val="none" w:sz="0" w:space="0" w:color="auto"/>
            <w:right w:val="none" w:sz="0" w:space="0" w:color="auto"/>
          </w:divBdr>
        </w:div>
        <w:div w:id="110980981">
          <w:marLeft w:val="640"/>
          <w:marRight w:val="0"/>
          <w:marTop w:val="0"/>
          <w:marBottom w:val="0"/>
          <w:divBdr>
            <w:top w:val="none" w:sz="0" w:space="0" w:color="auto"/>
            <w:left w:val="none" w:sz="0" w:space="0" w:color="auto"/>
            <w:bottom w:val="none" w:sz="0" w:space="0" w:color="auto"/>
            <w:right w:val="none" w:sz="0" w:space="0" w:color="auto"/>
          </w:divBdr>
        </w:div>
        <w:div w:id="1970738553">
          <w:marLeft w:val="640"/>
          <w:marRight w:val="0"/>
          <w:marTop w:val="0"/>
          <w:marBottom w:val="0"/>
          <w:divBdr>
            <w:top w:val="none" w:sz="0" w:space="0" w:color="auto"/>
            <w:left w:val="none" w:sz="0" w:space="0" w:color="auto"/>
            <w:bottom w:val="none" w:sz="0" w:space="0" w:color="auto"/>
            <w:right w:val="none" w:sz="0" w:space="0" w:color="auto"/>
          </w:divBdr>
        </w:div>
        <w:div w:id="1520698328">
          <w:marLeft w:val="640"/>
          <w:marRight w:val="0"/>
          <w:marTop w:val="0"/>
          <w:marBottom w:val="0"/>
          <w:divBdr>
            <w:top w:val="none" w:sz="0" w:space="0" w:color="auto"/>
            <w:left w:val="none" w:sz="0" w:space="0" w:color="auto"/>
            <w:bottom w:val="none" w:sz="0" w:space="0" w:color="auto"/>
            <w:right w:val="none" w:sz="0" w:space="0" w:color="auto"/>
          </w:divBdr>
        </w:div>
        <w:div w:id="171919290">
          <w:marLeft w:val="640"/>
          <w:marRight w:val="0"/>
          <w:marTop w:val="0"/>
          <w:marBottom w:val="0"/>
          <w:divBdr>
            <w:top w:val="none" w:sz="0" w:space="0" w:color="auto"/>
            <w:left w:val="none" w:sz="0" w:space="0" w:color="auto"/>
            <w:bottom w:val="none" w:sz="0" w:space="0" w:color="auto"/>
            <w:right w:val="none" w:sz="0" w:space="0" w:color="auto"/>
          </w:divBdr>
        </w:div>
        <w:div w:id="1265260453">
          <w:marLeft w:val="640"/>
          <w:marRight w:val="0"/>
          <w:marTop w:val="0"/>
          <w:marBottom w:val="0"/>
          <w:divBdr>
            <w:top w:val="none" w:sz="0" w:space="0" w:color="auto"/>
            <w:left w:val="none" w:sz="0" w:space="0" w:color="auto"/>
            <w:bottom w:val="none" w:sz="0" w:space="0" w:color="auto"/>
            <w:right w:val="none" w:sz="0" w:space="0" w:color="auto"/>
          </w:divBdr>
        </w:div>
        <w:div w:id="2035377169">
          <w:marLeft w:val="640"/>
          <w:marRight w:val="0"/>
          <w:marTop w:val="0"/>
          <w:marBottom w:val="0"/>
          <w:divBdr>
            <w:top w:val="none" w:sz="0" w:space="0" w:color="auto"/>
            <w:left w:val="none" w:sz="0" w:space="0" w:color="auto"/>
            <w:bottom w:val="none" w:sz="0" w:space="0" w:color="auto"/>
            <w:right w:val="none" w:sz="0" w:space="0" w:color="auto"/>
          </w:divBdr>
        </w:div>
        <w:div w:id="387071697">
          <w:marLeft w:val="640"/>
          <w:marRight w:val="0"/>
          <w:marTop w:val="0"/>
          <w:marBottom w:val="0"/>
          <w:divBdr>
            <w:top w:val="none" w:sz="0" w:space="0" w:color="auto"/>
            <w:left w:val="none" w:sz="0" w:space="0" w:color="auto"/>
            <w:bottom w:val="none" w:sz="0" w:space="0" w:color="auto"/>
            <w:right w:val="none" w:sz="0" w:space="0" w:color="auto"/>
          </w:divBdr>
        </w:div>
        <w:div w:id="1747612613">
          <w:marLeft w:val="640"/>
          <w:marRight w:val="0"/>
          <w:marTop w:val="0"/>
          <w:marBottom w:val="0"/>
          <w:divBdr>
            <w:top w:val="none" w:sz="0" w:space="0" w:color="auto"/>
            <w:left w:val="none" w:sz="0" w:space="0" w:color="auto"/>
            <w:bottom w:val="none" w:sz="0" w:space="0" w:color="auto"/>
            <w:right w:val="none" w:sz="0" w:space="0" w:color="auto"/>
          </w:divBdr>
        </w:div>
        <w:div w:id="101078139">
          <w:marLeft w:val="640"/>
          <w:marRight w:val="0"/>
          <w:marTop w:val="0"/>
          <w:marBottom w:val="0"/>
          <w:divBdr>
            <w:top w:val="none" w:sz="0" w:space="0" w:color="auto"/>
            <w:left w:val="none" w:sz="0" w:space="0" w:color="auto"/>
            <w:bottom w:val="none" w:sz="0" w:space="0" w:color="auto"/>
            <w:right w:val="none" w:sz="0" w:space="0" w:color="auto"/>
          </w:divBdr>
        </w:div>
      </w:divsChild>
    </w:div>
    <w:div w:id="483088142">
      <w:bodyDiv w:val="1"/>
      <w:marLeft w:val="0"/>
      <w:marRight w:val="0"/>
      <w:marTop w:val="0"/>
      <w:marBottom w:val="0"/>
      <w:divBdr>
        <w:top w:val="none" w:sz="0" w:space="0" w:color="auto"/>
        <w:left w:val="none" w:sz="0" w:space="0" w:color="auto"/>
        <w:bottom w:val="none" w:sz="0" w:space="0" w:color="auto"/>
        <w:right w:val="none" w:sz="0" w:space="0" w:color="auto"/>
      </w:divBdr>
      <w:divsChild>
        <w:div w:id="1839534238">
          <w:marLeft w:val="0"/>
          <w:marRight w:val="0"/>
          <w:marTop w:val="0"/>
          <w:marBottom w:val="0"/>
          <w:divBdr>
            <w:top w:val="none" w:sz="0" w:space="0" w:color="auto"/>
            <w:left w:val="none" w:sz="0" w:space="0" w:color="auto"/>
            <w:bottom w:val="none" w:sz="0" w:space="0" w:color="auto"/>
            <w:right w:val="none" w:sz="0" w:space="0" w:color="auto"/>
          </w:divBdr>
          <w:divsChild>
            <w:div w:id="662126599">
              <w:marLeft w:val="0"/>
              <w:marRight w:val="0"/>
              <w:marTop w:val="0"/>
              <w:marBottom w:val="0"/>
              <w:divBdr>
                <w:top w:val="none" w:sz="0" w:space="0" w:color="auto"/>
                <w:left w:val="none" w:sz="0" w:space="0" w:color="auto"/>
                <w:bottom w:val="none" w:sz="0" w:space="0" w:color="auto"/>
                <w:right w:val="none" w:sz="0" w:space="0" w:color="auto"/>
              </w:divBdr>
              <w:divsChild>
                <w:div w:id="1896312904">
                  <w:marLeft w:val="0"/>
                  <w:marRight w:val="0"/>
                  <w:marTop w:val="0"/>
                  <w:marBottom w:val="0"/>
                  <w:divBdr>
                    <w:top w:val="none" w:sz="0" w:space="0" w:color="auto"/>
                    <w:left w:val="none" w:sz="0" w:space="0" w:color="auto"/>
                    <w:bottom w:val="none" w:sz="0" w:space="0" w:color="auto"/>
                    <w:right w:val="none" w:sz="0" w:space="0" w:color="auto"/>
                  </w:divBdr>
                  <w:divsChild>
                    <w:div w:id="11044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918281">
      <w:bodyDiv w:val="1"/>
      <w:marLeft w:val="0"/>
      <w:marRight w:val="0"/>
      <w:marTop w:val="0"/>
      <w:marBottom w:val="0"/>
      <w:divBdr>
        <w:top w:val="none" w:sz="0" w:space="0" w:color="auto"/>
        <w:left w:val="none" w:sz="0" w:space="0" w:color="auto"/>
        <w:bottom w:val="none" w:sz="0" w:space="0" w:color="auto"/>
        <w:right w:val="none" w:sz="0" w:space="0" w:color="auto"/>
      </w:divBdr>
      <w:divsChild>
        <w:div w:id="990597860">
          <w:marLeft w:val="0"/>
          <w:marRight w:val="0"/>
          <w:marTop w:val="0"/>
          <w:marBottom w:val="0"/>
          <w:divBdr>
            <w:top w:val="none" w:sz="0" w:space="0" w:color="auto"/>
            <w:left w:val="none" w:sz="0" w:space="0" w:color="auto"/>
            <w:bottom w:val="none" w:sz="0" w:space="0" w:color="auto"/>
            <w:right w:val="none" w:sz="0" w:space="0" w:color="auto"/>
          </w:divBdr>
          <w:divsChild>
            <w:div w:id="313998538">
              <w:marLeft w:val="0"/>
              <w:marRight w:val="0"/>
              <w:marTop w:val="0"/>
              <w:marBottom w:val="0"/>
              <w:divBdr>
                <w:top w:val="none" w:sz="0" w:space="0" w:color="auto"/>
                <w:left w:val="none" w:sz="0" w:space="0" w:color="auto"/>
                <w:bottom w:val="none" w:sz="0" w:space="0" w:color="auto"/>
                <w:right w:val="none" w:sz="0" w:space="0" w:color="auto"/>
              </w:divBdr>
              <w:divsChild>
                <w:div w:id="5885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0114">
      <w:bodyDiv w:val="1"/>
      <w:marLeft w:val="0"/>
      <w:marRight w:val="0"/>
      <w:marTop w:val="0"/>
      <w:marBottom w:val="0"/>
      <w:divBdr>
        <w:top w:val="none" w:sz="0" w:space="0" w:color="auto"/>
        <w:left w:val="none" w:sz="0" w:space="0" w:color="auto"/>
        <w:bottom w:val="none" w:sz="0" w:space="0" w:color="auto"/>
        <w:right w:val="none" w:sz="0" w:space="0" w:color="auto"/>
      </w:divBdr>
      <w:divsChild>
        <w:div w:id="1460949083">
          <w:marLeft w:val="640"/>
          <w:marRight w:val="0"/>
          <w:marTop w:val="0"/>
          <w:marBottom w:val="0"/>
          <w:divBdr>
            <w:top w:val="none" w:sz="0" w:space="0" w:color="auto"/>
            <w:left w:val="none" w:sz="0" w:space="0" w:color="auto"/>
            <w:bottom w:val="none" w:sz="0" w:space="0" w:color="auto"/>
            <w:right w:val="none" w:sz="0" w:space="0" w:color="auto"/>
          </w:divBdr>
        </w:div>
        <w:div w:id="1103764782">
          <w:marLeft w:val="640"/>
          <w:marRight w:val="0"/>
          <w:marTop w:val="0"/>
          <w:marBottom w:val="0"/>
          <w:divBdr>
            <w:top w:val="none" w:sz="0" w:space="0" w:color="auto"/>
            <w:left w:val="none" w:sz="0" w:space="0" w:color="auto"/>
            <w:bottom w:val="none" w:sz="0" w:space="0" w:color="auto"/>
            <w:right w:val="none" w:sz="0" w:space="0" w:color="auto"/>
          </w:divBdr>
        </w:div>
        <w:div w:id="2036231873">
          <w:marLeft w:val="640"/>
          <w:marRight w:val="0"/>
          <w:marTop w:val="0"/>
          <w:marBottom w:val="0"/>
          <w:divBdr>
            <w:top w:val="none" w:sz="0" w:space="0" w:color="auto"/>
            <w:left w:val="none" w:sz="0" w:space="0" w:color="auto"/>
            <w:bottom w:val="none" w:sz="0" w:space="0" w:color="auto"/>
            <w:right w:val="none" w:sz="0" w:space="0" w:color="auto"/>
          </w:divBdr>
        </w:div>
        <w:div w:id="2016883250">
          <w:marLeft w:val="640"/>
          <w:marRight w:val="0"/>
          <w:marTop w:val="0"/>
          <w:marBottom w:val="0"/>
          <w:divBdr>
            <w:top w:val="none" w:sz="0" w:space="0" w:color="auto"/>
            <w:left w:val="none" w:sz="0" w:space="0" w:color="auto"/>
            <w:bottom w:val="none" w:sz="0" w:space="0" w:color="auto"/>
            <w:right w:val="none" w:sz="0" w:space="0" w:color="auto"/>
          </w:divBdr>
        </w:div>
        <w:div w:id="817112746">
          <w:marLeft w:val="640"/>
          <w:marRight w:val="0"/>
          <w:marTop w:val="0"/>
          <w:marBottom w:val="0"/>
          <w:divBdr>
            <w:top w:val="none" w:sz="0" w:space="0" w:color="auto"/>
            <w:left w:val="none" w:sz="0" w:space="0" w:color="auto"/>
            <w:bottom w:val="none" w:sz="0" w:space="0" w:color="auto"/>
            <w:right w:val="none" w:sz="0" w:space="0" w:color="auto"/>
          </w:divBdr>
        </w:div>
        <w:div w:id="1377705771">
          <w:marLeft w:val="640"/>
          <w:marRight w:val="0"/>
          <w:marTop w:val="0"/>
          <w:marBottom w:val="0"/>
          <w:divBdr>
            <w:top w:val="none" w:sz="0" w:space="0" w:color="auto"/>
            <w:left w:val="none" w:sz="0" w:space="0" w:color="auto"/>
            <w:bottom w:val="none" w:sz="0" w:space="0" w:color="auto"/>
            <w:right w:val="none" w:sz="0" w:space="0" w:color="auto"/>
          </w:divBdr>
        </w:div>
        <w:div w:id="1257207943">
          <w:marLeft w:val="640"/>
          <w:marRight w:val="0"/>
          <w:marTop w:val="0"/>
          <w:marBottom w:val="0"/>
          <w:divBdr>
            <w:top w:val="none" w:sz="0" w:space="0" w:color="auto"/>
            <w:left w:val="none" w:sz="0" w:space="0" w:color="auto"/>
            <w:bottom w:val="none" w:sz="0" w:space="0" w:color="auto"/>
            <w:right w:val="none" w:sz="0" w:space="0" w:color="auto"/>
          </w:divBdr>
        </w:div>
        <w:div w:id="231307663">
          <w:marLeft w:val="640"/>
          <w:marRight w:val="0"/>
          <w:marTop w:val="0"/>
          <w:marBottom w:val="0"/>
          <w:divBdr>
            <w:top w:val="none" w:sz="0" w:space="0" w:color="auto"/>
            <w:left w:val="none" w:sz="0" w:space="0" w:color="auto"/>
            <w:bottom w:val="none" w:sz="0" w:space="0" w:color="auto"/>
            <w:right w:val="none" w:sz="0" w:space="0" w:color="auto"/>
          </w:divBdr>
        </w:div>
        <w:div w:id="334069717">
          <w:marLeft w:val="640"/>
          <w:marRight w:val="0"/>
          <w:marTop w:val="0"/>
          <w:marBottom w:val="0"/>
          <w:divBdr>
            <w:top w:val="none" w:sz="0" w:space="0" w:color="auto"/>
            <w:left w:val="none" w:sz="0" w:space="0" w:color="auto"/>
            <w:bottom w:val="none" w:sz="0" w:space="0" w:color="auto"/>
            <w:right w:val="none" w:sz="0" w:space="0" w:color="auto"/>
          </w:divBdr>
        </w:div>
      </w:divsChild>
    </w:div>
    <w:div w:id="728042299">
      <w:bodyDiv w:val="1"/>
      <w:marLeft w:val="0"/>
      <w:marRight w:val="0"/>
      <w:marTop w:val="0"/>
      <w:marBottom w:val="0"/>
      <w:divBdr>
        <w:top w:val="none" w:sz="0" w:space="0" w:color="auto"/>
        <w:left w:val="none" w:sz="0" w:space="0" w:color="auto"/>
        <w:bottom w:val="none" w:sz="0" w:space="0" w:color="auto"/>
        <w:right w:val="none" w:sz="0" w:space="0" w:color="auto"/>
      </w:divBdr>
      <w:divsChild>
        <w:div w:id="1664164388">
          <w:marLeft w:val="640"/>
          <w:marRight w:val="0"/>
          <w:marTop w:val="0"/>
          <w:marBottom w:val="0"/>
          <w:divBdr>
            <w:top w:val="none" w:sz="0" w:space="0" w:color="auto"/>
            <w:left w:val="none" w:sz="0" w:space="0" w:color="auto"/>
            <w:bottom w:val="none" w:sz="0" w:space="0" w:color="auto"/>
            <w:right w:val="none" w:sz="0" w:space="0" w:color="auto"/>
          </w:divBdr>
        </w:div>
        <w:div w:id="1356033464">
          <w:marLeft w:val="640"/>
          <w:marRight w:val="0"/>
          <w:marTop w:val="0"/>
          <w:marBottom w:val="0"/>
          <w:divBdr>
            <w:top w:val="none" w:sz="0" w:space="0" w:color="auto"/>
            <w:left w:val="none" w:sz="0" w:space="0" w:color="auto"/>
            <w:bottom w:val="none" w:sz="0" w:space="0" w:color="auto"/>
            <w:right w:val="none" w:sz="0" w:space="0" w:color="auto"/>
          </w:divBdr>
        </w:div>
        <w:div w:id="1471440457">
          <w:marLeft w:val="640"/>
          <w:marRight w:val="0"/>
          <w:marTop w:val="0"/>
          <w:marBottom w:val="0"/>
          <w:divBdr>
            <w:top w:val="none" w:sz="0" w:space="0" w:color="auto"/>
            <w:left w:val="none" w:sz="0" w:space="0" w:color="auto"/>
            <w:bottom w:val="none" w:sz="0" w:space="0" w:color="auto"/>
            <w:right w:val="none" w:sz="0" w:space="0" w:color="auto"/>
          </w:divBdr>
        </w:div>
        <w:div w:id="469248129">
          <w:marLeft w:val="640"/>
          <w:marRight w:val="0"/>
          <w:marTop w:val="0"/>
          <w:marBottom w:val="0"/>
          <w:divBdr>
            <w:top w:val="none" w:sz="0" w:space="0" w:color="auto"/>
            <w:left w:val="none" w:sz="0" w:space="0" w:color="auto"/>
            <w:bottom w:val="none" w:sz="0" w:space="0" w:color="auto"/>
            <w:right w:val="none" w:sz="0" w:space="0" w:color="auto"/>
          </w:divBdr>
        </w:div>
        <w:div w:id="1729108781">
          <w:marLeft w:val="640"/>
          <w:marRight w:val="0"/>
          <w:marTop w:val="0"/>
          <w:marBottom w:val="0"/>
          <w:divBdr>
            <w:top w:val="none" w:sz="0" w:space="0" w:color="auto"/>
            <w:left w:val="none" w:sz="0" w:space="0" w:color="auto"/>
            <w:bottom w:val="none" w:sz="0" w:space="0" w:color="auto"/>
            <w:right w:val="none" w:sz="0" w:space="0" w:color="auto"/>
          </w:divBdr>
        </w:div>
        <w:div w:id="550969625">
          <w:marLeft w:val="640"/>
          <w:marRight w:val="0"/>
          <w:marTop w:val="0"/>
          <w:marBottom w:val="0"/>
          <w:divBdr>
            <w:top w:val="none" w:sz="0" w:space="0" w:color="auto"/>
            <w:left w:val="none" w:sz="0" w:space="0" w:color="auto"/>
            <w:bottom w:val="none" w:sz="0" w:space="0" w:color="auto"/>
            <w:right w:val="none" w:sz="0" w:space="0" w:color="auto"/>
          </w:divBdr>
        </w:div>
        <w:div w:id="1121923993">
          <w:marLeft w:val="640"/>
          <w:marRight w:val="0"/>
          <w:marTop w:val="0"/>
          <w:marBottom w:val="0"/>
          <w:divBdr>
            <w:top w:val="none" w:sz="0" w:space="0" w:color="auto"/>
            <w:left w:val="none" w:sz="0" w:space="0" w:color="auto"/>
            <w:bottom w:val="none" w:sz="0" w:space="0" w:color="auto"/>
            <w:right w:val="none" w:sz="0" w:space="0" w:color="auto"/>
          </w:divBdr>
        </w:div>
        <w:div w:id="202405984">
          <w:marLeft w:val="640"/>
          <w:marRight w:val="0"/>
          <w:marTop w:val="0"/>
          <w:marBottom w:val="0"/>
          <w:divBdr>
            <w:top w:val="none" w:sz="0" w:space="0" w:color="auto"/>
            <w:left w:val="none" w:sz="0" w:space="0" w:color="auto"/>
            <w:bottom w:val="none" w:sz="0" w:space="0" w:color="auto"/>
            <w:right w:val="none" w:sz="0" w:space="0" w:color="auto"/>
          </w:divBdr>
        </w:div>
      </w:divsChild>
    </w:div>
    <w:div w:id="769739051">
      <w:bodyDiv w:val="1"/>
      <w:marLeft w:val="0"/>
      <w:marRight w:val="0"/>
      <w:marTop w:val="0"/>
      <w:marBottom w:val="0"/>
      <w:divBdr>
        <w:top w:val="none" w:sz="0" w:space="0" w:color="auto"/>
        <w:left w:val="none" w:sz="0" w:space="0" w:color="auto"/>
        <w:bottom w:val="none" w:sz="0" w:space="0" w:color="auto"/>
        <w:right w:val="none" w:sz="0" w:space="0" w:color="auto"/>
      </w:divBdr>
      <w:divsChild>
        <w:div w:id="124277584">
          <w:marLeft w:val="640"/>
          <w:marRight w:val="0"/>
          <w:marTop w:val="0"/>
          <w:marBottom w:val="0"/>
          <w:divBdr>
            <w:top w:val="none" w:sz="0" w:space="0" w:color="auto"/>
            <w:left w:val="none" w:sz="0" w:space="0" w:color="auto"/>
            <w:bottom w:val="none" w:sz="0" w:space="0" w:color="auto"/>
            <w:right w:val="none" w:sz="0" w:space="0" w:color="auto"/>
          </w:divBdr>
        </w:div>
        <w:div w:id="945581987">
          <w:marLeft w:val="640"/>
          <w:marRight w:val="0"/>
          <w:marTop w:val="0"/>
          <w:marBottom w:val="0"/>
          <w:divBdr>
            <w:top w:val="none" w:sz="0" w:space="0" w:color="auto"/>
            <w:left w:val="none" w:sz="0" w:space="0" w:color="auto"/>
            <w:bottom w:val="none" w:sz="0" w:space="0" w:color="auto"/>
            <w:right w:val="none" w:sz="0" w:space="0" w:color="auto"/>
          </w:divBdr>
        </w:div>
        <w:div w:id="1567690415">
          <w:marLeft w:val="640"/>
          <w:marRight w:val="0"/>
          <w:marTop w:val="0"/>
          <w:marBottom w:val="0"/>
          <w:divBdr>
            <w:top w:val="none" w:sz="0" w:space="0" w:color="auto"/>
            <w:left w:val="none" w:sz="0" w:space="0" w:color="auto"/>
            <w:bottom w:val="none" w:sz="0" w:space="0" w:color="auto"/>
            <w:right w:val="none" w:sz="0" w:space="0" w:color="auto"/>
          </w:divBdr>
        </w:div>
        <w:div w:id="1662152355">
          <w:marLeft w:val="640"/>
          <w:marRight w:val="0"/>
          <w:marTop w:val="0"/>
          <w:marBottom w:val="0"/>
          <w:divBdr>
            <w:top w:val="none" w:sz="0" w:space="0" w:color="auto"/>
            <w:left w:val="none" w:sz="0" w:space="0" w:color="auto"/>
            <w:bottom w:val="none" w:sz="0" w:space="0" w:color="auto"/>
            <w:right w:val="none" w:sz="0" w:space="0" w:color="auto"/>
          </w:divBdr>
        </w:div>
        <w:div w:id="81026020">
          <w:marLeft w:val="640"/>
          <w:marRight w:val="0"/>
          <w:marTop w:val="0"/>
          <w:marBottom w:val="0"/>
          <w:divBdr>
            <w:top w:val="none" w:sz="0" w:space="0" w:color="auto"/>
            <w:left w:val="none" w:sz="0" w:space="0" w:color="auto"/>
            <w:bottom w:val="none" w:sz="0" w:space="0" w:color="auto"/>
            <w:right w:val="none" w:sz="0" w:space="0" w:color="auto"/>
          </w:divBdr>
        </w:div>
        <w:div w:id="1883249257">
          <w:marLeft w:val="640"/>
          <w:marRight w:val="0"/>
          <w:marTop w:val="0"/>
          <w:marBottom w:val="0"/>
          <w:divBdr>
            <w:top w:val="none" w:sz="0" w:space="0" w:color="auto"/>
            <w:left w:val="none" w:sz="0" w:space="0" w:color="auto"/>
            <w:bottom w:val="none" w:sz="0" w:space="0" w:color="auto"/>
            <w:right w:val="none" w:sz="0" w:space="0" w:color="auto"/>
          </w:divBdr>
        </w:div>
        <w:div w:id="1172833788">
          <w:marLeft w:val="640"/>
          <w:marRight w:val="0"/>
          <w:marTop w:val="0"/>
          <w:marBottom w:val="0"/>
          <w:divBdr>
            <w:top w:val="none" w:sz="0" w:space="0" w:color="auto"/>
            <w:left w:val="none" w:sz="0" w:space="0" w:color="auto"/>
            <w:bottom w:val="none" w:sz="0" w:space="0" w:color="auto"/>
            <w:right w:val="none" w:sz="0" w:space="0" w:color="auto"/>
          </w:divBdr>
        </w:div>
        <w:div w:id="429663552">
          <w:marLeft w:val="640"/>
          <w:marRight w:val="0"/>
          <w:marTop w:val="0"/>
          <w:marBottom w:val="0"/>
          <w:divBdr>
            <w:top w:val="none" w:sz="0" w:space="0" w:color="auto"/>
            <w:left w:val="none" w:sz="0" w:space="0" w:color="auto"/>
            <w:bottom w:val="none" w:sz="0" w:space="0" w:color="auto"/>
            <w:right w:val="none" w:sz="0" w:space="0" w:color="auto"/>
          </w:divBdr>
        </w:div>
        <w:div w:id="313536596">
          <w:marLeft w:val="640"/>
          <w:marRight w:val="0"/>
          <w:marTop w:val="0"/>
          <w:marBottom w:val="0"/>
          <w:divBdr>
            <w:top w:val="none" w:sz="0" w:space="0" w:color="auto"/>
            <w:left w:val="none" w:sz="0" w:space="0" w:color="auto"/>
            <w:bottom w:val="none" w:sz="0" w:space="0" w:color="auto"/>
            <w:right w:val="none" w:sz="0" w:space="0" w:color="auto"/>
          </w:divBdr>
        </w:div>
      </w:divsChild>
    </w:div>
    <w:div w:id="834370825">
      <w:bodyDiv w:val="1"/>
      <w:marLeft w:val="0"/>
      <w:marRight w:val="0"/>
      <w:marTop w:val="0"/>
      <w:marBottom w:val="0"/>
      <w:divBdr>
        <w:top w:val="none" w:sz="0" w:space="0" w:color="auto"/>
        <w:left w:val="none" w:sz="0" w:space="0" w:color="auto"/>
        <w:bottom w:val="none" w:sz="0" w:space="0" w:color="auto"/>
        <w:right w:val="none" w:sz="0" w:space="0" w:color="auto"/>
      </w:divBdr>
      <w:divsChild>
        <w:div w:id="1040326540">
          <w:marLeft w:val="640"/>
          <w:marRight w:val="0"/>
          <w:marTop w:val="0"/>
          <w:marBottom w:val="0"/>
          <w:divBdr>
            <w:top w:val="none" w:sz="0" w:space="0" w:color="auto"/>
            <w:left w:val="none" w:sz="0" w:space="0" w:color="auto"/>
            <w:bottom w:val="none" w:sz="0" w:space="0" w:color="auto"/>
            <w:right w:val="none" w:sz="0" w:space="0" w:color="auto"/>
          </w:divBdr>
        </w:div>
        <w:div w:id="1109475293">
          <w:marLeft w:val="640"/>
          <w:marRight w:val="0"/>
          <w:marTop w:val="0"/>
          <w:marBottom w:val="0"/>
          <w:divBdr>
            <w:top w:val="none" w:sz="0" w:space="0" w:color="auto"/>
            <w:left w:val="none" w:sz="0" w:space="0" w:color="auto"/>
            <w:bottom w:val="none" w:sz="0" w:space="0" w:color="auto"/>
            <w:right w:val="none" w:sz="0" w:space="0" w:color="auto"/>
          </w:divBdr>
        </w:div>
        <w:div w:id="755908419">
          <w:marLeft w:val="640"/>
          <w:marRight w:val="0"/>
          <w:marTop w:val="0"/>
          <w:marBottom w:val="0"/>
          <w:divBdr>
            <w:top w:val="none" w:sz="0" w:space="0" w:color="auto"/>
            <w:left w:val="none" w:sz="0" w:space="0" w:color="auto"/>
            <w:bottom w:val="none" w:sz="0" w:space="0" w:color="auto"/>
            <w:right w:val="none" w:sz="0" w:space="0" w:color="auto"/>
          </w:divBdr>
        </w:div>
        <w:div w:id="284118863">
          <w:marLeft w:val="640"/>
          <w:marRight w:val="0"/>
          <w:marTop w:val="0"/>
          <w:marBottom w:val="0"/>
          <w:divBdr>
            <w:top w:val="none" w:sz="0" w:space="0" w:color="auto"/>
            <w:left w:val="none" w:sz="0" w:space="0" w:color="auto"/>
            <w:bottom w:val="none" w:sz="0" w:space="0" w:color="auto"/>
            <w:right w:val="none" w:sz="0" w:space="0" w:color="auto"/>
          </w:divBdr>
        </w:div>
        <w:div w:id="527571655">
          <w:marLeft w:val="640"/>
          <w:marRight w:val="0"/>
          <w:marTop w:val="0"/>
          <w:marBottom w:val="0"/>
          <w:divBdr>
            <w:top w:val="none" w:sz="0" w:space="0" w:color="auto"/>
            <w:left w:val="none" w:sz="0" w:space="0" w:color="auto"/>
            <w:bottom w:val="none" w:sz="0" w:space="0" w:color="auto"/>
            <w:right w:val="none" w:sz="0" w:space="0" w:color="auto"/>
          </w:divBdr>
        </w:div>
        <w:div w:id="1194688227">
          <w:marLeft w:val="640"/>
          <w:marRight w:val="0"/>
          <w:marTop w:val="0"/>
          <w:marBottom w:val="0"/>
          <w:divBdr>
            <w:top w:val="none" w:sz="0" w:space="0" w:color="auto"/>
            <w:left w:val="none" w:sz="0" w:space="0" w:color="auto"/>
            <w:bottom w:val="none" w:sz="0" w:space="0" w:color="auto"/>
            <w:right w:val="none" w:sz="0" w:space="0" w:color="auto"/>
          </w:divBdr>
        </w:div>
        <w:div w:id="1788116874">
          <w:marLeft w:val="640"/>
          <w:marRight w:val="0"/>
          <w:marTop w:val="0"/>
          <w:marBottom w:val="0"/>
          <w:divBdr>
            <w:top w:val="none" w:sz="0" w:space="0" w:color="auto"/>
            <w:left w:val="none" w:sz="0" w:space="0" w:color="auto"/>
            <w:bottom w:val="none" w:sz="0" w:space="0" w:color="auto"/>
            <w:right w:val="none" w:sz="0" w:space="0" w:color="auto"/>
          </w:divBdr>
        </w:div>
        <w:div w:id="2121217175">
          <w:marLeft w:val="640"/>
          <w:marRight w:val="0"/>
          <w:marTop w:val="0"/>
          <w:marBottom w:val="0"/>
          <w:divBdr>
            <w:top w:val="none" w:sz="0" w:space="0" w:color="auto"/>
            <w:left w:val="none" w:sz="0" w:space="0" w:color="auto"/>
            <w:bottom w:val="none" w:sz="0" w:space="0" w:color="auto"/>
            <w:right w:val="none" w:sz="0" w:space="0" w:color="auto"/>
          </w:divBdr>
        </w:div>
        <w:div w:id="164325943">
          <w:marLeft w:val="640"/>
          <w:marRight w:val="0"/>
          <w:marTop w:val="0"/>
          <w:marBottom w:val="0"/>
          <w:divBdr>
            <w:top w:val="none" w:sz="0" w:space="0" w:color="auto"/>
            <w:left w:val="none" w:sz="0" w:space="0" w:color="auto"/>
            <w:bottom w:val="none" w:sz="0" w:space="0" w:color="auto"/>
            <w:right w:val="none" w:sz="0" w:space="0" w:color="auto"/>
          </w:divBdr>
        </w:div>
        <w:div w:id="1915775758">
          <w:marLeft w:val="640"/>
          <w:marRight w:val="0"/>
          <w:marTop w:val="0"/>
          <w:marBottom w:val="0"/>
          <w:divBdr>
            <w:top w:val="none" w:sz="0" w:space="0" w:color="auto"/>
            <w:left w:val="none" w:sz="0" w:space="0" w:color="auto"/>
            <w:bottom w:val="none" w:sz="0" w:space="0" w:color="auto"/>
            <w:right w:val="none" w:sz="0" w:space="0" w:color="auto"/>
          </w:divBdr>
        </w:div>
      </w:divsChild>
    </w:div>
    <w:div w:id="905651596">
      <w:bodyDiv w:val="1"/>
      <w:marLeft w:val="0"/>
      <w:marRight w:val="0"/>
      <w:marTop w:val="0"/>
      <w:marBottom w:val="0"/>
      <w:divBdr>
        <w:top w:val="none" w:sz="0" w:space="0" w:color="auto"/>
        <w:left w:val="none" w:sz="0" w:space="0" w:color="auto"/>
        <w:bottom w:val="none" w:sz="0" w:space="0" w:color="auto"/>
        <w:right w:val="none" w:sz="0" w:space="0" w:color="auto"/>
      </w:divBdr>
    </w:div>
    <w:div w:id="966931432">
      <w:bodyDiv w:val="1"/>
      <w:marLeft w:val="0"/>
      <w:marRight w:val="0"/>
      <w:marTop w:val="0"/>
      <w:marBottom w:val="0"/>
      <w:divBdr>
        <w:top w:val="none" w:sz="0" w:space="0" w:color="auto"/>
        <w:left w:val="none" w:sz="0" w:space="0" w:color="auto"/>
        <w:bottom w:val="none" w:sz="0" w:space="0" w:color="auto"/>
        <w:right w:val="none" w:sz="0" w:space="0" w:color="auto"/>
      </w:divBdr>
      <w:divsChild>
        <w:div w:id="1210800826">
          <w:marLeft w:val="0"/>
          <w:marRight w:val="0"/>
          <w:marTop w:val="0"/>
          <w:marBottom w:val="0"/>
          <w:divBdr>
            <w:top w:val="none" w:sz="0" w:space="0" w:color="auto"/>
            <w:left w:val="none" w:sz="0" w:space="0" w:color="auto"/>
            <w:bottom w:val="none" w:sz="0" w:space="0" w:color="auto"/>
            <w:right w:val="none" w:sz="0" w:space="0" w:color="auto"/>
          </w:divBdr>
          <w:divsChild>
            <w:div w:id="1029725362">
              <w:marLeft w:val="0"/>
              <w:marRight w:val="0"/>
              <w:marTop w:val="0"/>
              <w:marBottom w:val="0"/>
              <w:divBdr>
                <w:top w:val="none" w:sz="0" w:space="0" w:color="auto"/>
                <w:left w:val="none" w:sz="0" w:space="0" w:color="auto"/>
                <w:bottom w:val="none" w:sz="0" w:space="0" w:color="auto"/>
                <w:right w:val="none" w:sz="0" w:space="0" w:color="auto"/>
              </w:divBdr>
              <w:divsChild>
                <w:div w:id="6870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73773">
      <w:bodyDiv w:val="1"/>
      <w:marLeft w:val="0"/>
      <w:marRight w:val="0"/>
      <w:marTop w:val="0"/>
      <w:marBottom w:val="0"/>
      <w:divBdr>
        <w:top w:val="none" w:sz="0" w:space="0" w:color="auto"/>
        <w:left w:val="none" w:sz="0" w:space="0" w:color="auto"/>
        <w:bottom w:val="none" w:sz="0" w:space="0" w:color="auto"/>
        <w:right w:val="none" w:sz="0" w:space="0" w:color="auto"/>
      </w:divBdr>
      <w:divsChild>
        <w:div w:id="407533354">
          <w:marLeft w:val="640"/>
          <w:marRight w:val="0"/>
          <w:marTop w:val="0"/>
          <w:marBottom w:val="0"/>
          <w:divBdr>
            <w:top w:val="none" w:sz="0" w:space="0" w:color="auto"/>
            <w:left w:val="none" w:sz="0" w:space="0" w:color="auto"/>
            <w:bottom w:val="none" w:sz="0" w:space="0" w:color="auto"/>
            <w:right w:val="none" w:sz="0" w:space="0" w:color="auto"/>
          </w:divBdr>
        </w:div>
        <w:div w:id="769786158">
          <w:marLeft w:val="640"/>
          <w:marRight w:val="0"/>
          <w:marTop w:val="0"/>
          <w:marBottom w:val="0"/>
          <w:divBdr>
            <w:top w:val="none" w:sz="0" w:space="0" w:color="auto"/>
            <w:left w:val="none" w:sz="0" w:space="0" w:color="auto"/>
            <w:bottom w:val="none" w:sz="0" w:space="0" w:color="auto"/>
            <w:right w:val="none" w:sz="0" w:space="0" w:color="auto"/>
          </w:divBdr>
        </w:div>
        <w:div w:id="1407192360">
          <w:marLeft w:val="640"/>
          <w:marRight w:val="0"/>
          <w:marTop w:val="0"/>
          <w:marBottom w:val="0"/>
          <w:divBdr>
            <w:top w:val="none" w:sz="0" w:space="0" w:color="auto"/>
            <w:left w:val="none" w:sz="0" w:space="0" w:color="auto"/>
            <w:bottom w:val="none" w:sz="0" w:space="0" w:color="auto"/>
            <w:right w:val="none" w:sz="0" w:space="0" w:color="auto"/>
          </w:divBdr>
        </w:div>
        <w:div w:id="1404647797">
          <w:marLeft w:val="640"/>
          <w:marRight w:val="0"/>
          <w:marTop w:val="0"/>
          <w:marBottom w:val="0"/>
          <w:divBdr>
            <w:top w:val="none" w:sz="0" w:space="0" w:color="auto"/>
            <w:left w:val="none" w:sz="0" w:space="0" w:color="auto"/>
            <w:bottom w:val="none" w:sz="0" w:space="0" w:color="auto"/>
            <w:right w:val="none" w:sz="0" w:space="0" w:color="auto"/>
          </w:divBdr>
        </w:div>
        <w:div w:id="1372270093">
          <w:marLeft w:val="640"/>
          <w:marRight w:val="0"/>
          <w:marTop w:val="0"/>
          <w:marBottom w:val="0"/>
          <w:divBdr>
            <w:top w:val="none" w:sz="0" w:space="0" w:color="auto"/>
            <w:left w:val="none" w:sz="0" w:space="0" w:color="auto"/>
            <w:bottom w:val="none" w:sz="0" w:space="0" w:color="auto"/>
            <w:right w:val="none" w:sz="0" w:space="0" w:color="auto"/>
          </w:divBdr>
        </w:div>
        <w:div w:id="776564500">
          <w:marLeft w:val="640"/>
          <w:marRight w:val="0"/>
          <w:marTop w:val="0"/>
          <w:marBottom w:val="0"/>
          <w:divBdr>
            <w:top w:val="none" w:sz="0" w:space="0" w:color="auto"/>
            <w:left w:val="none" w:sz="0" w:space="0" w:color="auto"/>
            <w:bottom w:val="none" w:sz="0" w:space="0" w:color="auto"/>
            <w:right w:val="none" w:sz="0" w:space="0" w:color="auto"/>
          </w:divBdr>
        </w:div>
        <w:div w:id="179244169">
          <w:marLeft w:val="640"/>
          <w:marRight w:val="0"/>
          <w:marTop w:val="0"/>
          <w:marBottom w:val="0"/>
          <w:divBdr>
            <w:top w:val="none" w:sz="0" w:space="0" w:color="auto"/>
            <w:left w:val="none" w:sz="0" w:space="0" w:color="auto"/>
            <w:bottom w:val="none" w:sz="0" w:space="0" w:color="auto"/>
            <w:right w:val="none" w:sz="0" w:space="0" w:color="auto"/>
          </w:divBdr>
        </w:div>
        <w:div w:id="2027634444">
          <w:marLeft w:val="640"/>
          <w:marRight w:val="0"/>
          <w:marTop w:val="0"/>
          <w:marBottom w:val="0"/>
          <w:divBdr>
            <w:top w:val="none" w:sz="0" w:space="0" w:color="auto"/>
            <w:left w:val="none" w:sz="0" w:space="0" w:color="auto"/>
            <w:bottom w:val="none" w:sz="0" w:space="0" w:color="auto"/>
            <w:right w:val="none" w:sz="0" w:space="0" w:color="auto"/>
          </w:divBdr>
        </w:div>
      </w:divsChild>
    </w:div>
    <w:div w:id="1319457666">
      <w:bodyDiv w:val="1"/>
      <w:marLeft w:val="0"/>
      <w:marRight w:val="0"/>
      <w:marTop w:val="0"/>
      <w:marBottom w:val="0"/>
      <w:divBdr>
        <w:top w:val="none" w:sz="0" w:space="0" w:color="auto"/>
        <w:left w:val="none" w:sz="0" w:space="0" w:color="auto"/>
        <w:bottom w:val="none" w:sz="0" w:space="0" w:color="auto"/>
        <w:right w:val="none" w:sz="0" w:space="0" w:color="auto"/>
      </w:divBdr>
    </w:div>
    <w:div w:id="1371421547">
      <w:bodyDiv w:val="1"/>
      <w:marLeft w:val="0"/>
      <w:marRight w:val="0"/>
      <w:marTop w:val="0"/>
      <w:marBottom w:val="0"/>
      <w:divBdr>
        <w:top w:val="none" w:sz="0" w:space="0" w:color="auto"/>
        <w:left w:val="none" w:sz="0" w:space="0" w:color="auto"/>
        <w:bottom w:val="none" w:sz="0" w:space="0" w:color="auto"/>
        <w:right w:val="none" w:sz="0" w:space="0" w:color="auto"/>
      </w:divBdr>
    </w:div>
    <w:div w:id="1391996768">
      <w:bodyDiv w:val="1"/>
      <w:marLeft w:val="0"/>
      <w:marRight w:val="0"/>
      <w:marTop w:val="0"/>
      <w:marBottom w:val="0"/>
      <w:divBdr>
        <w:top w:val="none" w:sz="0" w:space="0" w:color="auto"/>
        <w:left w:val="none" w:sz="0" w:space="0" w:color="auto"/>
        <w:bottom w:val="none" w:sz="0" w:space="0" w:color="auto"/>
        <w:right w:val="none" w:sz="0" w:space="0" w:color="auto"/>
      </w:divBdr>
    </w:div>
    <w:div w:id="1565526963">
      <w:bodyDiv w:val="1"/>
      <w:marLeft w:val="0"/>
      <w:marRight w:val="0"/>
      <w:marTop w:val="0"/>
      <w:marBottom w:val="0"/>
      <w:divBdr>
        <w:top w:val="none" w:sz="0" w:space="0" w:color="auto"/>
        <w:left w:val="none" w:sz="0" w:space="0" w:color="auto"/>
        <w:bottom w:val="none" w:sz="0" w:space="0" w:color="auto"/>
        <w:right w:val="none" w:sz="0" w:space="0" w:color="auto"/>
      </w:divBdr>
    </w:div>
    <w:div w:id="1812164876">
      <w:bodyDiv w:val="1"/>
      <w:marLeft w:val="0"/>
      <w:marRight w:val="0"/>
      <w:marTop w:val="0"/>
      <w:marBottom w:val="0"/>
      <w:divBdr>
        <w:top w:val="none" w:sz="0" w:space="0" w:color="auto"/>
        <w:left w:val="none" w:sz="0" w:space="0" w:color="auto"/>
        <w:bottom w:val="none" w:sz="0" w:space="0" w:color="auto"/>
        <w:right w:val="none" w:sz="0" w:space="0" w:color="auto"/>
      </w:divBdr>
      <w:divsChild>
        <w:div w:id="887035818">
          <w:marLeft w:val="0"/>
          <w:marRight w:val="0"/>
          <w:marTop w:val="0"/>
          <w:marBottom w:val="0"/>
          <w:divBdr>
            <w:top w:val="none" w:sz="0" w:space="0" w:color="auto"/>
            <w:left w:val="none" w:sz="0" w:space="0" w:color="auto"/>
            <w:bottom w:val="none" w:sz="0" w:space="0" w:color="auto"/>
            <w:right w:val="none" w:sz="0" w:space="0" w:color="auto"/>
          </w:divBdr>
          <w:divsChild>
            <w:div w:id="1098940096">
              <w:marLeft w:val="0"/>
              <w:marRight w:val="0"/>
              <w:marTop w:val="0"/>
              <w:marBottom w:val="0"/>
              <w:divBdr>
                <w:top w:val="none" w:sz="0" w:space="0" w:color="auto"/>
                <w:left w:val="none" w:sz="0" w:space="0" w:color="auto"/>
                <w:bottom w:val="none" w:sz="0" w:space="0" w:color="auto"/>
                <w:right w:val="none" w:sz="0" w:space="0" w:color="auto"/>
              </w:divBdr>
              <w:divsChild>
                <w:div w:id="6597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3C809A7B792B4C9B52BC35DD499740"/>
        <w:category>
          <w:name w:val="Generelt"/>
          <w:gallery w:val="placeholder"/>
        </w:category>
        <w:types>
          <w:type w:val="bbPlcHdr"/>
        </w:types>
        <w:behaviors>
          <w:behavior w:val="content"/>
        </w:behaviors>
        <w:guid w:val="{8FB23AAF-EF21-C940-89AA-5A1A52DED930}"/>
      </w:docPartPr>
      <w:docPartBody>
        <w:p w:rsidR="00AB6F49" w:rsidRDefault="00DD6A84" w:rsidP="00DD6A84">
          <w:pPr>
            <w:pStyle w:val="123C809A7B792B4C9B52BC35DD499740"/>
          </w:pPr>
          <w:r w:rsidRPr="00081033">
            <w:rPr>
              <w:rStyle w:val="Pladsholdertekst"/>
            </w:rPr>
            <w:t>Klik eller tryk her for at skrive tekst.</w:t>
          </w:r>
        </w:p>
      </w:docPartBody>
    </w:docPart>
    <w:docPart>
      <w:docPartPr>
        <w:name w:val="7D2064B4983EC8489B3ED8B5DA91025B"/>
        <w:category>
          <w:name w:val="Generelt"/>
          <w:gallery w:val="placeholder"/>
        </w:category>
        <w:types>
          <w:type w:val="bbPlcHdr"/>
        </w:types>
        <w:behaviors>
          <w:behavior w:val="content"/>
        </w:behaviors>
        <w:guid w:val="{7001180F-A5AB-E84E-B163-8F7A1E86E599}"/>
      </w:docPartPr>
      <w:docPartBody>
        <w:p w:rsidR="00AB6F49" w:rsidRDefault="00DD6A84" w:rsidP="00DD6A84">
          <w:pPr>
            <w:pStyle w:val="7D2064B4983EC8489B3ED8B5DA91025B"/>
          </w:pPr>
          <w:r w:rsidRPr="00081033">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7F7114C0-6501-F348-B64C-0D5F5578E8BD}"/>
      </w:docPartPr>
      <w:docPartBody>
        <w:p w:rsidR="00AB6F49" w:rsidRDefault="00DD6A84">
          <w:r w:rsidRPr="00540406">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A0"/>
    <w:rsid w:val="000B10DB"/>
    <w:rsid w:val="00112587"/>
    <w:rsid w:val="00164CA6"/>
    <w:rsid w:val="0021137C"/>
    <w:rsid w:val="00247CBE"/>
    <w:rsid w:val="002A6E00"/>
    <w:rsid w:val="003C67A0"/>
    <w:rsid w:val="00404D05"/>
    <w:rsid w:val="004207E2"/>
    <w:rsid w:val="004536FB"/>
    <w:rsid w:val="00473280"/>
    <w:rsid w:val="00502230"/>
    <w:rsid w:val="00536CC2"/>
    <w:rsid w:val="00695D80"/>
    <w:rsid w:val="007024D9"/>
    <w:rsid w:val="00760AC1"/>
    <w:rsid w:val="00A16897"/>
    <w:rsid w:val="00A50EA5"/>
    <w:rsid w:val="00AB6F49"/>
    <w:rsid w:val="00DD6A84"/>
    <w:rsid w:val="00F04975"/>
    <w:rsid w:val="00F569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da-DK"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D6A84"/>
    <w:rPr>
      <w:color w:val="666666"/>
    </w:rPr>
  </w:style>
  <w:style w:type="paragraph" w:customStyle="1" w:styleId="123C809A7B792B4C9B52BC35DD499740">
    <w:name w:val="123C809A7B792B4C9B52BC35DD499740"/>
    <w:rsid w:val="00DD6A84"/>
  </w:style>
  <w:style w:type="paragraph" w:customStyle="1" w:styleId="7D2064B4983EC8489B3ED8B5DA91025B">
    <w:name w:val="7D2064B4983EC8489B3ED8B5DA91025B"/>
    <w:rsid w:val="00DD6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ED5E59-44DF-944E-BFE7-EFABAD8FCEE4}">
  <we:reference id="wa104382081" version="1.55.1.0" store="da-DK" storeType="OMEX"/>
  <we:alternateReferences>
    <we:reference id="WA104382081" version="1.55.1.0" store="" storeType="OMEX"/>
  </we:alternateReferences>
  <we:properties>
    <we:property name="MENDELEY_CITATIONS" value="[{&quot;citationID&quot;:&quot;MENDELEY_CITATION_ace2dc65-0550-48ff-bce0-db45a26bf41d&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&quot;,&quot;citationItems&quot;:[{&quot;id&quot;:&quot;27db2316-a404-330e-a5b4-f3feb17fc3a2&quot;,&quot;itemData&quot;:{&quot;DOI&quot;:&quot;10.1177/1403494810387965&quot;,&quot;ISBN&quot;:&quot;1651-1905 (Electronic)\\r1403-4948 (Linking)&quot;,&quot;ISSN&quot;:&quot;1403-4948&quot;,&quot;PMID&quot;:&quot;21775345&quot;,&quot;abstract&quot;:&quot;The Danish Civil Registration System (CRS) was established in 1968, and all persons alive and living in Denmark were registered for administrative use.&quot;,&quot;author&quot;:[{&quot;dropping-particle&quot;:&quot;&quot;,&quot;family&quot;:&quot;Pedersen&quot;,&quot;given&quot;:&quot;Carsten Bøcker&quot;,&quot;non-dropping-particle&quot;:&quot;&quot;,&quot;parse-names&quot;:false,&quot;suffix&quot;:&quot;&quot;}],&quot;container-title&quot;:&quot;Scandinavian journal of public health&quot;,&quot;id&quot;:&quot;27db2316-a404-330e-a5b4-f3feb17fc3a2&quot;,&quot;issue&quot;:&quot;7 Suppl&quot;,&quot;issued&quot;:{&quot;date-parts&quot;:[[&quot;2011&quot;]]},&quot;page&quot;:&quot;22-25&quot;,&quot;title&quot;:&quot;The Danish Civil Registration System.&quot;,&quot;type&quot;:&quot;article-journal&quot;,&quot;volume&quot;:&quot;39&quot;,&quot;container-title-short&quot;:&quot;Scand J Public Health&quot;},&quot;uris&quot;:[&quot;http://www.mendeley.com/documents/?uuid=54f460eb-8102-4dbf-8331-4af211b33765&quot;],&quot;isTemporary&quot;:false,&quot;legacyDesktopId&quot;:&quot;54f460eb-8102-4dbf-8331-4af211b33765&quot;},{&quot;id&quot;:&quot;e1ff5528-89f5-38dc-a94c-4570ba9541ac&quot;,&quot;itemData&quot;:{&quot;DOI&quot;:&quot;10.1177/1403494810387965&quot;,&quot;ISSN&quot;:&quot;1603-9629&quot;,&quot;PMID&quot;:&quot;17150149&quot;,&quot;abstract&quot;:&quot;BACKGROUND: The Danish Civil Registration System (CRS) was established in 1968, where all persons alive and living in Denmark were registered. Among many other variables, it includes individual information on personal identification number, gender, date of birth, place of birth, place of residence, citizenship, continuously updated information on vital status, and the identity of parents and spouses. METHODS: To evaluate the quality and completeness of the information recorded on persons in the CRS, we considered all persons registered on November 4, 2005, i.e. all persons who were alive and resident in Denmark at least one day from April 2, 1968 to November 4, 2005, or in Greenland from May 1, 1972 to November 4, 2005. RESULTS: A total of 8,176,097 persons were registered. On November 4, 2005, 5,427,687 (66.4%) were alive and resident in Denmark, 56,920 (0.7%) were alive and resident in Greenland, 2,141,373 (26.2%) were dead, 21,160 (0.3%) had disappeared, and 528,957 (6.5%) had emigrated. Among persons born in Denmark 1960 or later the CRS contains complete information on maternal identity. Among persons born in Denmark 1970 or later the CRS contains complete information on paternal identity. Among women born in Denmark April 1935 or later the CRS contains complete information on all their children. Among males born in Denmark April 1945 or later the CRS contains complete information on all their children. The CRS contains complete information on: a) immigrations and emigrations from 1971 onwards, b) permanent residence in a Danish municipality from 1971 onwards, c) permanent residence in a municipality in Greenland from May 1972 onwards, and d) full address in Denmark from 1977 onwards. CONCLUSION: Data from the CRS is an important research tool in epidemiological research, which enables Danish researchers to carry out representative population-based studies on e.g. the potential clustering of disease and death in families and the potential association between residence and disease and death.&quot;,&quot;author&quot;:[{&quot;dropping-particle&quot;:&quot;&quot;,&quot;family&quot;:&quot;Pedersen&quot;,&quot;given&quot;:&quot;Carsten Bøcker&quot;,&quot;non-dropping-particle&quot;:&quot;&quot;,&quot;parse-names&quot;:false,&quot;suffix&quot;:&quot;&quot;},{&quot;dropping-particle&quot;:&quot;&quot;,&quot;family&quot;:&quot;Gøtzsche&quot;,&quot;given&quot;:&quot;Heine&quot;,&quot;non-dropping-particle&quot;:&quot;&quot;,&quot;parse-names&quot;:false,&quot;suffix&quot;:&quot;&quot;},{&quot;dropping-particle&quot;:&quot;&quot;,&quot;family&quot;:&quot;Møller&quot;,&quot;given&quot;:&quot;Jørgen Ostrup&quot;,&quot;non-dropping-particle&quot;:&quot;&quot;,&quot;parse-names&quot;:false,&quot;suffix&quot;:&quot;&quot;},{&quot;dropping-particle&quot;:&quot;&quot;,&quot;family&quot;:&quot;Mortensen&quot;,&quot;given&quot;:&quot;Preben Bo&quot;,&quot;non-dropping-particle&quot;:&quot;&quot;,&quot;parse-names&quot;:false,&quot;suffix&quot;:&quot;&quot;}],&quot;container-title&quot;:&quot;Danish medical bulletin&quot;,&quot;id&quot;:&quot;e1ff5528-89f5-38dc-a94c-4570ba9541ac&quot;,&quot;issue&quot;:&quot;4&quot;,&quot;issued&quot;:{&quot;date-parts&quot;:[[&quot;2006&quot;]]},&quot;page&quot;:&quot;441-449&quot;,&quot;title&quot;:&quot;The Danish Civil Registration System. A cohort of eight million persons.&quot;,&quot;type&quot;:&quot;article-journal&quot;,&quot;volume&quot;:&quot;53&quot;,&quot;container-title-short&quot;:&quot;Dan Med Bull&quot;},&quot;uris&quot;:[&quot;http://www.mendeley.com/documents/?uuid=fe7e00f5-dd58-4043-b7a2-27978c06ae83&quot;],&quot;isTemporary&quot;:false,&quot;legacyDesktopId&quot;:&quot;fe7e00f5-dd58-4043-b7a2-27978c06ae83&quot;}]},{&quot;citationID&quot;:&quot;MENDELEY_CITATION_89ae0c44-fa64-4366-8e17-fd1dd1af2514&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&quot;,&quot;citationItems&quot;:[{&quot;id&quot;:&quot;27db2316-a404-330e-a5b4-f3feb17fc3a2&quot;,&quot;itemData&quot;:{&quot;DOI&quot;:&quot;10.1177/1403494810387965&quot;,&quot;ISBN&quot;:&quot;1651-1905 (Electronic)\\r1403-4948 (Linking)&quot;,&quot;ISSN&quot;:&quot;1403-4948&quot;,&quot;PMID&quot;:&quot;21775345&quot;,&quot;abstract&quot;:&quot;The Danish Civil Registration System (CRS) was established in 1968, and all persons alive and living in Denmark were registered for administrative use.&quot;,&quot;author&quot;:[{&quot;dropping-particle&quot;:&quot;&quot;,&quot;family&quot;:&quot;Pedersen&quot;,&quot;given&quot;:&quot;Carsten Bøcker&quot;,&quot;non-dropping-particle&quot;:&quot;&quot;,&quot;parse-names&quot;:false,&quot;suffix&quot;:&quot;&quot;}],&quot;container-title&quot;:&quot;Scandinavian journal of public health&quot;,&quot;id&quot;:&quot;27db2316-a404-330e-a5b4-f3feb17fc3a2&quot;,&quot;issue&quot;:&quot;7 Suppl&quot;,&quot;issued&quot;:{&quot;date-parts&quot;:[[&quot;2011&quot;]]},&quot;page&quot;:&quot;22-25&quot;,&quot;title&quot;:&quot;The Danish Civil Registration System.&quot;,&quot;type&quot;:&quot;article-journal&quot;,&quot;volume&quot;:&quot;39&quot;,&quot;container-title-short&quot;:&quot;Scand J Public Health&quot;},&quot;uris&quot;:[&quot;http://www.mendeley.com/documents/?uuid=54f460eb-8102-4dbf-8331-4af211b33765&quot;],&quot;isTemporary&quot;:false,&quot;legacyDesktopId&quot;:&quot;54f460eb-8102-4dbf-8331-4af211b33765&quot;},{&quot;id&quot;:&quot;e1ff5528-89f5-38dc-a94c-4570ba9541ac&quot;,&quot;itemData&quot;:{&quot;DOI&quot;:&quot;10.1177/1403494810387965&quot;,&quot;ISSN&quot;:&quot;1603-9629&quot;,&quot;PMID&quot;:&quot;17150149&quot;,&quot;abstract&quot;:&quot;BACKGROUND: The Danish Civil Registration System (CRS) was established in 1968, where all persons alive and living in Denmark were registered. Among many other variables, it includes individual information on personal identification number, gender, date of birth, place of birth, place of residence, citizenship, continuously updated information on vital status, and the identity of parents and spouses. METHODS: To evaluate the quality and completeness of the information recorded on persons in the CRS, we considered all persons registered on November 4, 2005, i.e. all persons who were alive and resident in Denmark at least one day from April 2, 1968 to November 4, 2005, or in Greenland from May 1, 1972 to November 4, 2005. RESULTS: A total of 8,176,097 persons were registered. On November 4, 2005, 5,427,687 (66.4%) were alive and resident in Denmark, 56,920 (0.7%) were alive and resident in Greenland, 2,141,373 (26.2%) were dead, 21,160 (0.3%) had disappeared, and 528,957 (6.5%) had emigrated. Among persons born in Denmark 1960 or later the CRS contains complete information on maternal identity. Among persons born in Denmark 1970 or later the CRS contains complete information on paternal identity. Among women born in Denmark April 1935 or later the CRS contains complete information on all their children. Among males born in Denmark April 1945 or later the CRS contains complete information on all their children. The CRS contains complete information on: a) immigrations and emigrations from 1971 onwards, b) permanent residence in a Danish municipality from 1971 onwards, c) permanent residence in a municipality in Greenland from May 1972 onwards, and d) full address in Denmark from 1977 onwards. CONCLUSION: Data from the CRS is an important research tool in epidemiological research, which enables Danish researchers to carry out representative population-based studies on e.g. the potential clustering of disease and death in families and the potential association between residence and disease and death.&quot;,&quot;author&quot;:[{&quot;dropping-particle&quot;:&quot;&quot;,&quot;family&quot;:&quot;Pedersen&quot;,&quot;given&quot;:&quot;Carsten Bøcker&quot;,&quot;non-dropping-particle&quot;:&quot;&quot;,&quot;parse-names&quot;:false,&quot;suffix&quot;:&quot;&quot;},{&quot;dropping-particle&quot;:&quot;&quot;,&quot;family&quot;:&quot;Gøtzsche&quot;,&quot;given&quot;:&quot;Heine&quot;,&quot;non-dropping-particle&quot;:&quot;&quot;,&quot;parse-names&quot;:false,&quot;suffix&quot;:&quot;&quot;},{&quot;dropping-particle&quot;:&quot;&quot;,&quot;family&quot;:&quot;Møller&quot;,&quot;given&quot;:&quot;Jørgen Ostrup&quot;,&quot;non-dropping-particle&quot;:&quot;&quot;,&quot;parse-names&quot;:false,&quot;suffix&quot;:&quot;&quot;},{&quot;dropping-particle&quot;:&quot;&quot;,&quot;family&quot;:&quot;Mortensen&quot;,&quot;given&quot;:&quot;Preben Bo&quot;,&quot;non-dropping-particle&quot;:&quot;&quot;,&quot;parse-names&quot;:false,&quot;suffix&quot;:&quot;&quot;}],&quot;container-title&quot;:&quot;Danish medical bulletin&quot;,&quot;id&quot;:&quot;e1ff5528-89f5-38dc-a94c-4570ba9541ac&quot;,&quot;issue&quot;:&quot;4&quot;,&quot;issued&quot;:{&quot;date-parts&quot;:[[&quot;2006&quot;]]},&quot;page&quot;:&quot;441-449&quot;,&quot;title&quot;:&quot;The Danish Civil Registration System. A cohort of eight million persons.&quot;,&quot;type&quot;:&quot;article-journal&quot;,&quot;volume&quot;:&quot;53&quot;,&quot;container-title-short&quot;:&quot;Dan Med Bull&quot;},&quot;uris&quot;:[&quot;http://www.mendeley.com/documents/?uuid=fe7e00f5-dd58-4043-b7a2-27978c06ae83&quot;],&quot;isTemporary&quot;:false,&quot;legacyDesktopId&quot;:&quot;fe7e00f5-dd58-4043-b7a2-27978c06ae83&quot;}]},{&quot;citationID&quot;:&quot;MENDELEY_CITATION_b156d21b-940c-4c39-a454-8b16e50ed15b&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&quot;,&quot;citationItems&quot;:[{&quot;id&quot;:&quot;91e4cd41-f52b-367f-84fe-604928ceaf92&quot;,&quot;itemData&quot;:{&quot;DOI&quot;:&quot;10.2147/CLEP.S99460&quot;,&quot;ISSN&quot;:&quot;11791349&quot;,&quot;PMID&quot;:&quot;27822099&quot;,&quot;abstract&quot;:&quot;© 2016 Østgård et al.Aim of database: The main aim of the Danish National Acute Leukemia Registry (DNLR) was to obtain information about the epidemiology of the hematologic cancers acute myeloid leukemia (AML), acute lymphoblastic leukemia (ALL), and myelodysplastic syndrome (MDS). Study population: The registry was established in January 2000 by the Danish Acute Leukemia Group and has been expanded over the years. It includes adult AML patients diagnosed in Denmark since 2000, ALL patients diagnosed since 2005, and MDS patients diagnosed since 2010. The coverage of leukemia patients exceeds 99%, and the coverage of MDS patients is currently 90%. Main variables and descriptive data: Approximately, 250 AML patients, 25 ALL patients, and 230 MDS patients are registered in the DNLR every year. In January 2015, the registry included detailed patient characteristics, disease characteristics, treatment characteristics, and outcome data on more than 3,500 AML, 300 ALL, and 1,100 MDS patients. Many of the included prognostic variables have been found to be of high quality including positive predictive values and completeness exceeding 90%. These variables have been used in prognostic observational studies in the last few years. To ensure this high coverage, completeness, and quality of data, linkage to the Danish Civil Registration System and the Danish National Registry of Patients, and several programmed data entry checks are used. Conclusion: The completeness and positive predictive values of the leukemia data have been found to be high. In recent years, the DNLR has shown to be an important high-quality resource for clinical prognostic research.&quot;,&quot;author&quot;:[{&quot;dropping-particle&quot;:&quot;&quot;,&quot;family&quot;:&quot;Østgård&quot;,&quot;given&quot;:&quot;Lene Sofie Granfeldt&quot;,&quot;non-dropping-particle&quot;:&quot;&quot;,&quot;parse-names&quot;:false,&quot;suffix&quot;:&quot;&quot;},{&quot;dropping-particle&quot;:&quot;&quot;,&quot;family&quot;:&quot;Nørgaard&quot;,&quot;given&quot;:&quot;Jan Maxwell&quot;,&quot;non-dropping-particle&quot;:&quot;&quot;,&quot;parse-names&quot;:false,&quot;suffix&quot;:&quot;&quot;},{&quot;dropping-particle&quot;:&quot;&quot;,&quot;family&quot;:&quot;Raaschou-Jensen&quot;,&quot;given&quot;:&quot;Klas Kræsten&quot;,&quot;non-dropping-particle&quot;:&quot;&quot;,&quot;parse-names&quot;:false,&quot;suffix&quot;:&quot;&quot;},{&quot;dropping-particle&quot;:&quot;&quot;,&quot;family&quot;:&quot;Pedersen&quot;,&quot;given&quot;:&quot;Robert Schou&quot;,&quot;non-dropping-particle&quot;:&quot;&quot;,&quot;parse-names&quot;:false,&quot;suffix&quot;:&quot;&quot;},{&quot;dropping-particle&quot;:&quot;&quot;,&quot;family&quot;:&quot;Rønnov-Jessen&quot;,&quot;given&quot;:&quot;Dorthe&quot;,&quot;non-dropping-particle&quot;:&quot;&quot;,&quot;parse-names&quot;:false,&quot;suffix&quot;:&quot;&quot;},{&quot;dropping-particle&quot;:&quot;&quot;,&quot;family&quot;:&quot;Pedersen&quot;,&quot;given&quot;:&quot;Per Troellund&quot;,&quot;non-dropping-particle&quot;:&quot;&quot;,&quot;parse-names&quot;:false,&quot;suffix&quot;:&quot;&quot;},{&quot;dropping-particle&quot;:&quot;&quot;,&quot;family&quot;:&quot;Dufva&quot;,&quot;given&quot;:&quot;Inge Høgh&quot;,&quot;non-dropping-particle&quot;:&quot;&quot;,&quot;parse-names&quot;:false,&quot;suffix&quot;:&quot;&quot;},{&quot;dropping-particle&quot;:&quot;&quot;,&quot;family&quot;:&quot;Marcher&quot;,&quot;given&quot;:&quot;Claus Werenberg&quot;,&quot;non-dropping-particle&quot;:&quot;&quot;,&quot;parse-names&quot;:false,&quot;suffix&quot;:&quot;&quot;},{&quot;dropping-particle&quot;:&quot;&quot;,&quot;family&quot;:&quot;Nielsen&quot;,&quot;given&quot;:&quot;Ove Juul&quot;,&quot;non-dropping-particle&quot;:&quot;&quot;,&quot;parse-names&quot;:false,&quot;suffix&quot;:&quot;&quot;},{&quot;dropping-particle&quot;:&quot;&quot;,&quot;family&quot;:&quot;Severinsen&quot;,&quot;given&quot;:&quot;Marianne Tang&quot;,&quot;non-dropping-particle&quot;:&quot;&quot;,&quot;parse-names&quot;:false,&quot;suffix&quot;:&quot;&quot;},{&quot;dropping-particle&quot;:&quot;&quot;,&quot;family&quot;:&quot;Friis&quot;,&quot;given&quot;:&quot;Lone Smidstrup&quot;,&quot;non-dropping-particle&quot;:&quot;&quot;,&quot;parse-names&quot;:false,&quot;suffix&quot;:&quot;&quot;}],&quot;container-title&quot;:&quot;Clinical Epidemiology&quot;,&quot;id&quot;:&quot;91e4cd41-f52b-367f-84fe-604928ceaf92&quot;,&quot;issued&quot;:{&quot;date-parts&quot;:[[&quot;2016&quot;]]},&quot;page&quot;:&quot;553-560&quot;,&quot;title&quot;:&quot;The Danish national acute leukemia registry&quot;,&quot;type&quot;:&quot;article-journal&quot;,&quot;volume&quot;:&quot;8&quot;,&quot;container-title-short&quot;:&quot;Clin Epidemiol&quot;},&quot;uris&quot;:[&quot;http://www.mendeley.com/documents/?uuid=7058c1a6-93e0-4669-8a1c-93ac1fa397dc&quot;],&quot;isTemporary&quot;:false,&quot;legacyDesktopId&quot;:&quot;7058c1a6-93e0-4669-8a1c-93ac1fa397dc&quot;}]},{&quot;citationID&quot;:&quot;MENDELEY_CITATION_8fe2a73e-3ae2-4327-98d5-11eadc389096&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&quot;,&quot;citationItems&quot;:[{&quot;id&quot;:&quot;39786084-e83c-53eb-b0ac-fa55fe850538&quot;,&quot;itemData&quot;:{&quot;DOI&quot;:&quot;10.2147/CLEP.S48411&quot;,&quot;ISSN&quot;:&quot;11791349&quot;,&quot;PMID&quot;:&quot;24039451&quot;,&quot;abstract&quot;:&quot;BACKGROUND: The Danish National Acute Leukemia Registry (DNLR) has documented coverage of above 98.5%. Less is known about the quality of the recorded data.\\n\\nOBJECTIVE: To describe the present coverage of the DNLR, its completeness, and accuracy of individual variables for acute myeloid leukemia (AML). Furthermore, as a second measure of true coverage of the DNLR, to estimate AML incidence in Denmark from DNLR data and compare it to incidence reported from other AML registries.\\n\\nPATIENTS AND METHODS: By the end of December 2011, the DNLR (established January 2000) included detailed data on a large, well-defined, and nonselected Danish population of 2,665 AML patients. We estimated positive predictive values (PPVs) and completeness for 30 variables, which included patient and disease characteristics, treatment, and treatment outcomes. We identified 260 AML patients (10% of all AML patients recorded in the DNLR). We used information from medical records as the gold standard.\\n\\nRESULTS: Using the Danish National Registry of Patients as a reference, the coverage of the DNLR was 99.6%. The PPVs of the individual variables ranged from 89.4% to 100%. The completeness of individual variables varied between 60.7% and 100%. Stratification by time of registration in the DNLR (before 2006 versus 2006 and later) revealed higher PPVs and lower frequencies of missing data from 2006. Sex-adjusted incidence rates were 6.2/100,000 person-years (95% confidence interval 5.8-6.6) in males and 4.9/100,000 person-years (95% confidence interval 4.5-5.4) in females. Yearly incidence rates of AML were higher than the incidence rates reported from Sweden (4.5 and 4.2/100,000) and the US (4.5 and 3.1/100,000 in Caucasians).\\n\\nCONCLUSION: With few exceptions, there were high values for PPVs and completeness of recorded data. Data accuracy and completeness have improved since the registry was established. The estimated incidence may indicate that the DNLR truly is more complete than other registries. In conclusion, the DNLR is a valuable resource for clinical research of AML.&quot;,&quot;author&quot;:[{&quot;dropping-particle&quot;:&quot;&quot;,&quot;family&quot;:&quot;Østgård&quot;,&quot;given&quot;:&quot;Lene Sofie Granfeldt&quot;,&quot;non-dropping-particle&quot;:&quot;&quot;,&quot;parse-names&quot;:false,&quot;suffix&quot;:&quot;&quot;},{&quot;dropping-particle&quot;:&quot;&quot;,&quot;family&quot;:&quot;Nørgaard&quot;,&quot;given&quot;:&quot;Jan Maxwell&quot;,&quot;non-dropping-particle&quot;:&quot;&quot;,&quot;parse-names&quot;:false,&quot;suffix&quot;:&quot;&quot;},{&quot;dropping-particle&quot;:&quot;&quot;,&quot;family&quot;:&quot;Severinsen&quot;,&quot;given&quot;:&quot;Marianne Tang&quot;,&quot;non-dropping-particle&quot;:&quot;&quot;,&quot;parse-names&quot;:false,&quot;suffix&quot;:&quot;&quot;},{&quot;dropping-particle&quot;:&quot;&quot;,&quot;family&quot;:&quot;Sengeløv&quot;,&quot;given&quot;:&quot;Henrik&quot;,&quot;non-dropping-particle&quot;:&quot;&quot;,&quot;parse-names&quot;:false,&quot;suffix&quot;:&quot;&quot;},{&quot;dropping-particle&quot;:&quot;&quot;,&quot;family&quot;:&quot;Friis&quot;,&quot;given&quot;:&quot;Lone&quot;,&quot;non-dropping-particle&quot;:&quot;&quot;,&quot;parse-names&quot;:false,&quot;suffix&quot;:&quot;&quot;},{&quot;dropping-particle&quot;:&quot;&quot;,&quot;family&quot;:&quot;Jensen&quot;,&quot;given&quot;:&quot;Morten Krogh&quot;,&quot;non-dropping-particle&quot;:&quot;&quot;,&quot;parse-names&quot;:false,&quot;suffix&quot;:&quot;&quot;},{&quot;dropping-particle&quot;:&quot;&quot;,&quot;family&quot;:&quot;Nielsen&quot;,&quot;given&quot;:&quot;Ove Juul&quot;,&quot;non-dropping-particle&quot;:&quot;&quot;,&quot;parse-names&quot;:false,&quot;suffix&quot;:&quot;&quot;},{&quot;dropping-particle&quot;:&quot;&quot;,&quot;family&quot;:&quot;Nørgaard&quot;,&quot;given&quot;:&quot;Mette&quot;,&quot;non-dropping-particle&quot;:&quot;&quot;,&quot;parse-names&quot;:false,&quot;suffix&quot;:&quot;&quot;}],&quot;container-title&quot;:&quot;Clinical Epidemiology&quot;,&quot;id&quot;:&quot;39786084-e83c-53eb-b0ac-fa55fe850538&quot;,&quot;issue&quot;:&quot;1&quot;,&quot;issued&quot;:{&quot;date-parts&quot;:[[&quot;2013&quot;]]},&quot;page&quot;:&quot;335-344&quot;,&quot;title&quot;:&quot;Data quality in the Danish National acute Leukemia Registry: A hematological data resource&quot;,&quot;type&quot;:&quot;article-journal&quot;,&quot;volume&quot;:&quot;5&quot;,&quot;container-title-short&quot;:&quot;Clin Epidemiol&quot;},&quot;uris&quot;:[&quot;http://www.mendeley.com/documents/?uuid=b867886a-7790-49e7-99f8-7e24afad75ff&quot;],&quot;isTemporary&quot;:false,&quot;legacyDesktopId&quot;:&quot;b867886a-7790-49e7-99f8-7e24afad75ff&quot;}]},{&quot;citationID&quot;:&quot;MENDELEY_CITATION_09fea24f-bb8c-4f43-978a-6780a30bdb8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&quot;,&quot;citationItems&quot;:[{&quot;id&quot;:&quot;e8fa0820-2eb7-32c0-9704-bbf49c83e44a&quot;,&quot;itemData&quot;:{&quot;type&quot;:&quot;article-journal&quot;,&quot;id&quot;:&quot;e8fa0820-2eb7-32c0-9704-bbf49c83e44a&quot;,&quot;title&quot;:&quot;Adult acute lymphoblastic leukaemia in Denmark. A national population-based retrospective study on acute lymphoblastic leukaemia in Denmark 1998-2008&quot;,&quot;author&quot;:[{&quot;family&quot;:&quot;Toft&quot;,&quot;given&quot;:&quot;Nina&quot;,&quot;parse-names&quot;:false,&quot;dropping-particle&quot;:&quot;&quot;,&quot;non-dropping-particle&quot;:&quot;&quot;},{&quot;family&quot;:&quot;Schmiegelow&quot;,&quot;given&quot;:&quot;Kjeld&quot;,&quot;parse-names&quot;:false,&quot;dropping-particle&quot;:&quot;&quot;,&quot;non-dropping-particle&quot;:&quot;&quot;},{&quot;family&quot;:&quot;Klausen&quot;,&quot;given&quot;:&quot;Tobias W.&quot;,&quot;parse-names&quot;:false,&quot;dropping-particle&quot;:&quot;&quot;,&quot;non-dropping-particle&quot;:&quot;&quot;},{&quot;family&quot;:&quot;Birgens&quot;,&quot;given&quot;:&quot;Henrik&quot;,&quot;parse-names&quot;:false,&quot;dropping-particle&quot;:&quot;&quot;,&quot;non-dropping-particle&quot;:&quot;&quot;}],&quot;container-title&quot;:&quot;British Journal of Haematology&quot;,&quot;container-title-short&quot;:&quot;Br J Haematol&quot;,&quot;DOI&quot;:&quot;10.1111/j.1365-2141.2011.09020.x&quot;,&quot;ISSN&quot;:&quot;00071048&quot;,&quot;PMID&quot;:&quot;22233128&quot;,&quot;issued&quot;:{&quot;date-parts&quot;:[[2012]]},&quot;page&quot;:&quot;97-104&quot;,&quot;abstract&quot;:&quot;Since July 2008, children and adults 1-45years, diagnosed with acute lymphoblastic leukaemia (ALL) in Denmark have been treated according to the common Nordic Society for Paediatric Haematology and Oncology ALL2008 protocol. To explore whether this strategy will improve survival compared with historical controls, we performed a retrospective national population-based study of adult ALL between 1998 and 2008. Patients were identified through the Danish Patobank and the Danish Cancer Registry; data was collected from patient files, and included 277 patients (median age, 47years, range 15-91years). The 5-year projected event-free survival (pEFS5y) and overall survival (pOS5y) for the whole cohort was 27·5% [95% confidence interval (CI) 22·4-33·6] and 34·1% (95% CI 28·7-40·4), respectively. No patient above 65years survived beyond 5years from diagnosis. For patients receiving curatively intended treatment, the pEFS5y and pOS5y were 36·6% and 44·1%, respectively, with a significantly higher pOS5y for patients 15-35years compared with patients 36-65years (50·7% vs. 38·9%, P=0·006). Cox multiple regression analysis identified age (Hazard Ratio=1·7, P&lt;0·006) as a statistically significant predictor of EFS. The cure rates, not least for the elderly, are unacceptably low, and call for new strategies in the treatment of adult ALL in all age groups. © 2012 Blackwell Publishing Ltd.&quot;,&quot;issue&quot;:&quot;1&quot;,&quot;volume&quot;:&quot;157&quot;},&quot;isTemporary&quot;:false}]},{&quot;citationID&quot;:&quot;MENDELEY_CITATION_d1500bff-88d1-477e-ba34-3bddf311ad3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&quot;,&quot;citationItems&quot;:[{&quot;id&quot;:&quot;4a390586-b367-3321-87fd-5c496efa89bf&quot;,&quot;itemData&quot;:{&quot;type&quot;:&quot;article-journal&quot;,&quot;id&quot;:&quot;4a390586-b367-3321-87fd-5c496efa89bf&quot;,&quot;title&quot;:&quot;The Danish Pathology Register&quot;,&quot;author&quot;:[{&quot;family&quot;:&quot;Bjerregaard&quot;,&quot;given&quot;:&quot;Beth&quot;,&quot;parse-names&quot;:false,&quot;dropping-particle&quot;:&quot;&quot;,&quot;non-dropping-particle&quot;:&quot;&quot;},{&quot;family&quot;:&quot;Larsen&quot;,&quot;given&quot;:&quot;Ole B.&quot;,&quot;parse-names&quot;:false,&quot;dropping-particle&quot;:&quot;&quot;,&quot;non-dropping-particle&quot;:&quot;&quot;}],&quot;container-title&quot;:&quot;Scandinavian Journal of Public Health&quot;,&quot;container-title-short&quot;:&quot;Scand J Public Health&quot;,&quot;DOI&quot;:&quot;10.1177/1403494810393563&quot;,&quot;ISSN&quot;:&quot;1403-4948&quot;,&quot;issued&quot;:{&quot;date-parts&quot;:[[2011,7,20]]},&quot;page&quot;:&quot;72-74&quot;,&quot;abstract&quot;:&quot;&lt;p&gt;Introduction: The National Board of Health, Denmark in 1997 published guidelines for reporting of pathology data and the Danish Pathology Register (DPR) was established. Content: DPR contains patient, pathology, and workload data. Validity and coverage: All records are subject to error tracing. The DPR covers all pathology data in Denmark. Conclusion: The data is used by the pathologists in the daily diagnostic process. The National Board of Health uses the data in the Danish Cancer Registry and DPR is unique for research as data can be linked to tissue biobanks and clinical databases.&lt;/p&gt;&quot;,&quot;issue&quot;:&quot;7_suppl&quot;,&quot;volume&quot;:&quot;39&quot;},&quot;isTemporary&quot;:false}]},{&quot;citationID&quot;:&quot;MENDELEY_CITATION_0381daf4-fc26-4994-9b5c-15c7f9c2876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&quot;,&quot;citationItems&quot;:[{&quot;id&quot;:&quot;064a9d80-214e-3dcc-98e5-0ae9a47aeb31&quot;,&quot;itemData&quot;:{&quot;type&quot;:&quot;article-journal&quot;,&quot;id&quot;:&quot;064a9d80-214e-3dcc-98e5-0ae9a47aeb31&quot;,&quot;title&quot;:&quot;The Danish Cancer Registry&quot;,&quot;author&quot;:[{&quot;family&quot;:&quot;Gjerstorff&quot;,&quot;given&quot;:&quot;Marianne Lundkjær&quot;,&quot;parse-names&quot;:false,&quot;dropping-particle&quot;:&quot;&quot;,&quot;non-dropping-particle&quot;:&quot;&quot;}],&quot;container-title&quot;:&quot;Scandinavian Journal of Public Health&quot;,&quot;container-title-short&quot;:&quot;Scand J Public Health&quot;,&quot;DOI&quot;:&quot;10.1177/1403494810393562&quot;,&quot;ISSN&quot;:&quot;1403-4948&quot;,&quot;issued&quot;:{&quot;date-parts&quot;:[[2011,7,20]]},&quot;page&quot;:&quot;42-45&quot;,&quot;abstract&quot;:&quot;&lt;p&gt;Introduction: The Danish Cancer Registry was founded in 1942. Content: The Cancer Registry contains data on the incidence of cancer in the Danish population since 1943. Validity and coverage: Validity of the Cancer Registry is secured by the application of manual quality control routines in the daily production of the Cancer Registry, the application of the automated cancer logic, and the use of multiple notifications from different data sources, which also secures a high degree of completeness. Conclusion: In 2008 the Cancer Registry finished a process of modernisation where reporting became electronic through integration with the patient administrative systems and manual coding was partly replaced by an automatic coding logic.&lt;/p&gt;&quot;,&quot;issue&quot;:&quot;7_suppl&quot;,&quot;volume&quot;:&quot;39&quot;},&quot;isTemporary&quot;:false}]},{&quot;citationID&quot;:&quot;MENDELEY_CITATION_5b1f414f-9e58-47b1-b4f5-44399663cbc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&quot;,&quot;citationItems&quot;:[{&quot;id&quot;:&quot;e8fa0820-2eb7-32c0-9704-bbf49c83e44a&quot;,&quot;itemData&quot;:{&quot;type&quot;:&quot;article-journal&quot;,&quot;id&quot;:&quot;e8fa0820-2eb7-32c0-9704-bbf49c83e44a&quot;,&quot;title&quot;:&quot;Adult acute lymphoblastic leukaemia in Denmark. A national population-based retrospective study on acute lymphoblastic leukaemia in Denmark 1998-2008&quot;,&quot;author&quot;:[{&quot;family&quot;:&quot;Toft&quot;,&quot;given&quot;:&quot;Nina&quot;,&quot;parse-names&quot;:false,&quot;dropping-particle&quot;:&quot;&quot;,&quot;non-dropping-particle&quot;:&quot;&quot;},{&quot;family&quot;:&quot;Schmiegelow&quot;,&quot;given&quot;:&quot;Kjeld&quot;,&quot;parse-names&quot;:false,&quot;dropping-particle&quot;:&quot;&quot;,&quot;non-dropping-particle&quot;:&quot;&quot;},{&quot;family&quot;:&quot;Klausen&quot;,&quot;given&quot;:&quot;Tobias W.&quot;,&quot;parse-names&quot;:false,&quot;dropping-particle&quot;:&quot;&quot;,&quot;non-dropping-particle&quot;:&quot;&quot;},{&quot;family&quot;:&quot;Birgens&quot;,&quot;given&quot;:&quot;Henrik&quot;,&quot;parse-names&quot;:false,&quot;dropping-particle&quot;:&quot;&quot;,&quot;non-dropping-particle&quot;:&quot;&quot;}],&quot;container-title&quot;:&quot;British Journal of Haematology&quot;,&quot;container-title-short&quot;:&quot;Br J Haematol&quot;,&quot;DOI&quot;:&quot;10.1111/j.1365-2141.2011.09020.x&quot;,&quot;ISSN&quot;:&quot;00071048&quot;,&quot;PMID&quot;:&quot;22233128&quot;,&quot;issued&quot;:{&quot;date-parts&quot;:[[2012]]},&quot;page&quot;:&quot;97-104&quot;,&quot;abstract&quot;:&quot;Since July 2008, children and adults 1-45years, diagnosed with acute lymphoblastic leukaemia (ALL) in Denmark have been treated according to the common Nordic Society for Paediatric Haematology and Oncology ALL2008 protocol. To explore whether this strategy will improve survival compared with historical controls, we performed a retrospective national population-based study of adult ALL between 1998 and 2008. Patients were identified through the Danish Patobank and the Danish Cancer Registry; data was collected from patient files, and included 277 patients (median age, 47years, range 15-91years). The 5-year projected event-free survival (pEFS5y) and overall survival (pOS5y) for the whole cohort was 27·5% [95% confidence interval (CI) 22·4-33·6] and 34·1% (95% CI 28·7-40·4), respectively. No patient above 65years survived beyond 5years from diagnosis. For patients receiving curatively intended treatment, the pEFS5y and pOS5y were 36·6% and 44·1%, respectively, with a significantly higher pOS5y for patients 15-35years compared with patients 36-65years (50·7% vs. 38·9%, P=0·006). Cox multiple regression analysis identified age (Hazard Ratio=1·7, P&lt;0·006) as a statistically significant predictor of EFS. The cure rates, not least for the elderly, are unacceptably low, and call for new strategies in the treatment of adult ALL in all age groups. © 2012 Blackwell Publishing Ltd.&quot;,&quot;issue&quot;:&quot;1&quot;,&quot;volume&quot;:&quot;157&quot;},&quot;isTemporary&quot;:false}]},{&quot;citationID&quot;:&quot;MENDELEY_CITATION_28ab0ece-9edf-4818-a2f3-d507a16e1d6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&quot;,&quot;citationItems&quot;:[{&quot;id&quot;:&quot;4716de72-0ce1-3076-a08f-aa2a51013788&quot;,&quot;itemData&quot;:{&quot;type&quot;:&quot;article-journal&quot;,&quot;id&quot;:&quot;4716de72-0ce1-3076-a08f-aa2a51013788&quot;,&quot;title&quot;:&quot;Results of Treatment With Hyper-CVAD, a Dose-Intensive Regimen, in Adult Acute Lymphocytic Leukemia&quot;,&quot;author&quot;:[{&quot;family&quot;:&quot;Kantarjian&quot;,&quot;given&quot;:&quot;Hagop M.&quot;,&quot;parse-names&quot;:false,&quot;dropping-particle&quot;:&quot;&quot;,&quot;non-dropping-particle&quot;:&quot;&quot;},{&quot;family&quot;:&quot;O’Brien&quot;,&quot;given&quot;:&quot;Susan&quot;,&quot;parse-names&quot;:false,&quot;dropping-particle&quot;:&quot;&quot;,&quot;non-dropping-particle&quot;:&quot;&quot;},{&quot;family&quot;:&quot;Smith&quot;,&quot;given&quot;:&quot;Terry L.&quot;,&quot;parse-names&quot;:false,&quot;dropping-particle&quot;:&quot;&quot;,&quot;non-dropping-particle&quot;:&quot;&quot;},{&quot;family&quot;:&quot;Cortes&quot;,&quot;given&quot;:&quot;Jorge&quot;,&quot;parse-names&quot;:false,&quot;dropping-particle&quot;:&quot;&quot;,&quot;non-dropping-particle&quot;:&quot;&quot;},{&quot;family&quot;:&quot;Giles&quot;,&quot;given&quot;:&quot;Francis J.&quot;,&quot;parse-names&quot;:false,&quot;dropping-particle&quot;:&quot;&quot;,&quot;non-dropping-particle&quot;:&quot;&quot;},{&quot;family&quot;:&quot;Beran&quot;,&quot;given&quot;:&quot;Miloslav&quot;,&quot;parse-names&quot;:false,&quot;dropping-particle&quot;:&quot;&quot;,&quot;non-dropping-particle&quot;:&quot;&quot;},{&quot;family&quot;:&quot;Pierce&quot;,&quot;given&quot;:&quot;Sherry&quot;,&quot;parse-names&quot;:false,&quot;dropping-particle&quot;:&quot;&quot;,&quot;non-dropping-particle&quot;:&quot;&quot;},{&quot;family&quot;:&quot;Huh&quot;,&quot;given&quot;:&quot;Yang&quot;,&quot;parse-names&quot;:false,&quot;dropping-particle&quot;:&quot;&quot;,&quot;non-dropping-particle&quot;:&quot;&quot;},{&quot;family&quot;:&quot;Andreeff&quot;,&quot;given&quot;:&quot;Michael&quot;,&quot;parse-names&quot;:false,&quot;dropping-particle&quot;:&quot;&quot;,&quot;non-dropping-particle&quot;:&quot;&quot;},{&quot;family&quot;:&quot;Koller&quot;,&quot;given&quot;:&quot;Charles&quot;,&quot;parse-names&quot;:false,&quot;dropping-particle&quot;:&quot;&quot;,&quot;non-dropping-particle&quot;:&quot;&quot;},{&quot;family&quot;:&quot;Ha&quot;,&quot;given&quot;:&quot;Chul S.&quot;,&quot;parse-names&quot;:false,&quot;dropping-particle&quot;:&quot;&quot;,&quot;non-dropping-particle&quot;:&quot;&quot;},{&quot;family&quot;:&quot;Keating&quot;,&quot;given&quot;:&quot;Michael J.&quot;,&quot;parse-names&quot;:false,&quot;dropping-particle&quot;:&quot;&quot;,&quot;non-dropping-particle&quot;:&quot;&quot;},{&quot;family&quot;:&quot;Murphy&quot;,&quot;given&quot;:&quot;Sharon&quot;,&quot;parse-names&quot;:false,&quot;dropping-particle&quot;:&quot;&quot;,&quot;non-dropping-particle&quot;:&quot;&quot;},{&quot;family&quot;:&quot;Freireich&quot;,&quot;given&quot;:&quot;Emil J.&quot;,&quot;parse-names&quot;:false,&quot;dropping-particle&quot;:&quot;&quot;,&quot;non-dropping-particle&quot;:&quot;&quot;}],&quot;container-title&quot;:&quot;Journal of Clinical Oncology&quot;,&quot;DOI&quot;:&quot;10.1200/JCO.2000.18.3.547&quot;,&quot;ISSN&quot;:&quot;0732-183X&quot;,&quot;issued&quot;:{&quot;date-parts&quot;:[[2000,2,1]]},&quot;page&quot;:&quot;547-547&quot;,&quot;abstract&quot;:&quot;&lt;p&gt;PURPOSE: To evaluate the efficacy and toxicity of Hyper-CVAD (fractionated cyclophosphamide, vincristine, doxorubicin, and dexamethasone), a dose-intensive regimen, in adult acute lymphocytic leukemia (ALL).&lt;/p&gt;&quot;,&quot;issue&quot;:&quot;3&quot;,&quot;volume&quot;:&quot;18&quot;,&quot;container-title-short&quot;:&quot;&quot;},&quot;isTemporary&quot;:false}]},{&quot;citationID&quot;:&quot;MENDELEY_CITATION_edc77801-85ac-4c4c-af9b-eaf43b060d3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&quot;,&quot;citationItems&quot;:[{&quot;id&quot;:&quot;5c8a34fc-a59f-382f-8f20-5f17236e58ca&quot;,&quot;itemData&quot;:{&quot;type&quot;:&quot;article-journal&quot;,&quot;id&quot;:&quot;5c8a34fc-a59f-382f-8f20-5f17236e58ca&quot;,&quot;title&quot;:&quot;Results of NOPHO ALL2008 treatment for patients aged 1-45 years with acute lymphoblastic leukemia&quot;,&quot;author&quot;:[{&quot;family&quot;:&quot;Toft&quot;,&quot;given&quot;:&quot;N.&quot;,&quot;parse-names&quot;:false,&quot;dropping-particle&quot;:&quot;&quot;,&quot;non-dropping-particle&quot;:&quot;&quot;},{&quot;family&quot;:&quot;Birgens&quot;,&quot;given&quot;:&quot;H.&quot;,&quot;parse-names&quot;:false,&quot;dropping-particle&quot;:&quot;&quot;,&quot;non-dropping-particle&quot;:&quot;&quot;},{&quot;family&quot;:&quot;Abrahamsson&quot;,&quot;given&quot;:&quot;J.&quot;,&quot;parse-names&quot;:false,&quot;dropping-particle&quot;:&quot;&quot;,&quot;non-dropping-particle&quot;:&quot;&quot;},{&quot;family&quot;:&quot;Griškevic Ius&quot;,&quot;given&quot;:&quot;L.&quot;,&quot;parse-names&quot;:false,&quot;dropping-particle&quot;:&quot;&quot;,&quot;non-dropping-particle&quot;:&quot;&quot;},{&quot;family&quot;:&quot;Hallböök&quot;,&quot;given&quot;:&quot;H.&quot;,&quot;parse-names&quot;:false,&quot;dropping-particle&quot;:&quot;&quot;,&quot;non-dropping-particle&quot;:&quot;&quot;},{&quot;family&quot;:&quot;Heyman&quot;,&quot;given&quot;:&quot;M.&quot;,&quot;parse-names&quot;:false,&quot;dropping-particle&quot;:&quot;&quot;,&quot;non-dropping-particle&quot;:&quot;&quot;},{&quot;family&quot;:&quot;Klausen&quot;,&quot;given&quot;:&quot;T. W.&quot;,&quot;parse-names&quot;:false,&quot;dropping-particle&quot;:&quot;&quot;,&quot;non-dropping-particle&quot;:&quot;&quot;},{&quot;family&quot;:&quot;Jónsson&quot;,&quot;given&quot;:&quot;Óg&quot;,&quot;parse-names&quot;:false,&quot;dropping-particle&quot;:&quot;&quot;,&quot;non-dropping-particle&quot;:&quot;&quot;},{&quot;family&quot;:&quot;Palk&quot;,&quot;given&quot;:&quot;K.&quot;,&quot;parse-names&quot;:false,&quot;dropping-particle&quot;:&quot;&quot;,&quot;non-dropping-particle&quot;:&quot;&quot;},{&quot;family&quot;:&quot;Pruunsild&quot;,&quot;given&quot;:&quot;K.&quot;,&quot;parse-names&quot;:false,&quot;dropping-particle&quot;:&quot;&quot;,&quot;non-dropping-particle&quot;:&quot;&quot;},{&quot;family&quot;:&quot;Quist-Paulsen&quot;,&quot;given&quot;:&quot;P.&quot;,&quot;parse-names&quot;:false,&quot;dropping-particle&quot;:&quot;&quot;,&quot;non-dropping-particle&quot;:&quot;&quot;},{&quot;family&quot;:&quot;Vaitkeviciene&quot;,&quot;given&quot;:&quot;G.&quot;,&quot;parse-names&quot;:false,&quot;dropping-particle&quot;:&quot;&quot;,&quot;non-dropping-particle&quot;:&quot;&quot;},{&quot;family&quot;:&quot;Vettenranta&quot;,&quot;given&quot;:&quot;K.&quot;,&quot;parse-names&quot;:false,&quot;dropping-particle&quot;:&quot;&quot;,&quot;non-dropping-particle&quot;:&quot;&quot;},{&quot;family&quot;:&quot;Åsberg&quot;,&quot;given&quot;:&quot;A.&quot;,&quot;parse-names&quot;:false,&quot;dropping-particle&quot;:&quot;&quot;,&quot;non-dropping-particle&quot;:&quot;&quot;},{&quot;family&quot;:&quot;Frandsen&quot;,&quot;given&quot;:&quot;T. L.&quot;,&quot;parse-names&quot;:false,&quot;dropping-particle&quot;:&quot;&quot;,&quot;non-dropping-particle&quot;:&quot;&quot;},{&quot;family&quot;:&quot;Marquart&quot;,&quot;given&quot;:&quot;H.&quot;,&quot;parse-names&quot;:false,&quot;dropping-particle&quot;:&quot;V.&quot;,&quot;non-dropping-particle&quot;:&quot;&quot;},{&quot;family&quot;:&quot;Madsen&quot;,&quot;given&quot;:&quot;H. O.&quot;,&quot;parse-names&quot;:false,&quot;dropping-particle&quot;:&quot;&quot;,&quot;non-dropping-particle&quot;:&quot;&quot;},{&quot;family&quot;:&quot;Norén-Nyström&quot;,&quot;given&quot;:&quot;U.&quot;,&quot;parse-names&quot;:false,&quot;dropping-particle&quot;:&quot;&quot;,&quot;non-dropping-particle&quot;:&quot;&quot;},{&quot;family&quot;:&quot;Schmiegelow&quot;,&quot;given&quot;:&quot;K.&quot;,&quot;parse-names&quot;:false,&quot;dropping-particle&quot;:&quot;&quot;,&quot;non-dropping-particle&quot;:&quot;&quot;}],&quot;container-title&quot;:&quot;Leukemia&quot;,&quot;container-title-short&quot;:&quot;Leukemia&quot;,&quot;DOI&quot;:&quot;10.1038/leu.2017.265&quot;,&quot;ISSN&quot;:&quot;14765551&quot;,&quot;PMID&quot;:&quot;28819280&quot;,&quot;issued&quot;:{&quot;date-parts&quot;:[[2018,3,1]]},&quot;page&quot;:&quot;606-615&quot;,&quot;abstract&quot;:&quot;Adults with acute lymphoblastic leukemia (ALL) do worse than children. From 7/2008 to 12/2014, Nordic and Baltic centers treated 1509 consecutive patients aged 1-45 years with Philadelphia chromosome-negative ALL according to the NOPHO ALL2008 without cranial irradiation. Overall, 1022 patients were of age 1-9 years (A), 266 were 10-17 years (B) and 221 were 18-45 years (C). Sixteen patients (three adults) died during induction. All others achieved remission after induction or 1-3 intensive blocks. Subsequently, 45 patients (12 adults) died, 122 patients relapsed (32 adults) with a median time to relapse of 1.6 years and 13 (no adult) developed a second malignancy. Median follow-up time was 4.6 years. Among the three age groups, older patients more often had higher risk ALL due to T-ALL (32%/25%/9%, P&lt;0.001), KMT2A rearrangements (6%/5%/3%, P&lt;0.001) and higher day 29 residual leukemia for B-lineage (P&lt;0.001), but not T-ALL (P=0.53). Event-free survival rates (pEFS 5y) were 89±1% (A), 80±3% (B) and 74±4% (C) with significant differences only for non-high risk groups. Except for thrombosis, pancreatitis and osteonecrosis, the risk of 19 specified toxicities was not enhanced by age above 10 years. In conclusion, a pediatric-based protocol is tolerable and effective for young adults, despite their increased frequency of higher risk features.&quot;,&quot;publisher&quot;:&quot;Nature Publishing Group&quot;,&quot;issue&quot;:&quot;3&quot;,&quot;volume&quot;:&quot;32&quot;},&quot;isTemporary&quot;:false}]},{&quot;citationID&quot;:&quot;MENDELEY_CITATION_0f8832f9-18af-4aad-b681-8aebb95c859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&quot;,&quot;citationItems&quot;:[{&quot;id&quot;:&quot;bbf44a2f-6d40-3651-96c9-55d695034e19&quot;,&quot;itemData&quot;:{&quot;type&quot;:&quot;article-journal&quot;,&quot;id&quot;:&quot;bbf44a2f-6d40-3651-96c9-55d695034e19&quot;,&quot;title&quot;:&quot;The effects of postinduction intensification treatment with cytarabine and daunorubicin in adult acute lymphocytic leukemia: a prospective randomized clinical trial by Cancer and Leukemia Group B.&quot;,&quot;author&quot;:[{&quot;family&quot;:&quot;Ellison&quot;,&quot;given&quot;:&quot;R R&quot;,&quot;parse-names&quot;:false,&quot;dropping-particle&quot;:&quot;&quot;,&quot;non-dropping-particle&quot;:&quot;&quot;},{&quot;family&quot;:&quot;Mick&quot;,&quot;given&quot;:&quot;R&quot;,&quot;parse-names&quot;:false,&quot;dropping-particle&quot;:&quot;&quot;,&quot;non-dropping-particle&quot;:&quot;&quot;},{&quot;family&quot;:&quot;Cuttner&quot;,&quot;given&quot;:&quot;J&quot;,&quot;parse-names&quot;:false,&quot;dropping-particle&quot;:&quot;&quot;,&quot;non-dropping-particle&quot;:&quot;&quot;},{&quot;family&quot;:&quot;Schiffer&quot;,&quot;given&quot;:&quot;C A&quot;,&quot;parse-names&quot;:false,&quot;dropping-particle&quot;:&quot;&quot;,&quot;non-dropping-particle&quot;:&quot;&quot;},{&quot;family&quot;:&quot;Silver&quot;,&quot;given&quot;:&quot;R T&quot;,&quot;parse-names&quot;:false,&quot;dropping-particle&quot;:&quot;&quot;,&quot;non-dropping-particle&quot;:&quot;&quot;},{&quot;family&quot;:&quot;Henderson&quot;,&quot;given&quot;:&quot;E S&quot;,&quot;parse-names&quot;:false,&quot;dropping-particle&quot;:&quot;&quot;,&quot;non-dropping-particle&quot;:&quot;&quot;},{&quot;family&quot;:&quot;Woliver&quot;,&quot;given&quot;:&quot;T&quot;,&quot;parse-names&quot;:false,&quot;dropping-particle&quot;:&quot;&quot;,&quot;non-dropping-particle&quot;:&quot;&quot;},{&quot;family&quot;:&quot;Royston&quot;,&quot;given&quot;:&quot;I&quot;,&quot;parse-names&quot;:false,&quot;dropping-particle&quot;:&quot;&quot;,&quot;non-dropping-particle&quot;:&quot;&quot;},{&quot;family&quot;:&quot;Davey&quot;,&quot;given&quot;:&quot;F R&quot;,&quot;parse-names&quot;:false,&quot;dropping-particle&quot;:&quot;&quot;,&quot;non-dropping-particle&quot;:&quot;&quot;},{&quot;family&quot;:&quot;Glicksman&quot;,&quot;given&quot;:&quot;A S&quot;,&quot;parse-names&quot;:false,&quot;dropping-particle&quot;:&quot;&quot;,&quot;non-dropping-particle&quot;:&quot;&quot;}],&quot;container-title&quot;:&quot;Journal of Clinical Oncology&quot;,&quot;DOI&quot;:&quot;10.1200/JCO.1991.9.11.2002&quot;,&quot;ISSN&quot;:&quot;0732-183X&quot;,&quot;issued&quot;:{&quot;date-parts&quot;:[[1991,11]]},&quot;page&quot;:&quot;2002-2015&quot;,&quot;abstract&quot;:&quot;&lt;p&gt;Cancer and Leukemia Group B undertook a randomized trial of intensification treatment in adults aged 15 to 79 years with acute lymphocytic leukemia (ALL) in complete remission (CR). Daunorubicin (DNR), prednisone, vincristine (VCR), intrathecal (IT) methotrexate (MTX), and asparaginase produced 177 CRs in 277 patients. One hundred fifty-one patients were randomly assigned to receive treatment as follows: 74 received intensive cytarabine and DNR, and 77 received cycles of mercaptopurine (6-MP) and MTX, followed by 6MP, MTX, VCR, and prednisone for 3 years in all. One hundred twelve patients received CNS prophylaxis. Intensification produced major myelosuppression but did not improve remission duration (median, 21 months). Of the 151 patients with CRs who entered the intensification phase, 29% remain in continuous CR (43 to 117 months); in 19 patients, CRs have lasted for longer than 7 years. No relapses occurred after 60 months. Median survival from the time of randomization was 30 months. Those under 30 years of age responded more frequently, with longer CR and survival. While 53% of those aged 15 to 19 years remain in continuous CR, 92% of patients over 59 years have relapsed. The presence of a myeloid antigen on the leukemic cells was adversely prognostic for CR achievement and for survival. Pretreatment WBC and platelet levels independently affected CR duration and survival. Early M1 marrow development presaged longer remissions. CNS relapse occurred in 47 of 256 patients with normal CSF before treatment, in 29 before CNS prophylaxis. CNS disease occurred after CNS prophylaxis in 18 patients: 13 of 61 who had received standard premaintenance and five of 51 who received intensification. No advantage in CR duration or survival resulted from intensive treatment with DNR and cytarabine following induction of CR.&lt;/p&gt;&quot;,&quot;issue&quot;:&quot;11&quot;,&quot;volume&quot;:&quot;9&quot;,&quot;container-title-short&quot;:&quot;&quot;},&quot;isTemporary&quot;:false}]}]"/>
    <we:property name="MENDELEY_CITATIONS_LOCALE_CODE" value="&quot;en-GB&quot;"/>
    <we:property name="MENDELEY_CITATIONS_STYLE" value="{&quot;id&quot;:&quot;https://www.zotero.org/styles/nature-publishing-group-vancouver&quot;,&quot;title&quot;:&quot;Nature Publishing Group - Vancouver&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DD46A-5FCD-1741-88FE-71C37C48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6</Pages>
  <Words>1362</Words>
  <Characters>8311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Kristensen</dc:creator>
  <cp:keywords/>
  <dc:description/>
  <cp:lastModifiedBy>Daniel Kristensen</cp:lastModifiedBy>
  <cp:revision>57</cp:revision>
  <dcterms:created xsi:type="dcterms:W3CDTF">2022-07-07T07:40:00Z</dcterms:created>
  <dcterms:modified xsi:type="dcterms:W3CDTF">2023-12-11T12:50:00Z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8bad2302-a18b-300d-8183-a875a9ff056c</vt:lpwstr>
  </property>
  <property fmtid="{D5CDD505-2E9C-101B-9397-08002B2CF9AE}" pid="4" name="Mendeley Citation Style_1">
    <vt:lpwstr>http://www.zotero.org/styles/nature-publishing-group-vancouver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http://www.zotero.org/styles/blood</vt:lpwstr>
  </property>
  <property fmtid="{D5CDD505-2E9C-101B-9397-08002B2CF9AE}" pid="8" name="Mendeley Recent Style Name 1_1">
    <vt:lpwstr>Blood</vt:lpwstr>
  </property>
  <property fmtid="{D5CDD505-2E9C-101B-9397-08002B2CF9AE}" pid="9" name="Mendeley Recent Style Id 2_1">
    <vt:lpwstr>http://www.zotero.org/styles/british-journal-of-haematology</vt:lpwstr>
  </property>
  <property fmtid="{D5CDD505-2E9C-101B-9397-08002B2CF9AE}" pid="10" name="Mendeley Recent Style Name 2_1">
    <vt:lpwstr>British Journal of Haematology</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http://www.zotero.org/styles/leukemia</vt:lpwstr>
  </property>
  <property fmtid="{D5CDD505-2E9C-101B-9397-08002B2CF9AE}" pid="14" name="Mendeley Recent Style Name 4_1">
    <vt:lpwstr>Leukemia</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http://www.zotero.org/styles/nature-publishing-group-vancouver</vt:lpwstr>
  </property>
  <property fmtid="{D5CDD505-2E9C-101B-9397-08002B2CF9AE}" pid="20" name="Mendeley Recent Style Name 7_1">
    <vt:lpwstr>Nature Publishing Group - Vancouver</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http://www.zotero.org/styles/vancouver-brackets</vt:lpwstr>
  </property>
  <property fmtid="{D5CDD505-2E9C-101B-9397-08002B2CF9AE}" pid="24" name="Mendeley Recent Style Name 9_1">
    <vt:lpwstr>Vancouver (brackets)</vt:lpwstr>
  </property>
</Properties>
</file>