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ascii="Times New Roman" w:hAnsi="Times New Roman" w:cs="Times New Roman" w:eastAsiaTheme="minorEastAsia"/>
          <w:b/>
          <w:bCs/>
        </w:rPr>
        <w:t>Supplemental</w:t>
      </w:r>
      <w:r>
        <w:rPr>
          <w:rFonts w:ascii="Times New Roman" w:hAnsi="Times New Roman" w:eastAsia="DengXian" w:cs="Times New Roman"/>
          <w:b/>
          <w:bCs/>
          <w:color w:val="000000"/>
          <w:sz w:val="22"/>
          <w:szCs w:val="22"/>
        </w:rPr>
        <w:t xml:space="preserve"> Table 1.</w:t>
      </w:r>
      <w:r>
        <w:rPr>
          <w:rFonts w:ascii="Times New Roman" w:hAnsi="Times New Roman" w:cs="Times New Roman"/>
          <w:b/>
          <w:bCs/>
        </w:rPr>
        <w:t xml:space="preserve"> List of Candidate Variables used for Predicting Alzheimer's Disease Risk</w:t>
      </w:r>
    </w:p>
    <w:tbl>
      <w:tblPr>
        <w:tblStyle w:val="9"/>
        <w:tblW w:w="1375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81"/>
        <w:gridCol w:w="4252"/>
        <w:gridCol w:w="2780"/>
        <w:gridCol w:w="443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tcBorders>
              <w:top w:val="single" w:color="auto" w:sz="12" w:space="0"/>
              <w:bottom w:val="single" w:color="auto" w:sz="4" w:space="0"/>
            </w:tcBorders>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Variable Names</w:t>
            </w:r>
          </w:p>
        </w:tc>
        <w:tc>
          <w:tcPr>
            <w:tcW w:w="4252" w:type="dxa"/>
            <w:tcBorders>
              <w:top w:val="single" w:color="auto" w:sz="12" w:space="0"/>
              <w:bottom w:val="single" w:color="auto" w:sz="4" w:space="0"/>
            </w:tcBorders>
            <w:noWrap/>
          </w:tcPr>
          <w:p>
            <w:pPr>
              <w:jc w:val="cente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Definition</w:t>
            </w:r>
          </w:p>
        </w:tc>
        <w:tc>
          <w:tcPr>
            <w:tcW w:w="2780" w:type="dxa"/>
            <w:tcBorders>
              <w:top w:val="single" w:color="auto" w:sz="12" w:space="0"/>
              <w:bottom w:val="single" w:color="auto" w:sz="4" w:space="0"/>
            </w:tcBorders>
          </w:tcPr>
          <w:p>
            <w:pPr>
              <w:jc w:val="cente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Variable Names</w:t>
            </w:r>
          </w:p>
        </w:tc>
        <w:tc>
          <w:tcPr>
            <w:tcW w:w="4438" w:type="dxa"/>
            <w:tcBorders>
              <w:top w:val="single" w:color="auto" w:sz="12" w:space="0"/>
              <w:bottom w:val="single" w:color="auto" w:sz="4" w:space="0"/>
            </w:tcBorders>
          </w:tcPr>
          <w:p>
            <w:pPr>
              <w:jc w:val="cente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Definition</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tcBorders>
              <w:top w:val="single" w:color="auto" w:sz="4" w:space="0"/>
            </w:tcBorders>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Age</w:t>
            </w:r>
          </w:p>
        </w:tc>
        <w:tc>
          <w:tcPr>
            <w:tcW w:w="4252" w:type="dxa"/>
            <w:tcBorders>
              <w:top w:val="single" w:color="auto" w:sz="4" w:space="0"/>
            </w:tcBorders>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Age entering the study</w:t>
            </w:r>
          </w:p>
        </w:tc>
        <w:tc>
          <w:tcPr>
            <w:tcW w:w="2780" w:type="dxa"/>
            <w:tcBorders>
              <w:top w:val="single" w:color="auto" w:sz="4" w:space="0"/>
            </w:tcBorders>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Neurosis</w:t>
            </w:r>
          </w:p>
        </w:tc>
        <w:tc>
          <w:tcPr>
            <w:tcW w:w="4438" w:type="dxa"/>
            <w:tcBorders>
              <w:top w:val="single" w:color="auto" w:sz="4" w:space="0"/>
            </w:tcBorders>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Anxiety</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SEX</w:t>
            </w:r>
          </w:p>
        </w:tc>
        <w:tc>
          <w:tcPr>
            <w:tcW w:w="4252" w:type="dxa"/>
            <w:noWrap/>
          </w:tcPr>
          <w:p>
            <w:pPr>
              <w:rPr>
                <w:rFonts w:ascii="Times New Roman" w:hAnsi="Times New Roman" w:cs="Times New Roman"/>
                <w:color w:val="000000"/>
                <w:sz w:val="22"/>
                <w:szCs w:val="22"/>
                <w:lang w:eastAsia="en-US"/>
              </w:rPr>
            </w:pPr>
            <w:r>
              <w:rPr>
                <w:rFonts w:ascii="Times New Roman" w:hAnsi="Times New Roman" w:eastAsia="Cambria" w:cs="Times New Roman"/>
                <w:sz w:val="22"/>
                <w:szCs w:val="22"/>
                <w:lang w:eastAsia="en-US"/>
              </w:rPr>
              <w:t>Sex</w:t>
            </w:r>
          </w:p>
        </w:tc>
        <w:tc>
          <w:tcPr>
            <w:tcW w:w="2780" w:type="dxa"/>
          </w:tcPr>
          <w:p>
            <w:pPr>
              <w:rPr>
                <w:rFonts w:ascii="Times New Roman" w:hAnsi="Times New Roman" w:eastAsia="Cambria" w:cs="Times New Roman"/>
                <w:b/>
                <w:bCs/>
                <w:sz w:val="22"/>
                <w:szCs w:val="22"/>
                <w:lang w:eastAsia="en-US"/>
              </w:rPr>
            </w:pPr>
            <w:r>
              <w:rPr>
                <w:rFonts w:ascii="Times New Roman" w:hAnsi="Times New Roman" w:cs="Times New Roman"/>
                <w:b/>
                <w:bCs/>
                <w:color w:val="000000"/>
                <w:sz w:val="22"/>
                <w:szCs w:val="22"/>
                <w:lang w:eastAsia="en-US"/>
              </w:rPr>
              <w:t>DP</w:t>
            </w:r>
          </w:p>
        </w:tc>
        <w:tc>
          <w:tcPr>
            <w:tcW w:w="4438" w:type="dxa"/>
          </w:tcPr>
          <w:p>
            <w:pPr>
              <w:rPr>
                <w:rFonts w:ascii="Times New Roman" w:hAnsi="Times New Roman" w:eastAsia="Cambria" w:cs="Times New Roman"/>
                <w:sz w:val="22"/>
                <w:szCs w:val="22"/>
                <w:lang w:eastAsia="en-US"/>
              </w:rPr>
            </w:pPr>
            <w:r>
              <w:rPr>
                <w:rFonts w:ascii="Times New Roman" w:hAnsi="Times New Roman" w:cs="Times New Roman"/>
                <w:color w:val="000000"/>
                <w:sz w:val="22"/>
                <w:szCs w:val="22"/>
                <w:lang w:eastAsia="en-US"/>
              </w:rPr>
              <w:t>Depression</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Marita</w:t>
            </w:r>
          </w:p>
        </w:tc>
        <w:tc>
          <w:tcPr>
            <w:tcW w:w="4252" w:type="dxa"/>
            <w:noWrap/>
          </w:tcPr>
          <w:p>
            <w:pPr>
              <w:rPr>
                <w:rFonts w:ascii="Times New Roman" w:hAnsi="Times New Roman" w:cs="Times New Roman"/>
                <w:color w:val="000000"/>
                <w:sz w:val="22"/>
                <w:szCs w:val="22"/>
                <w:lang w:eastAsia="en-US"/>
              </w:rPr>
            </w:pPr>
            <w:r>
              <w:rPr>
                <w:rFonts w:ascii="Times New Roman" w:hAnsi="Times New Roman" w:eastAsia="Cambria" w:cs="Times New Roman"/>
                <w:sz w:val="22"/>
                <w:szCs w:val="22"/>
                <w:lang w:eastAsia="en-US"/>
              </w:rPr>
              <w:t>Marital status</w:t>
            </w:r>
          </w:p>
        </w:tc>
        <w:tc>
          <w:tcPr>
            <w:tcW w:w="2780" w:type="dxa"/>
          </w:tcPr>
          <w:p>
            <w:pPr>
              <w:rPr>
                <w:rFonts w:ascii="Times New Roman" w:hAnsi="Times New Roman" w:eastAsia="Cambria" w:cs="Times New Roman"/>
                <w:b/>
                <w:bCs/>
                <w:sz w:val="22"/>
                <w:szCs w:val="22"/>
                <w:lang w:eastAsia="en-US"/>
              </w:rPr>
            </w:pPr>
            <w:r>
              <w:rPr>
                <w:rFonts w:ascii="Times New Roman" w:hAnsi="Times New Roman" w:cs="Times New Roman"/>
                <w:b/>
                <w:bCs/>
                <w:color w:val="000000" w:themeColor="text1"/>
                <w:sz w:val="22"/>
                <w:szCs w:val="22"/>
                <w:lang w:eastAsia="en-US"/>
                <w14:textFill>
                  <w14:solidFill>
                    <w14:schemeClr w14:val="tx1"/>
                  </w14:solidFill>
                </w14:textFill>
              </w:rPr>
              <w:t>Smoking years</w:t>
            </w:r>
          </w:p>
        </w:tc>
        <w:tc>
          <w:tcPr>
            <w:tcW w:w="4438" w:type="dxa"/>
            <w:vAlign w:val="center"/>
          </w:tcPr>
          <w:p>
            <w:pPr>
              <w:rPr>
                <w:rFonts w:ascii="Times New Roman" w:hAnsi="Times New Roman" w:eastAsia="Cambria" w:cs="Times New Roman"/>
                <w:sz w:val="22"/>
                <w:szCs w:val="22"/>
                <w:lang w:eastAsia="en-US"/>
              </w:rPr>
            </w:pPr>
            <w:r>
              <w:rPr>
                <w:rFonts w:ascii="Times New Roman" w:hAnsi="Times New Roman" w:cs="Times New Roman"/>
                <w:color w:val="000000"/>
                <w:sz w:val="22"/>
                <w:szCs w:val="22"/>
                <w:lang w:eastAsia="en-US"/>
              </w:rPr>
              <w:t>Total years smoked cigarettes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EDUC</w:t>
            </w:r>
          </w:p>
        </w:tc>
        <w:tc>
          <w:tcPr>
            <w:tcW w:w="4252" w:type="dxa"/>
            <w:noWrap/>
            <w:vAlign w:val="center"/>
          </w:tcPr>
          <w:p>
            <w:pPr>
              <w:rPr>
                <w:rFonts w:ascii="Times New Roman" w:hAnsi="Times New Roman" w:cs="Times New Roman"/>
                <w:sz w:val="22"/>
                <w:szCs w:val="22"/>
                <w:lang w:eastAsia="en-US"/>
              </w:rPr>
            </w:pPr>
            <w:r>
              <w:rPr>
                <w:rFonts w:ascii="Times New Roman" w:hAnsi="Times New Roman" w:cs="Times New Roman"/>
                <w:color w:val="000000"/>
                <w:sz w:val="22"/>
                <w:szCs w:val="22"/>
                <w:lang w:eastAsia="en-US"/>
              </w:rPr>
              <w:t>Years of education</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themeColor="text1"/>
                <w:sz w:val="22"/>
                <w:szCs w:val="22"/>
                <w:lang w:eastAsia="en-US"/>
                <w14:textFill>
                  <w14:solidFill>
                    <w14:schemeClr w14:val="tx1"/>
                  </w14:solidFill>
                </w14:textFill>
              </w:rPr>
              <w:t>Soporific drug</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Reported current use of a soporific drug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Hearing</w:t>
            </w:r>
          </w:p>
        </w:tc>
        <w:tc>
          <w:tcPr>
            <w:tcW w:w="4252" w:type="dxa"/>
            <w:noWrap/>
          </w:tcPr>
          <w:p>
            <w:pPr>
              <w:rPr>
                <w:rFonts w:ascii="Times New Roman" w:hAnsi="Times New Roman" w:cs="Times New Roman"/>
                <w:sz w:val="22"/>
                <w:szCs w:val="22"/>
                <w:lang w:eastAsia="en-US"/>
              </w:rPr>
            </w:pPr>
            <w:r>
              <w:rPr>
                <w:rFonts w:ascii="Times New Roman" w:hAnsi="Times New Roman" w:cs="Times New Roman"/>
                <w:color w:val="000000"/>
                <w:sz w:val="22"/>
                <w:szCs w:val="22"/>
                <w:lang w:eastAsia="en-US"/>
              </w:rPr>
              <w:t>Without a hearing aid(s), the subject’s hearing is functionally normal</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 xml:space="preserve">Anticholinergic </w:t>
            </w:r>
          </w:p>
        </w:tc>
        <w:tc>
          <w:tcPr>
            <w:tcW w:w="4438" w:type="dxa"/>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Reported current use of an anticholinergic’s drugs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AP</w:t>
            </w:r>
          </w:p>
        </w:tc>
        <w:tc>
          <w:tcPr>
            <w:tcW w:w="4252" w:type="dxa"/>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 Angina Pectoris</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themeColor="text1"/>
                <w:sz w:val="22"/>
                <w:szCs w:val="22"/>
                <w:lang w:eastAsia="en-US"/>
                <w14:textFill>
                  <w14:solidFill>
                    <w14:schemeClr w14:val="tx1"/>
                  </w14:solidFill>
                </w14:textFill>
              </w:rPr>
              <w:t>Drugs taken</w:t>
            </w:r>
          </w:p>
        </w:tc>
        <w:tc>
          <w:tcPr>
            <w:tcW w:w="4438" w:type="dxa"/>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Total number of medications reported at each visit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HV Replacement</w:t>
            </w:r>
          </w:p>
        </w:tc>
        <w:tc>
          <w:tcPr>
            <w:tcW w:w="4252" w:type="dxa"/>
            <w:noWrap/>
          </w:tcPr>
          <w:p>
            <w:pPr>
              <w:rPr>
                <w:rFonts w:ascii="Times New Roman" w:hAnsi="Times New Roman" w:cs="Times New Roman"/>
                <w:sz w:val="22"/>
                <w:szCs w:val="22"/>
                <w:lang w:eastAsia="en-US"/>
              </w:rPr>
            </w:pPr>
            <w:r>
              <w:rPr>
                <w:rFonts w:ascii="Times New Roman" w:hAnsi="Times New Roman" w:cs="Times New Roman"/>
                <w:color w:val="000000"/>
                <w:sz w:val="22"/>
                <w:szCs w:val="22"/>
                <w:lang w:eastAsia="en-US"/>
              </w:rPr>
              <w:t>History of Heart valve replacement or repair</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themeColor="text1"/>
                <w:sz w:val="22"/>
                <w:szCs w:val="22"/>
                <w:lang w:eastAsia="en-US"/>
                <w14:textFill>
                  <w14:solidFill>
                    <w14:schemeClr w14:val="tx1"/>
                  </w14:solidFill>
                </w14:textFill>
              </w:rPr>
              <w:t>family member</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Indicator of first-degree family member with cognitive impairment</w:t>
            </w:r>
            <w:r>
              <w:rPr>
                <w:rFonts w:ascii="Times New Roman" w:hAnsi="Times New Roman" w:eastAsia="Cambria" w:cs="Times New Roman"/>
                <w:sz w:val="22"/>
                <w:szCs w:val="22"/>
                <w:lang w:eastAsia="en-US"/>
              </w:rPr>
              <w:t xml:space="preserve">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AF</w:t>
            </w:r>
          </w:p>
        </w:tc>
        <w:tc>
          <w:tcPr>
            <w:tcW w:w="4252" w:type="dxa"/>
            <w:noWrap/>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 Atrial fibrillation</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Mom</w:t>
            </w:r>
          </w:p>
        </w:tc>
        <w:tc>
          <w:tcPr>
            <w:tcW w:w="4438" w:type="dxa"/>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Indicator of mother with cognitive impairment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eastAsia="Cambria" w:cs="Times New Roman"/>
                <w:b/>
                <w:bCs/>
                <w:sz w:val="22"/>
                <w:szCs w:val="22"/>
                <w:lang w:eastAsia="en-US"/>
              </w:rPr>
              <w:t>Stenting</w:t>
            </w:r>
          </w:p>
        </w:tc>
        <w:tc>
          <w:tcPr>
            <w:tcW w:w="4252" w:type="dxa"/>
            <w:noWrap/>
          </w:tcPr>
          <w:p>
            <w:pPr>
              <w:rPr>
                <w:rFonts w:ascii="Times New Roman" w:hAnsi="Times New Roman" w:cs="Times New Roman"/>
                <w:sz w:val="22"/>
                <w:szCs w:val="22"/>
                <w:lang w:eastAsia="en-US"/>
              </w:rPr>
            </w:pPr>
            <w:r>
              <w:rPr>
                <w:rFonts w:ascii="Times New Roman" w:hAnsi="Times New Roman" w:cs="Times New Roman"/>
                <w:color w:val="000000"/>
                <w:sz w:val="22"/>
                <w:szCs w:val="22"/>
                <w:lang w:eastAsia="en-US"/>
              </w:rPr>
              <w:t>History of Angioplasty/endarterectomy/stent</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Dad</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Indicator of father with cognitive impairment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CHF</w:t>
            </w:r>
          </w:p>
        </w:tc>
        <w:tc>
          <w:tcPr>
            <w:tcW w:w="4252" w:type="dxa"/>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w:t>
            </w:r>
            <w:r>
              <w:rPr>
                <w:rFonts w:ascii="Times New Roman" w:hAnsi="Times New Roman" w:eastAsia="Cambria" w:cs="Times New Roman"/>
                <w:sz w:val="22"/>
                <w:szCs w:val="22"/>
                <w:lang w:eastAsia="en-US"/>
              </w:rPr>
              <w:t xml:space="preserve"> Congestive heart failure</w:t>
            </w:r>
          </w:p>
        </w:tc>
        <w:tc>
          <w:tcPr>
            <w:tcW w:w="2780" w:type="dxa"/>
          </w:tcPr>
          <w:p>
            <w:pPr>
              <w:rPr>
                <w:rFonts w:ascii="Times New Roman" w:hAnsi="Times New Roman" w:cs="Times New Roman"/>
                <w:b/>
                <w:bCs/>
                <w:color w:val="000000"/>
                <w:sz w:val="22"/>
                <w:szCs w:val="22"/>
                <w:lang w:eastAsia="en-US"/>
              </w:rPr>
            </w:pPr>
            <w:r>
              <w:rPr>
                <w:rFonts w:ascii="Times New Roman" w:hAnsi="Times New Roman" w:eastAsia="Cambria" w:cs="Times New Roman"/>
                <w:b/>
                <w:bCs/>
                <w:sz w:val="22"/>
                <w:szCs w:val="22"/>
                <w:lang w:eastAsia="en-US"/>
              </w:rPr>
              <w:t>Sleep Apnea</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Sleep apnea history reported at Initial Visit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Stroke</w:t>
            </w:r>
          </w:p>
        </w:tc>
        <w:tc>
          <w:tcPr>
            <w:tcW w:w="4252" w:type="dxa"/>
            <w:noWrap/>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 stroke</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REM</w:t>
            </w:r>
          </w:p>
        </w:tc>
        <w:tc>
          <w:tcPr>
            <w:tcW w:w="4438" w:type="dxa"/>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REM sleep behavior disorder (RBD) history</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TIA</w:t>
            </w:r>
          </w:p>
        </w:tc>
        <w:tc>
          <w:tcPr>
            <w:tcW w:w="4252" w:type="dxa"/>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w:t>
            </w:r>
            <w:r>
              <w:rPr>
                <w:rFonts w:ascii="Times New Roman" w:hAnsi="Times New Roman" w:eastAsia="Cambria" w:cs="Times New Roman"/>
                <w:sz w:val="22"/>
                <w:szCs w:val="22"/>
                <w:lang w:eastAsia="en-US"/>
              </w:rPr>
              <w:t xml:space="preserve"> Transient ischemic attack</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Insomnia</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Hyposomnia/insomnia history reported at Initial Visit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PD</w:t>
            </w:r>
          </w:p>
        </w:tc>
        <w:tc>
          <w:tcPr>
            <w:tcW w:w="4252" w:type="dxa"/>
            <w:noWrap/>
            <w:vAlign w:val="center"/>
          </w:tcPr>
          <w:p>
            <w:pPr>
              <w:rPr>
                <w:rFonts w:ascii="Times New Roman" w:hAnsi="Times New Roman" w:cs="Times New Roman"/>
                <w:sz w:val="22"/>
                <w:szCs w:val="22"/>
                <w:lang w:eastAsia="en-US"/>
              </w:rPr>
            </w:pPr>
            <w:r>
              <w:rPr>
                <w:rFonts w:ascii="Times New Roman" w:hAnsi="Times New Roman" w:cs="Times New Roman"/>
                <w:color w:val="000000"/>
                <w:sz w:val="22"/>
                <w:szCs w:val="22"/>
                <w:lang w:eastAsia="en-US"/>
              </w:rPr>
              <w:t>History of Parkinson’s disease</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BMI</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Body Mass Index</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Seizures</w:t>
            </w:r>
          </w:p>
        </w:tc>
        <w:tc>
          <w:tcPr>
            <w:tcW w:w="4252" w:type="dxa"/>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 Seizures</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DBP</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Diastolic blood pressure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TBI</w:t>
            </w:r>
          </w:p>
        </w:tc>
        <w:tc>
          <w:tcPr>
            <w:tcW w:w="4252" w:type="dxa"/>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w:t>
            </w:r>
            <w:r>
              <w:rPr>
                <w:rFonts w:ascii="Times New Roman" w:hAnsi="Times New Roman" w:eastAsia="Cambria" w:cs="Times New Roman"/>
                <w:sz w:val="22"/>
                <w:szCs w:val="22"/>
                <w:lang w:eastAsia="en-US"/>
              </w:rPr>
              <w:t xml:space="preserve"> traumatic brain injury</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themeColor="text1"/>
                <w:sz w:val="22"/>
                <w:szCs w:val="22"/>
                <w:lang w:eastAsia="en-US"/>
                <w14:textFill>
                  <w14:solidFill>
                    <w14:schemeClr w14:val="tx1"/>
                  </w14:solidFill>
                </w14:textFill>
              </w:rPr>
              <w:t>Hypercholesterolemia</w:t>
            </w:r>
          </w:p>
        </w:tc>
        <w:tc>
          <w:tcPr>
            <w:tcW w:w="4438" w:type="dxa"/>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 Hypercholesterolemia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0" w:hRule="atLeast"/>
          <w:jc w:val="center"/>
        </w:trPr>
        <w:tc>
          <w:tcPr>
            <w:tcW w:w="2281" w:type="dxa"/>
            <w:noWrap/>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SBP</w:t>
            </w:r>
          </w:p>
        </w:tc>
        <w:tc>
          <w:tcPr>
            <w:tcW w:w="4252" w:type="dxa"/>
            <w:noWrap/>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Systolic blood pressure</w:t>
            </w:r>
          </w:p>
        </w:tc>
        <w:tc>
          <w:tcPr>
            <w:tcW w:w="2780" w:type="dxa"/>
          </w:tcPr>
          <w:p>
            <w:pPr>
              <w:rPr>
                <w:rFonts w:ascii="Times New Roman" w:hAnsi="Times New Roman" w:cs="Times New Roman"/>
                <w:b/>
                <w:bCs/>
                <w:color w:val="000000"/>
                <w:sz w:val="22"/>
                <w:szCs w:val="22"/>
                <w:lang w:eastAsia="en-US"/>
              </w:rPr>
            </w:pPr>
            <w:r>
              <w:rPr>
                <w:rFonts w:ascii="Times New Roman" w:hAnsi="Times New Roman" w:cs="Times New Roman"/>
                <w:b/>
                <w:bCs/>
                <w:color w:val="000000"/>
                <w:sz w:val="22"/>
                <w:szCs w:val="22"/>
                <w:lang w:eastAsia="en-US"/>
              </w:rPr>
              <w:t>Diabetes</w:t>
            </w:r>
          </w:p>
        </w:tc>
        <w:tc>
          <w:tcPr>
            <w:tcW w:w="4438" w:type="dxa"/>
            <w:vAlign w:val="center"/>
          </w:tcPr>
          <w:p>
            <w:pPr>
              <w:rPr>
                <w:rFonts w:ascii="Times New Roman" w:hAnsi="Times New Roman" w:cs="Times New Roman"/>
                <w:color w:val="000000"/>
                <w:sz w:val="22"/>
                <w:szCs w:val="22"/>
                <w:lang w:eastAsia="en-US"/>
              </w:rPr>
            </w:pPr>
            <w:r>
              <w:rPr>
                <w:rFonts w:ascii="Times New Roman" w:hAnsi="Times New Roman" w:cs="Times New Roman"/>
                <w:color w:val="000000"/>
                <w:sz w:val="22"/>
                <w:szCs w:val="22"/>
                <w:lang w:eastAsia="en-US"/>
              </w:rPr>
              <w:t>History of Diabetes</w:t>
            </w:r>
          </w:p>
        </w:tc>
      </w:tr>
    </w:tbl>
    <w:p/>
    <w:p/>
    <w:p/>
    <w:p>
      <w:pPr>
        <w:rPr>
          <w:rFonts w:ascii="Arial" w:hAnsi="Arial" w:cs="Arial"/>
          <w:color w:val="222222"/>
          <w:sz w:val="20"/>
          <w:szCs w:val="20"/>
          <w:shd w:val="clear" w:color="auto" w:fill="F6F6F6"/>
        </w:rPr>
      </w:pPr>
    </w:p>
    <w:p>
      <w:pPr>
        <w:rPr>
          <w:rFonts w:ascii="Times New Roman" w:hAnsi="Times New Roman" w:cs="Times New Roman"/>
          <w:b/>
          <w:bCs/>
        </w:rPr>
      </w:pPr>
      <w:r>
        <w:rPr>
          <w:rFonts w:ascii="Times New Roman" w:hAnsi="Times New Roman" w:cs="Times New Roman" w:eastAsiaTheme="minorEastAsia"/>
          <w:b/>
          <w:bCs/>
        </w:rPr>
        <w:t>Supplemental Table 2</w:t>
      </w:r>
      <w:r>
        <w:rPr>
          <w:rFonts w:ascii="Times New Roman" w:hAnsi="Times New Roman" w:cs="Times New Roman"/>
          <w:b/>
          <w:bCs/>
        </w:rPr>
        <w:t xml:space="preserve">. Baseline clinical characteristics </w:t>
      </w:r>
      <w:r>
        <w:rPr>
          <w:rFonts w:hint="eastAsia" w:ascii="Times New Roman" w:hAnsi="Times New Roman" w:cs="Times New Roman"/>
          <w:b/>
          <w:bCs/>
        </w:rPr>
        <w:t>of</w:t>
      </w:r>
      <w:r>
        <w:rPr>
          <w:rFonts w:ascii="Times New Roman" w:hAnsi="Times New Roman" w:cs="Times New Roman"/>
          <w:b/>
          <w:bCs/>
        </w:rPr>
        <w:t xml:space="preserve"> all participants </w:t>
      </w:r>
      <w:r>
        <w:rPr>
          <w:rFonts w:hint="eastAsia" w:ascii="Times New Roman" w:hAnsi="Times New Roman" w:cs="Times New Roman"/>
          <w:b/>
          <w:bCs/>
        </w:rPr>
        <w:t>(</w:t>
      </w:r>
      <w:r>
        <w:rPr>
          <w:rFonts w:ascii="Times New Roman" w:hAnsi="Times New Roman" w:cs="Times New Roman"/>
          <w:b/>
          <w:bCs/>
        </w:rPr>
        <w:t>%)</w:t>
      </w:r>
    </w:p>
    <w:tbl>
      <w:tblPr>
        <w:tblStyle w:val="9"/>
        <w:tblW w:w="1389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11"/>
        <w:gridCol w:w="1701"/>
        <w:gridCol w:w="1418"/>
        <w:gridCol w:w="1842"/>
        <w:gridCol w:w="1843"/>
        <w:gridCol w:w="1418"/>
        <w:gridCol w:w="15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blHeader/>
        </w:trPr>
        <w:tc>
          <w:tcPr>
            <w:tcW w:w="7230" w:type="dxa"/>
            <w:gridSpan w:val="3"/>
            <w:tcBorders>
              <w:top w:val="single" w:color="auto" w:sz="12" w:space="0"/>
              <w:left w:val="nil"/>
              <w:bottom w:val="single" w:color="auto" w:sz="4" w:space="0"/>
              <w:right w:val="nil"/>
            </w:tcBorders>
          </w:tcPr>
          <w:p>
            <w:pPr>
              <w:jc w:val="center"/>
              <w:rPr>
                <w:rFonts w:ascii="Times New Roman" w:hAnsi="Times New Roman" w:eastAsia="Cambria" w:cs="Times New Roman"/>
                <w:b/>
                <w:bCs/>
                <w:sz w:val="22"/>
                <w:szCs w:val="22"/>
                <w:lang w:eastAsia="en-US"/>
              </w:rPr>
            </w:pPr>
            <w:r>
              <w:rPr>
                <w:rFonts w:ascii="Times New Roman" w:hAnsi="Times New Roman" w:eastAsia="Cambria" w:cs="Times New Roman"/>
                <w:b/>
                <w:bCs/>
                <w:sz w:val="22"/>
                <w:szCs w:val="22"/>
                <w:lang w:eastAsia="en-US"/>
              </w:rPr>
              <w:t>Variables</w:t>
            </w:r>
          </w:p>
        </w:tc>
        <w:tc>
          <w:tcPr>
            <w:tcW w:w="1842" w:type="dxa"/>
            <w:tcBorders>
              <w:top w:val="single" w:color="auto" w:sz="12" w:space="0"/>
              <w:left w:val="nil"/>
              <w:bottom w:val="single" w:color="auto" w:sz="4" w:space="0"/>
              <w:right w:val="nil"/>
            </w:tcBorders>
          </w:tcPr>
          <w:p>
            <w:pPr>
              <w:rPr>
                <w:rFonts w:ascii="Times New Roman" w:hAnsi="Times New Roman" w:eastAsia="Cambria" w:cs="Times New Roman"/>
                <w:b/>
                <w:bCs/>
                <w:sz w:val="22"/>
                <w:szCs w:val="22"/>
                <w:lang w:eastAsia="en-US"/>
              </w:rPr>
            </w:pPr>
            <w:r>
              <w:rPr>
                <w:rFonts w:ascii="Times New Roman" w:hAnsi="Times New Roman" w:eastAsia="Cambria" w:cs="Times New Roman"/>
                <w:b/>
                <w:bCs/>
                <w:sz w:val="22"/>
                <w:szCs w:val="22"/>
                <w:lang w:eastAsia="en-US"/>
              </w:rPr>
              <w:t>AD (489)</w:t>
            </w:r>
          </w:p>
        </w:tc>
        <w:tc>
          <w:tcPr>
            <w:tcW w:w="1843" w:type="dxa"/>
            <w:tcBorders>
              <w:top w:val="single" w:color="auto" w:sz="12" w:space="0"/>
              <w:left w:val="nil"/>
              <w:bottom w:val="single" w:color="auto" w:sz="4" w:space="0"/>
              <w:right w:val="nil"/>
            </w:tcBorders>
          </w:tcPr>
          <w:p>
            <w:pPr>
              <w:rPr>
                <w:rFonts w:ascii="Times New Roman" w:hAnsi="Times New Roman" w:eastAsia="Cambria" w:cs="Times New Roman"/>
                <w:b/>
                <w:bCs/>
                <w:sz w:val="22"/>
                <w:szCs w:val="22"/>
                <w:lang w:eastAsia="en-US"/>
              </w:rPr>
            </w:pPr>
            <w:r>
              <w:rPr>
                <w:rFonts w:ascii="Times New Roman" w:hAnsi="Times New Roman" w:eastAsia="Cambria" w:cs="Times New Roman"/>
                <w:b/>
                <w:bCs/>
                <w:sz w:val="22"/>
                <w:szCs w:val="22"/>
                <w:lang w:eastAsia="en-US"/>
              </w:rPr>
              <w:t>HC (1588)</w:t>
            </w:r>
          </w:p>
        </w:tc>
        <w:tc>
          <w:tcPr>
            <w:tcW w:w="1418" w:type="dxa"/>
            <w:tcBorders>
              <w:top w:val="single" w:color="auto" w:sz="12" w:space="0"/>
              <w:left w:val="nil"/>
              <w:bottom w:val="single" w:color="auto" w:sz="4" w:space="0"/>
              <w:right w:val="nil"/>
            </w:tcBorders>
          </w:tcPr>
          <w:p>
            <w:pPr>
              <w:rPr>
                <w:rFonts w:ascii="Times New Roman" w:hAnsi="Times New Roman" w:eastAsia="Cambria" w:cs="Times New Roman"/>
                <w:b/>
                <w:bCs/>
                <w:sz w:val="22"/>
                <w:szCs w:val="22"/>
                <w:lang w:eastAsia="en-US"/>
              </w:rPr>
            </w:pPr>
            <w:r>
              <w:rPr>
                <w:rFonts w:ascii="Times New Roman" w:hAnsi="Times New Roman" w:eastAsia="Cambria" w:cs="Times New Roman"/>
                <w:b/>
                <w:bCs/>
                <w:sz w:val="22"/>
                <w:szCs w:val="22"/>
                <w:lang w:eastAsia="en-US"/>
              </w:rPr>
              <w:t>t/χ2 /z</w:t>
            </w:r>
          </w:p>
        </w:tc>
        <w:tc>
          <w:tcPr>
            <w:tcW w:w="1559" w:type="dxa"/>
            <w:tcBorders>
              <w:top w:val="single" w:color="auto" w:sz="12" w:space="0"/>
              <w:left w:val="nil"/>
              <w:bottom w:val="single" w:color="auto" w:sz="4" w:space="0"/>
              <w:right w:val="nil"/>
            </w:tcBorders>
          </w:tcPr>
          <w:p>
            <w:pPr>
              <w:rPr>
                <w:rFonts w:ascii="Times New Roman" w:hAnsi="Times New Roman" w:eastAsia="Cambria" w:cs="Times New Roman"/>
                <w:b/>
                <w:bCs/>
                <w:sz w:val="22"/>
                <w:szCs w:val="22"/>
                <w:lang w:eastAsia="en-US"/>
              </w:rPr>
            </w:pPr>
            <w:r>
              <w:rPr>
                <w:rFonts w:ascii="Times New Roman" w:hAnsi="Times New Roman" w:eastAsia="Cambria" w:cs="Times New Roman"/>
                <w:b/>
                <w:bCs/>
                <w:i/>
                <w:sz w:val="22"/>
                <w:szCs w:val="22"/>
                <w:lang w:eastAsia="en-US"/>
              </w:rPr>
              <w:t>p</w:t>
            </w:r>
            <w:r>
              <w:rPr>
                <w:rFonts w:ascii="Times New Roman" w:hAnsi="Times New Roman" w:eastAsia="Cambria" w:cs="Times New Roman"/>
                <w:b/>
                <w:bCs/>
                <w:sz w:val="22"/>
                <w:szCs w:val="22"/>
                <w:lang w:eastAsia="en-US"/>
              </w:rPr>
              <w:t xml:space="preserve"> value</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single" w:color="auto" w:sz="4" w:space="0"/>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Age</w:t>
            </w:r>
          </w:p>
        </w:tc>
        <w:tc>
          <w:tcPr>
            <w:tcW w:w="1701" w:type="dxa"/>
            <w:tcBorders>
              <w:top w:val="single" w:color="auto" w:sz="4" w:space="0"/>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60-98</w:t>
            </w:r>
          </w:p>
        </w:tc>
        <w:tc>
          <w:tcPr>
            <w:tcW w:w="1418" w:type="dxa"/>
            <w:tcBorders>
              <w:top w:val="single" w:color="auto" w:sz="4" w:space="0"/>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w:t>
            </w:r>
          </w:p>
        </w:tc>
        <w:tc>
          <w:tcPr>
            <w:tcW w:w="1842" w:type="dxa"/>
            <w:tcBorders>
              <w:top w:val="single" w:color="auto" w:sz="4" w:space="0"/>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73(67,79)</w:t>
            </w:r>
          </w:p>
        </w:tc>
        <w:tc>
          <w:tcPr>
            <w:tcW w:w="1843" w:type="dxa"/>
            <w:tcBorders>
              <w:top w:val="single" w:color="auto" w:sz="4" w:space="0"/>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70(66,74)</w:t>
            </w:r>
          </w:p>
        </w:tc>
        <w:tc>
          <w:tcPr>
            <w:tcW w:w="1418" w:type="dxa"/>
            <w:tcBorders>
              <w:top w:val="single" w:color="auto" w:sz="4" w:space="0"/>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5.143</w:t>
            </w:r>
          </w:p>
        </w:tc>
        <w:tc>
          <w:tcPr>
            <w:tcW w:w="1559" w:type="dxa"/>
            <w:tcBorders>
              <w:top w:val="single" w:color="auto" w:sz="4" w:space="0"/>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Sex</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Male</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250(51.1%)</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586(36.9%)</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31.448</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Female</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239(48.9%</w:t>
            </w:r>
            <w:r>
              <w:rPr>
                <w:rFonts w:ascii="Times New Roman" w:hAnsi="Times New Roman" w:cs="Times New Roman"/>
                <w:sz w:val="22"/>
                <w:szCs w:val="22"/>
                <w:lang w:eastAsia="en-US"/>
              </w:rPr>
              <w:t>）</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1002(63.1%)</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Marital</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Married</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384(78.5%)</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1027(64.7%</w:t>
            </w:r>
            <w:r>
              <w:rPr>
                <w:rFonts w:ascii="Times New Roman" w:hAnsi="Times New Roman" w:cs="Times New Roman"/>
                <w:sz w:val="22"/>
                <w:szCs w:val="22"/>
                <w:lang w:eastAsia="en-US"/>
              </w:rPr>
              <w:t>）</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32.947</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Other</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105(21, 5%)</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561(35.3%)</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cs="Times New Roman"/>
                <w:color w:val="000000"/>
                <w:sz w:val="22"/>
                <w:szCs w:val="22"/>
                <w:lang w:eastAsia="en-US"/>
              </w:rPr>
              <w:t>EDUC</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1-25</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8.763</w:t>
            </w:r>
          </w:p>
        </w:tc>
        <w:tc>
          <w:tcPr>
            <w:tcW w:w="1559"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cs="Times New Roman"/>
                <w:color w:val="000000" w:themeColor="text1"/>
                <w:sz w:val="22"/>
                <w:szCs w:val="22"/>
                <w:lang w:eastAsia="en-US"/>
                <w14:textFill>
                  <w14:solidFill>
                    <w14:schemeClr w14:val="tx1"/>
                  </w14:solidFill>
                </w14:textFill>
              </w:rPr>
              <w:t>family member</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199(40.7%)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624(39.3%)</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0.307</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0.580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290(59.3%)</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964(60.7%)</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cs="Times New Roman"/>
                <w:color w:val="000000"/>
                <w:sz w:val="22"/>
                <w:szCs w:val="22"/>
                <w:lang w:eastAsia="en-US"/>
              </w:rPr>
              <w:t>Mom</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321(65.6%)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939(59.1%)</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6.646</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168(34.4%)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649(40.9%)</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cs="Times New Roman"/>
                <w:color w:val="000000"/>
                <w:sz w:val="22"/>
                <w:szCs w:val="22"/>
                <w:lang w:eastAsia="en-US"/>
              </w:rPr>
              <w:t>Dad</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393(80.4%)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1227(77.3%)</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2.095</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0.148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96(19.6%)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361(22.7%)</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Depression</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381(77.9%)</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1468(92.4%)</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100.917</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108(22.1%)</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102(7.6%)</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Anxiety</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451(92.2%)</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1550(97.6%)</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30.675</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38(7.8%)</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38(2.4%)</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Sleep Apnea</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395(80.8%)</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1341(84.4%)</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3.667</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94(19.2%)</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247(15.6%)</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REM</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445(91.0%)</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1557(98.0%)</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53.325</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02" w:hRule="atLeast"/>
        </w:trPr>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44(9.0%)</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31(2.0%)</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Insomnia</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443(90.6%)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1362(85.8%)</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7.647</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46(9.4%)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226(14.2%)</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cs="Times New Roman"/>
                <w:color w:val="000000"/>
                <w:sz w:val="22"/>
                <w:szCs w:val="22"/>
                <w:lang w:eastAsia="en-US"/>
              </w:rPr>
              <w:t>AP</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475(97.1%)</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1545(97.3%)</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0.034</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0.854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14(2.9%)</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43(2.7%)</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AF</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462(94.5%)</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1504(94.7%)</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0.040</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0.842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27(5.5%)</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84(5.3%)</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Stenting</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452(92.4%)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1531(96.4%)</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13.686</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37(7.6%)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57(3.6%)</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Congestive heart failure</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479(98.0%)</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1582(99.6%)</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13.594</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10(2.0%)</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6(0.4%)</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Heart valve surgery</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483(98.8%)</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1572(99.0%)</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0.172</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0.679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24" w:hRule="atLeast"/>
        </w:trPr>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6(1.2%)</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16(1.0%)</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Stroke</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477(97.5%)</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1564(98.5%)</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1.951</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0.163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1292.5%)</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24(1.5%)</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Transient ischemic attack</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468(95.7%)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1556(98.0%)</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7.812</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21(4.3%</w:t>
            </w:r>
            <w:r>
              <w:rPr>
                <w:rFonts w:ascii="Times New Roman" w:hAnsi="Times New Roman" w:cs="Times New Roman"/>
                <w:sz w:val="22"/>
                <w:szCs w:val="22"/>
                <w:lang w:eastAsia="en-US"/>
              </w:rPr>
              <w:t>）</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32(2.0%)</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Parkinson</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482(98.6%)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1562(98.4%)</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0.101</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0.750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7(1.4%)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26(1.6%)</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Seizures</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473(96.7%)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1561(98.3%)</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4.555</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0.033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16(3.3%)</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27(1.7%)</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traumatic brain injury</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400(81.8%)</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1383(87.1%)</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8.614</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89(18.2%)</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205(12.9%)</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hearing</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98(20.0%)</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313(19.7%)</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0.026</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0.873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391(80.0%)</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1275(80.3%)</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sbp</w:t>
            </w:r>
            <w:r>
              <w:rPr>
                <w:rFonts w:ascii="Times New Roman" w:hAnsi="Times New Roman" w:eastAsia="Cambria" w:cs="Times New Roman"/>
                <w:sz w:val="22"/>
                <w:szCs w:val="22"/>
                <w:vertAlign w:val="superscript"/>
                <w:lang w:eastAsia="en-US"/>
              </w:rPr>
              <w:t>a</w:t>
            </w:r>
            <w:r>
              <w:rPr>
                <w:rFonts w:ascii="Times New Roman" w:hAnsi="Times New Roman" w:eastAsia="Cambria" w:cs="Times New Roman"/>
                <w:sz w:val="22"/>
                <w:szCs w:val="22"/>
                <w:lang w:eastAsia="en-US"/>
              </w:rPr>
              <w:t>/ mmHg</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87-229</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136(122,150</w:t>
            </w:r>
            <w:r>
              <w:rPr>
                <w:rFonts w:ascii="Times New Roman" w:hAnsi="Times New Roman" w:cs="Times New Roman"/>
                <w:sz w:val="22"/>
                <w:szCs w:val="22"/>
                <w:lang w:eastAsia="en-US"/>
              </w:rPr>
              <w:t>）</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132(121,145)</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3.156</w:t>
            </w:r>
          </w:p>
        </w:tc>
        <w:tc>
          <w:tcPr>
            <w:tcW w:w="1559"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dbp</w:t>
            </w:r>
            <w:r>
              <w:rPr>
                <w:rFonts w:ascii="Times New Roman" w:hAnsi="Times New Roman" w:eastAsia="Cambria" w:cs="Times New Roman"/>
                <w:sz w:val="22"/>
                <w:szCs w:val="22"/>
                <w:vertAlign w:val="superscript"/>
                <w:lang w:eastAsia="en-US"/>
              </w:rPr>
              <w:t>b</w:t>
            </w:r>
            <w:r>
              <w:rPr>
                <w:rFonts w:ascii="Times New Roman" w:hAnsi="Times New Roman" w:eastAsia="Cambria" w:cs="Times New Roman"/>
                <w:sz w:val="22"/>
                <w:szCs w:val="22"/>
                <w:lang w:eastAsia="en-US"/>
              </w:rPr>
              <w:t>/ mmHg</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36-120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77(70,84)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77(70,83</w:t>
            </w:r>
            <w:r>
              <w:rPr>
                <w:rFonts w:ascii="Times New Roman" w:hAnsi="Times New Roman" w:cs="Times New Roman"/>
                <w:sz w:val="22"/>
                <w:szCs w:val="22"/>
                <w:lang w:eastAsia="en-US"/>
              </w:rPr>
              <w:t>）</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0.195</w:t>
            </w:r>
          </w:p>
        </w:tc>
        <w:tc>
          <w:tcPr>
            <w:tcW w:w="1559"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0.846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Years of smoking</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0-66</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2.090</w:t>
            </w:r>
          </w:p>
        </w:tc>
        <w:tc>
          <w:tcPr>
            <w:tcW w:w="1559"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BMI</w:t>
            </w:r>
            <w:r>
              <w:rPr>
                <w:rFonts w:ascii="Times New Roman" w:hAnsi="Times New Roman" w:eastAsia="Cambria" w:cs="Times New Roman"/>
                <w:sz w:val="22"/>
                <w:szCs w:val="22"/>
                <w:vertAlign w:val="superscript"/>
                <w:lang w:eastAsia="en-US"/>
              </w:rPr>
              <w:t>c</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16.3-56.1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26.1(23,29.7)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26.4(23.7,29.8)</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1.720</w:t>
            </w:r>
          </w:p>
        </w:tc>
        <w:tc>
          <w:tcPr>
            <w:tcW w:w="1559"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0.085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High blood pressure</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244(49.9%)</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928(58.4%)</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11.091</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245(50.1%)</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660(41.6%)</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Hypercholesterolemia</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216(44.2%)</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804(50.6%)</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6.239</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273(55.8%)</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784(49.4%)</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Diabetes</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414(84.7%)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1445(91.0%)</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17.384</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Type 1</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3(0.6%)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5(0.3%)</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Type 2</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72(14.7%)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138(8.7%)</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Sedative-hypnotics</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403(82.4%)</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1362(85.8%)</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3.297</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0.069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86(17.6%)</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226(4.2%)</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restart"/>
            <w:tcBorders>
              <w:top w:val="nil"/>
              <w:left w:val="nil"/>
              <w:bottom w:val="nil"/>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Anticholinergics</w:t>
            </w: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no</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473(96.7%)</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1523(95.9%)</w:t>
            </w:r>
          </w:p>
        </w:tc>
        <w:tc>
          <w:tcPr>
            <w:tcW w:w="1418"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0.673</w:t>
            </w:r>
          </w:p>
        </w:tc>
        <w:tc>
          <w:tcPr>
            <w:tcW w:w="1559" w:type="dxa"/>
            <w:vMerge w:val="restart"/>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0.412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vMerge w:val="continue"/>
            <w:tcBorders>
              <w:top w:val="nil"/>
              <w:left w:val="nil"/>
              <w:bottom w:val="nil"/>
              <w:right w:val="nil"/>
            </w:tcBorders>
            <w:vAlign w:val="center"/>
          </w:tcPr>
          <w:p>
            <w:pPr>
              <w:jc w:val="center"/>
              <w:rPr>
                <w:rFonts w:ascii="Times New Roman" w:hAnsi="Times New Roman" w:eastAsia="Cambria" w:cs="Times New Roman"/>
                <w:sz w:val="22"/>
                <w:szCs w:val="22"/>
                <w:lang w:eastAsia="en-US"/>
              </w:rPr>
            </w:pPr>
          </w:p>
        </w:tc>
        <w:tc>
          <w:tcPr>
            <w:tcW w:w="1701"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w:t>
            </w:r>
          </w:p>
        </w:tc>
        <w:tc>
          <w:tcPr>
            <w:tcW w:w="1418"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yes</w:t>
            </w:r>
          </w:p>
        </w:tc>
        <w:tc>
          <w:tcPr>
            <w:tcW w:w="1842"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16(3.3%)</w:t>
            </w:r>
          </w:p>
        </w:tc>
        <w:tc>
          <w:tcPr>
            <w:tcW w:w="1843" w:type="dxa"/>
            <w:tcBorders>
              <w:top w:val="nil"/>
              <w:left w:val="nil"/>
              <w:bottom w:val="nil"/>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65(4.1%)</w:t>
            </w:r>
          </w:p>
        </w:tc>
        <w:tc>
          <w:tcPr>
            <w:tcW w:w="1418"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c>
          <w:tcPr>
            <w:tcW w:w="1559" w:type="dxa"/>
            <w:vMerge w:val="continue"/>
            <w:tcBorders>
              <w:top w:val="nil"/>
              <w:left w:val="nil"/>
              <w:bottom w:val="nil"/>
              <w:right w:val="nil"/>
            </w:tcBorders>
            <w:vAlign w:val="center"/>
          </w:tcPr>
          <w:p>
            <w:pPr>
              <w:rPr>
                <w:rFonts w:ascii="Times New Roman" w:hAnsi="Times New Roman" w:eastAsia="Cambria" w:cs="Times New Roman"/>
                <w:sz w:val="22"/>
                <w:szCs w:val="22"/>
                <w:lang w:eastAsia="en-U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111" w:type="dxa"/>
            <w:tcBorders>
              <w:top w:val="nil"/>
              <w:left w:val="nil"/>
              <w:bottom w:val="single" w:color="auto" w:sz="4" w:space="0"/>
              <w:right w:val="nil"/>
            </w:tcBorders>
          </w:tcPr>
          <w:p>
            <w:pPr>
              <w:jc w:val="cente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Drugs taken</w:t>
            </w:r>
          </w:p>
        </w:tc>
        <w:tc>
          <w:tcPr>
            <w:tcW w:w="1701" w:type="dxa"/>
            <w:tcBorders>
              <w:top w:val="nil"/>
              <w:left w:val="nil"/>
              <w:bottom w:val="single" w:color="auto" w:sz="4" w:space="0"/>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0-28</w:t>
            </w:r>
          </w:p>
        </w:tc>
        <w:tc>
          <w:tcPr>
            <w:tcW w:w="1418" w:type="dxa"/>
            <w:tcBorders>
              <w:top w:val="nil"/>
              <w:left w:val="nil"/>
              <w:bottom w:val="single" w:color="auto" w:sz="4" w:space="0"/>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_</w:t>
            </w:r>
          </w:p>
        </w:tc>
        <w:tc>
          <w:tcPr>
            <w:tcW w:w="1842" w:type="dxa"/>
            <w:tcBorders>
              <w:top w:val="nil"/>
              <w:left w:val="nil"/>
              <w:bottom w:val="single" w:color="auto" w:sz="4" w:space="0"/>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7(4,10)</w:t>
            </w:r>
          </w:p>
        </w:tc>
        <w:tc>
          <w:tcPr>
            <w:tcW w:w="1843" w:type="dxa"/>
            <w:tcBorders>
              <w:top w:val="nil"/>
              <w:left w:val="nil"/>
              <w:bottom w:val="single" w:color="auto" w:sz="4" w:space="0"/>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6(3,9)</w:t>
            </w:r>
          </w:p>
        </w:tc>
        <w:tc>
          <w:tcPr>
            <w:tcW w:w="1418" w:type="dxa"/>
            <w:tcBorders>
              <w:top w:val="nil"/>
              <w:left w:val="nil"/>
              <w:bottom w:val="single" w:color="auto" w:sz="4" w:space="0"/>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6.004</w:t>
            </w:r>
          </w:p>
        </w:tc>
        <w:tc>
          <w:tcPr>
            <w:tcW w:w="1559" w:type="dxa"/>
            <w:tcBorders>
              <w:top w:val="nil"/>
              <w:left w:val="nil"/>
              <w:bottom w:val="single" w:color="auto" w:sz="4" w:space="0"/>
              <w:right w:val="nil"/>
            </w:tcBorders>
          </w:tcPr>
          <w:p>
            <w:pPr>
              <w:rPr>
                <w:rFonts w:ascii="Times New Roman" w:hAnsi="Times New Roman" w:eastAsia="Cambria" w:cs="Times New Roman"/>
                <w:sz w:val="22"/>
                <w:szCs w:val="22"/>
                <w:lang w:eastAsia="en-US"/>
              </w:rPr>
            </w:pPr>
            <w:r>
              <w:rPr>
                <w:rFonts w:ascii="Times New Roman" w:hAnsi="Times New Roman" w:eastAsia="Cambria" w:cs="Times New Roman"/>
                <w:sz w:val="22"/>
                <w:szCs w:val="22"/>
                <w:lang w:eastAsia="en-US"/>
              </w:rPr>
              <w:t>0.000</w:t>
            </w:r>
          </w:p>
        </w:tc>
      </w:tr>
    </w:tbl>
    <w:p>
      <w:pPr>
        <w:jc w:val="both"/>
        <w:rPr>
          <w:rFonts w:ascii="Times New Roman" w:hAnsi="Times New Roman" w:eastAsia="Cambria" w:cs="Times New Roman"/>
          <w:vertAlign w:val="superscript"/>
        </w:rPr>
      </w:pPr>
      <w:bookmarkStart w:id="0" w:name="_GoBack"/>
      <w:bookmarkEnd w:id="0"/>
      <w:r>
        <w:rPr>
          <w:rFonts w:ascii="Times New Roman" w:hAnsi="Times New Roman" w:eastAsia="Cambria" w:cs="Times New Roman"/>
        </w:rPr>
        <w:t>sbp</w:t>
      </w:r>
      <w:r>
        <w:rPr>
          <w:rFonts w:ascii="Times New Roman" w:hAnsi="Times New Roman" w:eastAsia="Cambria" w:cs="Times New Roman"/>
          <w:vertAlign w:val="superscript"/>
        </w:rPr>
        <w:t>a</w:t>
      </w:r>
      <w:r>
        <w:rPr>
          <w:rFonts w:ascii="Times New Roman" w:hAnsi="Times New Roman" w:eastAsia="Cambria" w:cs="Times New Roman"/>
        </w:rPr>
        <w:t>:</w:t>
      </w:r>
      <w:r>
        <w:rPr>
          <w:rFonts w:ascii="Times New Roman" w:hAnsi="Times New Roman" w:cs="Times New Roman"/>
        </w:rPr>
        <w:t xml:space="preserve"> </w:t>
      </w:r>
      <w:r>
        <w:rPr>
          <w:rFonts w:ascii="Times New Roman" w:hAnsi="Times New Roman" w:eastAsia="Cambria" w:cs="Times New Roman"/>
        </w:rPr>
        <w:t>systolic blood pressure; dbp</w:t>
      </w:r>
      <w:r>
        <w:rPr>
          <w:rFonts w:ascii="Times New Roman" w:hAnsi="Times New Roman" w:eastAsia="Cambria" w:cs="Times New Roman"/>
          <w:vertAlign w:val="superscript"/>
        </w:rPr>
        <w:t>b</w:t>
      </w:r>
      <w:r>
        <w:rPr>
          <w:rFonts w:ascii="Times New Roman" w:hAnsi="Times New Roman" w:eastAsia="Cambria" w:cs="Times New Roman"/>
        </w:rPr>
        <w:t>: diastolic blood pressure</w:t>
      </w:r>
      <w:r>
        <w:rPr>
          <w:rFonts w:ascii="Times New Roman" w:hAnsi="Times New Roman" w:cs="Times New Roman"/>
        </w:rPr>
        <w:t xml:space="preserve">; </w:t>
      </w:r>
      <w:r>
        <w:rPr>
          <w:rFonts w:ascii="Times New Roman" w:hAnsi="Times New Roman" w:eastAsia="Cambria" w:cs="Times New Roman"/>
        </w:rPr>
        <w:t>BMI</w:t>
      </w:r>
      <w:r>
        <w:rPr>
          <w:rFonts w:ascii="Times New Roman" w:hAnsi="Times New Roman" w:eastAsia="Cambria" w:cs="Times New Roman"/>
          <w:vertAlign w:val="superscript"/>
        </w:rPr>
        <w:t>c</w:t>
      </w:r>
      <w:r>
        <w:rPr>
          <w:rFonts w:ascii="Times New Roman" w:hAnsi="Times New Roman" w:eastAsia="Cambria" w:cs="Times New Roman"/>
        </w:rPr>
        <w:t>: Body Mass Index.</w:t>
      </w:r>
    </w:p>
    <w:p/>
    <w:p/>
    <w:p/>
    <w:p/>
    <w:p/>
    <w:p/>
    <w:p/>
    <w:p/>
    <w:p/>
    <w:p>
      <w:pPr>
        <w:sectPr>
          <w:pgSz w:w="16838" w:h="11906" w:orient="landscape"/>
          <w:pgMar w:top="1800" w:right="1440" w:bottom="1800" w:left="1440" w:header="851" w:footer="992" w:gutter="0"/>
          <w:cols w:space="425" w:num="1"/>
          <w:docGrid w:type="lines" w:linePitch="326" w:charSpace="0"/>
        </w:sectPr>
      </w:pPr>
    </w:p>
    <w:p/>
    <w:p>
      <w:pPr>
        <w:rPr>
          <w:rFonts w:ascii="Times New Roman" w:hAnsi="Times New Roman" w:cs="Times New Roman"/>
          <w:b/>
          <w:bCs/>
          <w:sz w:val="22"/>
          <w:szCs w:val="22"/>
        </w:rPr>
      </w:pPr>
      <w:r>
        <w:rPr>
          <w:rFonts w:ascii="Times New Roman" w:hAnsi="Times New Roman" w:cs="Times New Roman" w:eastAsiaTheme="minorEastAsia"/>
          <w:b/>
          <w:bCs/>
          <w:sz w:val="22"/>
          <w:szCs w:val="22"/>
        </w:rPr>
        <w:t xml:space="preserve">Supplemental Table </w:t>
      </w:r>
      <w:r>
        <w:rPr>
          <w:rFonts w:ascii="Times New Roman" w:hAnsi="Times New Roman" w:cs="Times New Roman"/>
          <w:b/>
          <w:bCs/>
          <w:sz w:val="22"/>
          <w:szCs w:val="22"/>
        </w:rPr>
        <w:t>3. Comparison of the performance of the generated predictive models on the test dataset</w:t>
      </w:r>
    </w:p>
    <w:tbl>
      <w:tblPr>
        <w:tblStyle w:val="12"/>
        <w:tblW w:w="8071"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77"/>
        <w:gridCol w:w="1388"/>
        <w:gridCol w:w="1400"/>
        <w:gridCol w:w="1108"/>
        <w:gridCol w:w="1117"/>
        <w:gridCol w:w="708"/>
        <w:gridCol w:w="973"/>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jc w:val="center"/>
        </w:trPr>
        <w:tc>
          <w:tcPr>
            <w:tcW w:w="1391" w:type="dxa"/>
            <w:tcBorders>
              <w:top w:val="single" w:color="auto" w:sz="8" w:space="0"/>
              <w:left w:val="nil"/>
              <w:bottom w:val="single" w:color="auto" w:sz="4" w:space="0"/>
              <w:right w:val="nil"/>
            </w:tcBorders>
            <w:vAlign w:val="center"/>
          </w:tcPr>
          <w:p>
            <w:pPr>
              <w:jc w:val="center"/>
              <w:rPr>
                <w:rFonts w:ascii="Times New Roman" w:hAnsi="Times New Roman" w:cs="Times New Roman"/>
                <w:b/>
                <w:bCs/>
                <w:sz w:val="22"/>
                <w:szCs w:val="22"/>
              </w:rPr>
            </w:pPr>
            <w:r>
              <w:rPr>
                <w:rFonts w:ascii="Times New Roman" w:hAnsi="Times New Roman" w:cs="Times New Roman"/>
                <w:b/>
                <w:bCs/>
                <w:sz w:val="22"/>
                <w:szCs w:val="22"/>
              </w:rPr>
              <w:t>Model</w:t>
            </w:r>
          </w:p>
        </w:tc>
        <w:tc>
          <w:tcPr>
            <w:tcW w:w="1402" w:type="dxa"/>
            <w:tcBorders>
              <w:top w:val="single" w:color="auto" w:sz="8" w:space="0"/>
              <w:left w:val="nil"/>
              <w:bottom w:val="single" w:color="auto" w:sz="4" w:space="0"/>
              <w:right w:val="nil"/>
            </w:tcBorders>
            <w:vAlign w:val="center"/>
          </w:tcPr>
          <w:p>
            <w:pPr>
              <w:jc w:val="center"/>
              <w:rPr>
                <w:rFonts w:ascii="Times New Roman" w:hAnsi="Times New Roman" w:cs="Times New Roman"/>
                <w:b/>
                <w:bCs/>
                <w:sz w:val="22"/>
                <w:szCs w:val="22"/>
              </w:rPr>
            </w:pPr>
            <w:r>
              <w:rPr>
                <w:rFonts w:ascii="Times New Roman" w:hAnsi="Times New Roman" w:cs="Times New Roman"/>
                <w:b/>
                <w:bCs/>
                <w:sz w:val="22"/>
                <w:szCs w:val="22"/>
              </w:rPr>
              <w:t>Sensitive</w:t>
            </w:r>
          </w:p>
        </w:tc>
        <w:tc>
          <w:tcPr>
            <w:tcW w:w="1409" w:type="dxa"/>
            <w:tcBorders>
              <w:top w:val="single" w:color="auto" w:sz="8" w:space="0"/>
              <w:left w:val="nil"/>
              <w:bottom w:val="single" w:color="auto" w:sz="4" w:space="0"/>
              <w:right w:val="nil"/>
            </w:tcBorders>
            <w:vAlign w:val="center"/>
          </w:tcPr>
          <w:p>
            <w:pPr>
              <w:jc w:val="center"/>
              <w:rPr>
                <w:rFonts w:ascii="Times New Roman" w:hAnsi="Times New Roman" w:cs="Times New Roman"/>
                <w:b/>
                <w:bCs/>
                <w:sz w:val="22"/>
                <w:szCs w:val="22"/>
              </w:rPr>
            </w:pPr>
            <w:r>
              <w:rPr>
                <w:rFonts w:ascii="Times New Roman" w:hAnsi="Times New Roman" w:cs="Times New Roman"/>
                <w:b/>
                <w:bCs/>
                <w:sz w:val="22"/>
                <w:szCs w:val="22"/>
              </w:rPr>
              <w:t>Specificity</w:t>
            </w:r>
          </w:p>
        </w:tc>
        <w:tc>
          <w:tcPr>
            <w:tcW w:w="1059" w:type="dxa"/>
            <w:tcBorders>
              <w:top w:val="single" w:color="auto" w:sz="8" w:space="0"/>
              <w:left w:val="nil"/>
              <w:bottom w:val="single" w:color="auto" w:sz="4" w:space="0"/>
              <w:right w:val="nil"/>
            </w:tcBorders>
            <w:vAlign w:val="center"/>
          </w:tcPr>
          <w:p>
            <w:pPr>
              <w:jc w:val="center"/>
              <w:rPr>
                <w:rFonts w:ascii="Times New Roman" w:hAnsi="Times New Roman" w:cs="Times New Roman"/>
                <w:b/>
                <w:bCs/>
                <w:sz w:val="22"/>
                <w:szCs w:val="22"/>
              </w:rPr>
            </w:pPr>
            <w:r>
              <w:rPr>
                <w:rFonts w:ascii="Times New Roman" w:hAnsi="Times New Roman" w:cs="Times New Roman"/>
                <w:b/>
                <w:bCs/>
                <w:sz w:val="22"/>
                <w:szCs w:val="22"/>
              </w:rPr>
              <w:t>Accuracy</w:t>
            </w:r>
          </w:p>
        </w:tc>
        <w:tc>
          <w:tcPr>
            <w:tcW w:w="1118" w:type="dxa"/>
            <w:tcBorders>
              <w:top w:val="single" w:color="auto" w:sz="8" w:space="0"/>
              <w:left w:val="nil"/>
              <w:bottom w:val="single" w:color="auto" w:sz="4" w:space="0"/>
              <w:right w:val="nil"/>
            </w:tcBorders>
          </w:tcPr>
          <w:p>
            <w:pPr>
              <w:jc w:val="center"/>
              <w:rPr>
                <w:rFonts w:ascii="Times New Roman" w:hAnsi="Times New Roman" w:cs="Times New Roman"/>
                <w:b/>
                <w:bCs/>
                <w:sz w:val="22"/>
                <w:szCs w:val="22"/>
              </w:rPr>
            </w:pPr>
            <w:r>
              <w:rPr>
                <w:rFonts w:ascii="Times New Roman" w:hAnsi="Times New Roman" w:cs="Times New Roman"/>
                <w:b/>
                <w:bCs/>
                <w:color w:val="222222"/>
                <w:sz w:val="22"/>
                <w:szCs w:val="22"/>
                <w:shd w:val="clear" w:color="auto" w:fill="FFFFFF"/>
              </w:rPr>
              <w:t>Precision</w:t>
            </w:r>
          </w:p>
        </w:tc>
        <w:tc>
          <w:tcPr>
            <w:tcW w:w="709" w:type="dxa"/>
            <w:tcBorders>
              <w:top w:val="single" w:color="auto" w:sz="8" w:space="0"/>
              <w:left w:val="nil"/>
              <w:bottom w:val="single" w:color="auto" w:sz="4" w:space="0"/>
              <w:right w:val="nil"/>
            </w:tcBorders>
            <w:vAlign w:val="center"/>
          </w:tcPr>
          <w:p>
            <w:pPr>
              <w:jc w:val="center"/>
              <w:rPr>
                <w:rFonts w:ascii="Times New Roman" w:hAnsi="Times New Roman" w:cs="Times New Roman"/>
                <w:b/>
                <w:bCs/>
                <w:sz w:val="22"/>
                <w:szCs w:val="22"/>
              </w:rPr>
            </w:pPr>
            <w:r>
              <w:rPr>
                <w:rFonts w:ascii="Times New Roman" w:hAnsi="Times New Roman" w:cs="Times New Roman"/>
                <w:b/>
                <w:bCs/>
                <w:sz w:val="22"/>
                <w:szCs w:val="22"/>
              </w:rPr>
              <w:t>AUC</w:t>
            </w:r>
          </w:p>
        </w:tc>
        <w:tc>
          <w:tcPr>
            <w:tcW w:w="983" w:type="dxa"/>
            <w:tcBorders>
              <w:top w:val="single" w:color="auto" w:sz="8" w:space="0"/>
              <w:left w:val="nil"/>
              <w:bottom w:val="single" w:color="auto" w:sz="4" w:space="0"/>
              <w:right w:val="nil"/>
            </w:tcBorders>
            <w:vAlign w:val="center"/>
          </w:tcPr>
          <w:p>
            <w:pPr>
              <w:jc w:val="center"/>
              <w:rPr>
                <w:rFonts w:ascii="Times New Roman" w:hAnsi="Times New Roman" w:cs="Times New Roman"/>
                <w:b/>
                <w:bCs/>
                <w:sz w:val="22"/>
                <w:szCs w:val="22"/>
              </w:rPr>
            </w:pPr>
            <w:r>
              <w:rPr>
                <w:rFonts w:ascii="Times New Roman" w:hAnsi="Times New Roman" w:cs="Times New Roman"/>
                <w:b/>
                <w:bCs/>
                <w:sz w:val="22"/>
                <w:szCs w:val="22"/>
              </w:rPr>
              <w:t>Brier</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jc w:val="center"/>
        </w:trPr>
        <w:tc>
          <w:tcPr>
            <w:tcW w:w="1391" w:type="dxa"/>
            <w:vMerge w:val="restart"/>
            <w:tcBorders>
              <w:top w:val="single" w:color="auto" w:sz="4" w:space="0"/>
              <w:left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RF</w:t>
            </w:r>
          </w:p>
          <w:p>
            <w:pPr>
              <w:jc w:val="center"/>
              <w:rPr>
                <w:rFonts w:ascii="Times New Roman" w:hAnsi="Times New Roman" w:cs="Times New Roman"/>
                <w:sz w:val="22"/>
                <w:szCs w:val="22"/>
              </w:rPr>
            </w:pPr>
            <w:r>
              <w:rPr>
                <w:rFonts w:ascii="Times New Roman" w:hAnsi="Times New Roman" w:cs="Times New Roman"/>
                <w:sz w:val="22"/>
                <w:szCs w:val="22"/>
              </w:rPr>
              <w:t>LR</w:t>
            </w:r>
          </w:p>
          <w:p>
            <w:pPr>
              <w:jc w:val="center"/>
              <w:rPr>
                <w:rFonts w:ascii="Times New Roman" w:hAnsi="Times New Roman" w:cs="Times New Roman"/>
                <w:b/>
                <w:bCs/>
                <w:sz w:val="22"/>
                <w:szCs w:val="22"/>
              </w:rPr>
            </w:pPr>
            <w:r>
              <w:rPr>
                <w:rFonts w:ascii="Times New Roman" w:hAnsi="Times New Roman" w:cs="Times New Roman"/>
                <w:sz w:val="22"/>
                <w:szCs w:val="22"/>
              </w:rPr>
              <w:t>XGBoost</w:t>
            </w:r>
          </w:p>
        </w:tc>
        <w:tc>
          <w:tcPr>
            <w:tcW w:w="1402" w:type="dxa"/>
            <w:tcBorders>
              <w:top w:val="single" w:color="auto" w:sz="4" w:space="0"/>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0.657</w:t>
            </w:r>
          </w:p>
        </w:tc>
        <w:tc>
          <w:tcPr>
            <w:tcW w:w="1409" w:type="dxa"/>
            <w:tcBorders>
              <w:top w:val="single" w:color="auto" w:sz="4" w:space="0"/>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0.710</w:t>
            </w:r>
          </w:p>
        </w:tc>
        <w:tc>
          <w:tcPr>
            <w:tcW w:w="1059" w:type="dxa"/>
            <w:tcBorders>
              <w:top w:val="single" w:color="auto" w:sz="4" w:space="0"/>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0.699</w:t>
            </w:r>
          </w:p>
        </w:tc>
        <w:tc>
          <w:tcPr>
            <w:tcW w:w="1118" w:type="dxa"/>
            <w:tcBorders>
              <w:top w:val="single" w:color="auto" w:sz="4" w:space="0"/>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0.398</w:t>
            </w:r>
          </w:p>
        </w:tc>
        <w:tc>
          <w:tcPr>
            <w:tcW w:w="709" w:type="dxa"/>
            <w:tcBorders>
              <w:top w:val="single" w:color="auto" w:sz="4" w:space="0"/>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0.76</w:t>
            </w:r>
          </w:p>
        </w:tc>
        <w:tc>
          <w:tcPr>
            <w:tcW w:w="983" w:type="dxa"/>
            <w:tcBorders>
              <w:top w:val="single" w:color="auto" w:sz="4" w:space="0"/>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0.15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jc w:val="center"/>
        </w:trPr>
        <w:tc>
          <w:tcPr>
            <w:tcW w:w="1391" w:type="dxa"/>
            <w:vMerge w:val="continue"/>
            <w:tcBorders>
              <w:left w:val="nil"/>
              <w:right w:val="nil"/>
            </w:tcBorders>
            <w:vAlign w:val="center"/>
          </w:tcPr>
          <w:p>
            <w:pPr>
              <w:jc w:val="center"/>
              <w:rPr>
                <w:rFonts w:ascii="Times New Roman" w:hAnsi="Times New Roman" w:cs="Times New Roman"/>
                <w:sz w:val="22"/>
                <w:szCs w:val="22"/>
              </w:rPr>
            </w:pPr>
          </w:p>
        </w:tc>
        <w:tc>
          <w:tcPr>
            <w:tcW w:w="1402" w:type="dxa"/>
            <w:tcBorders>
              <w:top w:val="nil"/>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0.665</w:t>
            </w:r>
          </w:p>
        </w:tc>
        <w:tc>
          <w:tcPr>
            <w:tcW w:w="1409" w:type="dxa"/>
            <w:tcBorders>
              <w:top w:val="nil"/>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0.661</w:t>
            </w:r>
          </w:p>
        </w:tc>
        <w:tc>
          <w:tcPr>
            <w:tcW w:w="1059" w:type="dxa"/>
            <w:tcBorders>
              <w:top w:val="nil"/>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0.662</w:t>
            </w:r>
          </w:p>
        </w:tc>
        <w:tc>
          <w:tcPr>
            <w:tcW w:w="1118" w:type="dxa"/>
            <w:tcBorders>
              <w:top w:val="nil"/>
              <w:left w:val="nil"/>
              <w:bottom w:val="nil"/>
              <w:right w:val="nil"/>
            </w:tcBorders>
            <w:vAlign w:val="center"/>
          </w:tcPr>
          <w:p>
            <w:pPr>
              <w:jc w:val="center"/>
              <w:rPr>
                <w:rFonts w:ascii="Times New Roman" w:hAnsi="Times New Roman" w:cs="Times New Roman"/>
                <w:color w:val="000000"/>
                <w:sz w:val="22"/>
                <w:szCs w:val="22"/>
              </w:rPr>
            </w:pPr>
            <w:r>
              <w:rPr>
                <w:rFonts w:ascii="Times New Roman" w:hAnsi="Times New Roman" w:cs="Times New Roman"/>
                <w:sz w:val="22"/>
                <w:szCs w:val="22"/>
              </w:rPr>
              <w:t>0.371</w:t>
            </w:r>
          </w:p>
        </w:tc>
        <w:tc>
          <w:tcPr>
            <w:tcW w:w="709" w:type="dxa"/>
            <w:tcBorders>
              <w:top w:val="nil"/>
              <w:left w:val="nil"/>
              <w:bottom w:val="nil"/>
              <w:right w:val="nil"/>
            </w:tcBorders>
            <w:vAlign w:val="center"/>
          </w:tcPr>
          <w:p>
            <w:pPr>
              <w:jc w:val="center"/>
              <w:rPr>
                <w:rFonts w:ascii="Times New Roman" w:hAnsi="Times New Roman" w:cs="Times New Roman"/>
                <w:sz w:val="22"/>
                <w:szCs w:val="22"/>
              </w:rPr>
            </w:pPr>
            <w:r>
              <w:rPr>
                <w:rFonts w:ascii="Times New Roman" w:hAnsi="Times New Roman" w:cs="Times New Roman"/>
                <w:color w:val="000000"/>
                <w:sz w:val="22"/>
                <w:szCs w:val="22"/>
              </w:rPr>
              <w:t>0.71</w:t>
            </w:r>
          </w:p>
        </w:tc>
        <w:tc>
          <w:tcPr>
            <w:tcW w:w="983" w:type="dxa"/>
            <w:tcBorders>
              <w:top w:val="nil"/>
              <w:left w:val="nil"/>
              <w:bottom w:val="nil"/>
              <w:right w:val="nil"/>
            </w:tcBorders>
            <w:vAlign w:val="center"/>
          </w:tcPr>
          <w:p>
            <w:pPr>
              <w:jc w:val="center"/>
              <w:rPr>
                <w:rFonts w:ascii="Times New Roman" w:hAnsi="Times New Roman" w:cs="Times New Roman"/>
                <w:color w:val="000000"/>
                <w:sz w:val="22"/>
                <w:szCs w:val="22"/>
              </w:rPr>
            </w:pPr>
            <w:r>
              <w:rPr>
                <w:rFonts w:ascii="Times New Roman" w:hAnsi="Times New Roman" w:cs="Times New Roman"/>
                <w:color w:val="000000"/>
                <w:sz w:val="22"/>
                <w:szCs w:val="22"/>
              </w:rPr>
              <w:t>0.16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jc w:val="center"/>
        </w:trPr>
        <w:tc>
          <w:tcPr>
            <w:tcW w:w="1391" w:type="dxa"/>
            <w:vMerge w:val="continue"/>
            <w:tcBorders>
              <w:left w:val="nil"/>
              <w:bottom w:val="single" w:color="auto" w:sz="8" w:space="0"/>
              <w:right w:val="nil"/>
            </w:tcBorders>
            <w:vAlign w:val="center"/>
          </w:tcPr>
          <w:p>
            <w:pPr>
              <w:jc w:val="center"/>
              <w:rPr>
                <w:rFonts w:ascii="Times New Roman" w:hAnsi="Times New Roman" w:cs="Times New Roman"/>
                <w:sz w:val="22"/>
                <w:szCs w:val="22"/>
              </w:rPr>
            </w:pPr>
          </w:p>
        </w:tc>
        <w:tc>
          <w:tcPr>
            <w:tcW w:w="1402" w:type="dxa"/>
            <w:tcBorders>
              <w:top w:val="nil"/>
              <w:left w:val="nil"/>
              <w:bottom w:val="single" w:color="auto" w:sz="8" w:space="0"/>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0.739</w:t>
            </w:r>
          </w:p>
        </w:tc>
        <w:tc>
          <w:tcPr>
            <w:tcW w:w="1409" w:type="dxa"/>
            <w:tcBorders>
              <w:top w:val="nil"/>
              <w:left w:val="nil"/>
              <w:bottom w:val="single" w:color="auto" w:sz="8" w:space="0"/>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0.677</w:t>
            </w:r>
          </w:p>
        </w:tc>
        <w:tc>
          <w:tcPr>
            <w:tcW w:w="1059" w:type="dxa"/>
            <w:tcBorders>
              <w:top w:val="nil"/>
              <w:left w:val="nil"/>
              <w:bottom w:val="single" w:color="auto" w:sz="8" w:space="0"/>
              <w:right w:val="nil"/>
            </w:tcBorders>
            <w:vAlign w:val="center"/>
          </w:tcPr>
          <w:p>
            <w:pPr>
              <w:jc w:val="center"/>
              <w:rPr>
                <w:rFonts w:ascii="Times New Roman" w:hAnsi="Times New Roman" w:cs="Times New Roman"/>
                <w:sz w:val="22"/>
                <w:szCs w:val="22"/>
              </w:rPr>
            </w:pPr>
            <w:r>
              <w:rPr>
                <w:rFonts w:ascii="Times New Roman" w:hAnsi="Times New Roman" w:cs="Times New Roman"/>
                <w:sz w:val="22"/>
                <w:szCs w:val="22"/>
              </w:rPr>
              <w:t>0.691</w:t>
            </w:r>
          </w:p>
        </w:tc>
        <w:tc>
          <w:tcPr>
            <w:tcW w:w="1118" w:type="dxa"/>
            <w:tcBorders>
              <w:top w:val="nil"/>
              <w:left w:val="nil"/>
              <w:bottom w:val="single" w:color="auto" w:sz="8" w:space="0"/>
              <w:right w:val="nil"/>
            </w:tcBorders>
            <w:vAlign w:val="center"/>
          </w:tcPr>
          <w:p>
            <w:pPr>
              <w:jc w:val="center"/>
              <w:rPr>
                <w:rFonts w:ascii="Times New Roman" w:hAnsi="Times New Roman" w:cs="Times New Roman"/>
                <w:color w:val="000000"/>
                <w:sz w:val="22"/>
                <w:szCs w:val="22"/>
              </w:rPr>
            </w:pPr>
            <w:r>
              <w:rPr>
                <w:rFonts w:ascii="Times New Roman" w:hAnsi="Times New Roman" w:cs="Times New Roman"/>
                <w:sz w:val="22"/>
                <w:szCs w:val="22"/>
              </w:rPr>
              <w:t>0.403</w:t>
            </w:r>
          </w:p>
        </w:tc>
        <w:tc>
          <w:tcPr>
            <w:tcW w:w="709" w:type="dxa"/>
            <w:tcBorders>
              <w:top w:val="nil"/>
              <w:left w:val="nil"/>
              <w:bottom w:val="single" w:color="auto" w:sz="8" w:space="0"/>
              <w:right w:val="nil"/>
            </w:tcBorders>
            <w:vAlign w:val="center"/>
          </w:tcPr>
          <w:p>
            <w:pPr>
              <w:jc w:val="center"/>
              <w:rPr>
                <w:rFonts w:ascii="Times New Roman" w:hAnsi="Times New Roman" w:cs="Times New Roman"/>
                <w:sz w:val="22"/>
                <w:szCs w:val="22"/>
              </w:rPr>
            </w:pPr>
            <w:r>
              <w:rPr>
                <w:rFonts w:ascii="Times New Roman" w:hAnsi="Times New Roman" w:cs="Times New Roman"/>
                <w:color w:val="000000"/>
                <w:sz w:val="22"/>
                <w:szCs w:val="22"/>
              </w:rPr>
              <w:t>0.78</w:t>
            </w:r>
          </w:p>
        </w:tc>
        <w:tc>
          <w:tcPr>
            <w:tcW w:w="983" w:type="dxa"/>
            <w:tcBorders>
              <w:top w:val="nil"/>
              <w:left w:val="nil"/>
              <w:bottom w:val="single" w:color="auto" w:sz="8" w:space="0"/>
              <w:right w:val="nil"/>
            </w:tcBorders>
            <w:vAlign w:val="center"/>
          </w:tcPr>
          <w:p>
            <w:pPr>
              <w:jc w:val="center"/>
              <w:rPr>
                <w:rFonts w:ascii="Times New Roman" w:hAnsi="Times New Roman" w:cs="Times New Roman"/>
                <w:color w:val="000000"/>
                <w:sz w:val="22"/>
                <w:szCs w:val="22"/>
              </w:rPr>
            </w:pPr>
            <w:r>
              <w:rPr>
                <w:rFonts w:ascii="Times New Roman" w:hAnsi="Times New Roman" w:cs="Times New Roman"/>
                <w:color w:val="000000"/>
                <w:sz w:val="22"/>
                <w:szCs w:val="22"/>
              </w:rPr>
              <w:t>0.14</w:t>
            </w:r>
          </w:p>
        </w:tc>
      </w:tr>
    </w:tbl>
    <w:p>
      <w:pPr>
        <w:rPr>
          <w:rFonts w:ascii="Times New Roman" w:hAnsi="Times New Roman" w:cs="Times New Roman"/>
          <w:sz w:val="22"/>
          <w:szCs w:val="22"/>
        </w:rPr>
      </w:pPr>
    </w:p>
    <w:p>
      <w:pPr>
        <w:numPr>
          <w:ilvl w:val="0"/>
          <w:numId w:val="1"/>
        </w:numPr>
        <w:ind w:left="426" w:hanging="426"/>
        <w:rPr>
          <w:rFonts w:ascii="Times New Roman" w:hAnsi="Times New Roman" w:cs="Times New Roman"/>
        </w:rPr>
      </w:pPr>
      <w:r>
        <w:rPr>
          <w:rFonts w:ascii="Times New Roman" w:hAnsi="Times New Roman" w:cs="Times New Roman"/>
          <w:b/>
          <w:bCs/>
        </w:rPr>
        <w:t xml:space="preserve">Random Forest </w:t>
      </w:r>
      <w:r>
        <w:rPr>
          <w:rFonts w:hint="eastAsia" w:ascii="Times New Roman" w:hAnsi="Times New Roman" w:cs="Times New Roman"/>
          <w:b/>
          <w:bCs/>
        </w:rPr>
        <w:t>(</w:t>
      </w:r>
      <w:r>
        <w:rPr>
          <w:rFonts w:ascii="Times New Roman" w:hAnsi="Times New Roman" w:cs="Times New Roman"/>
          <w:b/>
          <w:bCs/>
        </w:rPr>
        <w:t>RF</w:t>
      </w:r>
      <w:r>
        <w:rPr>
          <w:rFonts w:hint="eastAsia" w:ascii="Times New Roman" w:hAnsi="Times New Roman" w:cs="Times New Roman"/>
          <w:b/>
          <w:bCs/>
        </w:rPr>
        <w:t>)</w:t>
      </w:r>
      <w:r>
        <w:rPr>
          <w:rFonts w:ascii="Times New Roman" w:hAnsi="Times New Roman" w:cs="Times New Roman"/>
          <w:b/>
          <w:bCs/>
        </w:rPr>
        <w:t>:</w:t>
      </w:r>
    </w:p>
    <w:p>
      <w:pPr>
        <w:rPr>
          <w:rFonts w:ascii="Times New Roman" w:hAnsi="Times New Roman" w:cs="Times New Roman"/>
        </w:rPr>
      </w:pPr>
      <w:r>
        <w:rPr>
          <w:rFonts w:ascii="Times New Roman" w:hAnsi="Times New Roman" w:cs="Times New Roman"/>
          <w:b/>
          <w:bCs/>
        </w:rPr>
        <w:t>Features:</w:t>
      </w:r>
      <w:r>
        <w:rPr>
          <w:rFonts w:ascii="Times New Roman" w:hAnsi="Times New Roman" w:cs="Times New Roman"/>
        </w:rPr>
        <w:t xml:space="preserve"> Random Forest is an ensemble learning method that boosts overall performance by combining multiple decision trees. It employs random feature selection and a voting mechanism from multiple subtrees to enhance model robustness and generalization.</w:t>
      </w:r>
    </w:p>
    <w:p>
      <w:pPr>
        <w:rPr>
          <w:rFonts w:ascii="Times New Roman" w:hAnsi="Times New Roman" w:cs="Times New Roman"/>
        </w:rPr>
      </w:pPr>
      <w:r>
        <w:rPr>
          <w:rFonts w:ascii="Times New Roman" w:hAnsi="Times New Roman" w:cs="Times New Roman"/>
          <w:b/>
          <w:bCs/>
        </w:rPr>
        <w:t>Applicability:</w:t>
      </w:r>
      <w:r>
        <w:rPr>
          <w:rFonts w:ascii="Times New Roman" w:hAnsi="Times New Roman" w:cs="Times New Roman"/>
        </w:rPr>
        <w:t xml:space="preserve"> Random Forest is suitable for handling high-dimensional data, large-scale datasets, and problems with complex relationships. It exhibits good resistance to overfitting and requires minimal parameter tuning.</w:t>
      </w:r>
    </w:p>
    <w:p>
      <w:pPr>
        <w:numPr>
          <w:ilvl w:val="0"/>
          <w:numId w:val="1"/>
        </w:numPr>
        <w:ind w:left="426" w:hanging="426"/>
        <w:rPr>
          <w:rFonts w:ascii="Times New Roman" w:hAnsi="Times New Roman" w:cs="Times New Roman"/>
        </w:rPr>
      </w:pPr>
      <w:r>
        <w:rPr>
          <w:rFonts w:ascii="Times New Roman" w:hAnsi="Times New Roman" w:cs="Times New Roman"/>
          <w:b/>
          <w:bCs/>
        </w:rPr>
        <w:t>Logistic Regression (LR):</w:t>
      </w:r>
    </w:p>
    <w:p>
      <w:pPr>
        <w:rPr>
          <w:rFonts w:ascii="Times New Roman" w:hAnsi="Times New Roman" w:cs="Times New Roman"/>
        </w:rPr>
      </w:pPr>
      <w:r>
        <w:rPr>
          <w:rFonts w:ascii="Times New Roman" w:hAnsi="Times New Roman" w:cs="Times New Roman"/>
          <w:b/>
          <w:bCs/>
        </w:rPr>
        <w:t>Features:</w:t>
      </w:r>
      <w:r>
        <w:rPr>
          <w:rFonts w:ascii="Times New Roman" w:hAnsi="Times New Roman" w:cs="Times New Roman"/>
        </w:rPr>
        <w:t xml:space="preserve"> Logistic Regression is a widely used linear model for binary classification problems. Despite its name containing "regression," it is commonly applied to classification tasks. Logistic Regression maps linear output through a sigmoid function to the probability range (0 to 1).</w:t>
      </w:r>
    </w:p>
    <w:p>
      <w:pPr>
        <w:rPr>
          <w:rFonts w:ascii="Times New Roman" w:hAnsi="Times New Roman" w:cs="Times New Roman"/>
        </w:rPr>
      </w:pPr>
      <w:r>
        <w:rPr>
          <w:rFonts w:ascii="Times New Roman" w:hAnsi="Times New Roman" w:cs="Times New Roman"/>
          <w:b/>
          <w:bCs/>
        </w:rPr>
        <w:t>Applicability:</w:t>
      </w:r>
      <w:r>
        <w:rPr>
          <w:rFonts w:ascii="Times New Roman" w:hAnsi="Times New Roman" w:cs="Times New Roman"/>
        </w:rPr>
        <w:t xml:space="preserve"> Logistic Regression is appropriate for simple linear relationships, especially in cases where interpretability is crucial, and the feature space is relatively small. It is useful for constructing models with good interpretability and dealing with less noisy data.</w:t>
      </w:r>
    </w:p>
    <w:p>
      <w:pPr>
        <w:numPr>
          <w:ilvl w:val="0"/>
          <w:numId w:val="1"/>
        </w:numPr>
        <w:tabs>
          <w:tab w:val="left" w:pos="567"/>
          <w:tab w:val="clear" w:pos="720"/>
        </w:tabs>
        <w:ind w:left="426" w:hanging="426"/>
        <w:rPr>
          <w:rFonts w:ascii="Times New Roman" w:hAnsi="Times New Roman" w:cs="Times New Roman"/>
        </w:rPr>
      </w:pPr>
      <w:r>
        <w:rPr>
          <w:rFonts w:ascii="Times New Roman" w:hAnsi="Times New Roman" w:cs="Times New Roman"/>
          <w:b/>
          <w:bCs/>
        </w:rPr>
        <w:t>Gradient Boosting (XGB</w:t>
      </w:r>
      <w:r>
        <w:rPr>
          <w:rFonts w:hint="eastAsia" w:ascii="Times New Roman" w:hAnsi="Times New Roman" w:cs="Times New Roman"/>
          <w:b/>
          <w:bCs/>
        </w:rPr>
        <w:t>oost</w:t>
      </w:r>
      <w:r>
        <w:rPr>
          <w:rFonts w:ascii="Times New Roman" w:hAnsi="Times New Roman" w:cs="Times New Roman"/>
          <w:b/>
          <w:bCs/>
        </w:rPr>
        <w:t>):</w:t>
      </w:r>
    </w:p>
    <w:p>
      <w:pPr>
        <w:rPr>
          <w:rFonts w:ascii="Times New Roman" w:hAnsi="Times New Roman" w:cs="Times New Roman"/>
        </w:rPr>
      </w:pPr>
      <w:r>
        <w:rPr>
          <w:rFonts w:ascii="Times New Roman" w:hAnsi="Times New Roman" w:cs="Times New Roman"/>
          <w:b/>
          <w:bCs/>
        </w:rPr>
        <w:t>Features:</w:t>
      </w:r>
      <w:r>
        <w:rPr>
          <w:rFonts w:ascii="Times New Roman" w:hAnsi="Times New Roman" w:cs="Times New Roman"/>
        </w:rPr>
        <w:t xml:space="preserve"> Gradient Boosting is an ensemble learning technique that improves model performance by sequentially training weak learners (typically decision trees) and correcting errors from the previous iteration. It progressively enhances the model in a boosting manner.</w:t>
      </w:r>
    </w:p>
    <w:p>
      <w:pPr>
        <w:rPr>
          <w:rFonts w:ascii="Times New Roman" w:hAnsi="Times New Roman" w:cs="Times New Roman"/>
        </w:rPr>
      </w:pPr>
      <w:r>
        <w:rPr>
          <w:rFonts w:ascii="Times New Roman" w:hAnsi="Times New Roman" w:cs="Times New Roman"/>
          <w:b/>
          <w:bCs/>
        </w:rPr>
        <w:t>Applicability:</w:t>
      </w:r>
      <w:r>
        <w:rPr>
          <w:rFonts w:ascii="Times New Roman" w:hAnsi="Times New Roman" w:cs="Times New Roman"/>
        </w:rPr>
        <w:t xml:space="preserve"> Gradient Boosting is suitable for various types of data, excelling in complex nonlinear relationships and scenarios with significant noise. It often achieves excellent results in competitions and is widely adopted in many practical applications.</w:t>
      </w:r>
    </w:p>
    <w:p/>
    <w:p/>
    <w:p/>
    <w:p/>
    <w:p/>
    <w:p/>
    <w:p/>
    <w:p/>
    <w:p/>
    <w:p>
      <w:pPr>
        <w:rPr>
          <w:rFonts w:ascii="Times New Roman" w:hAnsi="Times New Roman" w:cs="Times New Roman" w:eastAsiaTheme="minorEastAsia"/>
          <w:b/>
          <w:bCs/>
        </w:rPr>
      </w:pPr>
      <w:r>
        <w:rPr>
          <w:rFonts w:ascii="Times New Roman" w:hAnsi="Times New Roman" w:cs="Times New Roman" w:eastAsiaTheme="minorEastAsia"/>
          <w:b/>
          <w:bCs/>
        </w:rPr>
        <w:t xml:space="preserve">Supplemental Table </w:t>
      </w:r>
      <w:r>
        <w:rPr>
          <w:rFonts w:ascii="Times New Roman" w:hAnsi="Times New Roman" w:cs="Times New Roman"/>
          <w:b/>
          <w:bCs/>
        </w:rPr>
        <w:t>4. Evaluation of indicators</w:t>
      </w:r>
    </w:p>
    <w:tbl>
      <w:tblPr>
        <w:tblStyle w:val="9"/>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63"/>
        <w:gridCol w:w="4962"/>
      </w:tblGrid>
      <w:tr>
        <w:trPr>
          <w:jc w:val="center"/>
        </w:trPr>
        <w:tc>
          <w:tcPr>
            <w:tcW w:w="2263" w:type="dxa"/>
            <w:tcBorders>
              <w:top w:val="single" w:color="auto" w:sz="8" w:space="0"/>
              <w:bottom w:val="single" w:color="auto" w:sz="6" w:space="0"/>
            </w:tcBorders>
          </w:tcPr>
          <w:p>
            <w:pPr>
              <w:widowControl w:val="0"/>
              <w:jc w:val="center"/>
              <w:rPr>
                <w:rFonts w:ascii="Times New Roman" w:hAnsi="Times New Roman" w:cs="Times New Roman"/>
                <w:b/>
                <w:bCs/>
                <w:color w:val="222222"/>
                <w:sz w:val="22"/>
                <w:szCs w:val="22"/>
                <w:shd w:val="clear" w:color="auto" w:fill="FFFFFF"/>
                <w:lang w:eastAsia="en-US"/>
              </w:rPr>
            </w:pPr>
            <w:r>
              <w:rPr>
                <w:rFonts w:ascii="Times New Roman" w:hAnsi="Times New Roman" w:cs="Times New Roman"/>
                <w:b/>
                <w:bCs/>
                <w:szCs w:val="20"/>
                <w:lang w:eastAsia="zh-CN"/>
              </w:rPr>
              <w:t>I</w:t>
            </w:r>
            <w:r>
              <w:rPr>
                <w:rFonts w:hint="eastAsia" w:ascii="Times New Roman" w:hAnsi="Times New Roman" w:cs="Times New Roman"/>
                <w:b/>
                <w:bCs/>
                <w:szCs w:val="20"/>
                <w:lang w:eastAsia="zh-CN"/>
              </w:rPr>
              <w:t>n</w:t>
            </w:r>
            <w:r>
              <w:rPr>
                <w:rFonts w:ascii="Times New Roman" w:hAnsi="Times New Roman" w:cs="Times New Roman"/>
                <w:b/>
                <w:bCs/>
                <w:szCs w:val="20"/>
                <w:lang w:eastAsia="en-US"/>
              </w:rPr>
              <w:t>dicators</w:t>
            </w:r>
          </w:p>
        </w:tc>
        <w:tc>
          <w:tcPr>
            <w:tcW w:w="4962" w:type="dxa"/>
            <w:tcBorders>
              <w:top w:val="single" w:color="auto" w:sz="8" w:space="0"/>
              <w:bottom w:val="single" w:color="auto" w:sz="6" w:space="0"/>
            </w:tcBorders>
          </w:tcPr>
          <w:p>
            <w:pPr>
              <w:widowControl w:val="0"/>
              <w:jc w:val="center"/>
              <w:rPr>
                <w:rFonts w:ascii="Times New Roman" w:hAnsi="Times New Roman" w:cs="Times New Roman"/>
                <w:b/>
                <w:bCs/>
                <w:color w:val="222222"/>
                <w:sz w:val="22"/>
                <w:szCs w:val="22"/>
                <w:shd w:val="clear" w:color="auto" w:fill="FFFFFF"/>
                <w:lang w:eastAsia="en-US"/>
              </w:rPr>
            </w:pPr>
            <w:r>
              <w:rPr>
                <w:rFonts w:hint="eastAsia" w:ascii="Times New Roman" w:hAnsi="Times New Roman" w:cs="Times New Roman"/>
                <w:b/>
                <w:bCs/>
                <w:color w:val="222222"/>
                <w:sz w:val="22"/>
                <w:szCs w:val="22"/>
                <w:shd w:val="clear" w:color="auto" w:fill="FFFFFF"/>
                <w:lang w:eastAsia="zh-CN"/>
              </w:rPr>
              <w:t>Defination</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263" w:type="dxa"/>
            <w:tcBorders>
              <w:top w:val="single" w:color="auto" w:sz="6" w:space="0"/>
            </w:tcBorders>
          </w:tcPr>
          <w:p>
            <w:pPr>
              <w:widowControl w:val="0"/>
              <w:jc w:val="both"/>
              <w:rPr>
                <w:rFonts w:ascii="Times New Roman" w:hAnsi="Times New Roman" w:cs="Times New Roman"/>
                <w:color w:val="222222"/>
                <w:sz w:val="22"/>
                <w:szCs w:val="22"/>
                <w:shd w:val="clear" w:color="auto" w:fill="FFFFFF"/>
                <w:lang w:eastAsia="zh-CN"/>
              </w:rPr>
            </w:pPr>
            <w:r>
              <w:rPr>
                <w:rFonts w:ascii="Times New Roman" w:hAnsi="Times New Roman" w:cs="Times New Roman"/>
                <w:szCs w:val="20"/>
                <w:lang w:eastAsia="en-US"/>
              </w:rPr>
              <w:t>Accuracy</w:t>
            </w:r>
          </w:p>
        </w:tc>
        <w:tc>
          <w:tcPr>
            <w:tcW w:w="4962" w:type="dxa"/>
            <w:tcBorders>
              <w:top w:val="single" w:color="auto" w:sz="6" w:space="0"/>
            </w:tcBorders>
          </w:tcPr>
          <w:p>
            <w:pPr>
              <w:widowControl w:val="0"/>
              <w:jc w:val="both"/>
              <w:rPr>
                <w:rFonts w:ascii="Times New Roman" w:hAnsi="Times New Roman" w:cs="Times New Roman"/>
                <w:color w:val="222222"/>
                <w:sz w:val="22"/>
                <w:szCs w:val="22"/>
                <w:shd w:val="clear" w:color="auto" w:fill="FFFFFF"/>
                <w:lang w:eastAsia="en-US"/>
              </w:rPr>
            </w:pPr>
            <m:oMathPara>
              <m:oMath>
                <m:r>
                  <m:rPr>
                    <m:sty m:val="p"/>
                  </m:rPr>
                  <w:rPr>
                    <w:rFonts w:ascii="Cambria Math" w:hAnsi="Cambria Math" w:cs="Times New Roman"/>
                    <w:color w:val="222222"/>
                    <w:sz w:val="22"/>
                    <w:szCs w:val="22"/>
                    <w:shd w:val="clear" w:color="auto" w:fill="FFFFFF"/>
                    <w:lang w:eastAsia="en-US"/>
                  </w:rPr>
                  <m:t>=</m:t>
                </m:r>
                <m:f>
                  <m:fPr>
                    <m:ctrlPr>
                      <w:rPr>
                        <w:rFonts w:ascii="Cambria Math" w:hAnsi="Cambria Math" w:cs="Times New Roman"/>
                        <w:color w:val="222222"/>
                        <w:sz w:val="22"/>
                        <w:szCs w:val="22"/>
                        <w:shd w:val="clear" w:color="auto" w:fill="FFFFFF"/>
                        <w:lang w:eastAsia="en-US"/>
                      </w:rPr>
                    </m:ctrlPr>
                  </m:fPr>
                  <m:num>
                    <m:r>
                      <m:rPr>
                        <m:sty m:val="p"/>
                      </m:rPr>
                      <w:rPr>
                        <w:rFonts w:ascii="Cambria Math" w:hAnsi="Cambria Math" w:cs="Times New Roman"/>
                        <w:color w:val="222222"/>
                        <w:sz w:val="22"/>
                        <w:szCs w:val="22"/>
                        <w:shd w:val="clear" w:color="auto" w:fill="FFFFFF"/>
                        <w:lang w:eastAsia="en-US"/>
                      </w:rPr>
                      <m:t>TP+TN</m:t>
                    </m:r>
                    <m:ctrlPr>
                      <w:rPr>
                        <w:rFonts w:ascii="Cambria Math" w:hAnsi="Cambria Math" w:cs="Times New Roman"/>
                        <w:color w:val="222222"/>
                        <w:sz w:val="22"/>
                        <w:szCs w:val="22"/>
                        <w:shd w:val="clear" w:color="auto" w:fill="FFFFFF"/>
                        <w:lang w:eastAsia="en-US"/>
                      </w:rPr>
                    </m:ctrlPr>
                  </m:num>
                  <m:den>
                    <m:r>
                      <m:rPr>
                        <m:sty m:val="p"/>
                      </m:rPr>
                      <w:rPr>
                        <w:rFonts w:ascii="Cambria Math" w:hAnsi="Cambria Math" w:cs="Times New Roman"/>
                        <w:color w:val="222222"/>
                        <w:sz w:val="22"/>
                        <w:szCs w:val="22"/>
                        <w:shd w:val="clear" w:color="auto" w:fill="FFFFFF"/>
                        <w:lang w:eastAsia="en-US"/>
                      </w:rPr>
                      <m:t>TP+FP+FN+TN</m:t>
                    </m:r>
                    <m:ctrlPr>
                      <w:rPr>
                        <w:rFonts w:ascii="Cambria Math" w:hAnsi="Cambria Math" w:cs="Times New Roman"/>
                        <w:color w:val="222222"/>
                        <w:sz w:val="22"/>
                        <w:szCs w:val="22"/>
                        <w:shd w:val="clear" w:color="auto" w:fill="FFFFFF"/>
                        <w:lang w:eastAsia="en-US"/>
                      </w:rPr>
                    </m:ctrlPr>
                  </m:den>
                </m:f>
              </m:oMath>
            </m:oMathPara>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263" w:type="dxa"/>
          </w:tcPr>
          <w:p>
            <w:pPr>
              <w:widowControl w:val="0"/>
              <w:jc w:val="both"/>
              <w:rPr>
                <w:rFonts w:ascii="Times New Roman" w:hAnsi="Times New Roman" w:cs="Times New Roman"/>
                <w:color w:val="222222"/>
                <w:sz w:val="22"/>
                <w:szCs w:val="22"/>
                <w:shd w:val="clear" w:color="auto" w:fill="FFFFFF"/>
                <w:lang w:eastAsia="en-US"/>
              </w:rPr>
            </w:pPr>
            <w:r>
              <w:rPr>
                <w:rFonts w:ascii="Times New Roman" w:hAnsi="Times New Roman" w:cs="Times New Roman"/>
                <w:szCs w:val="20"/>
                <w:lang w:eastAsia="en-US"/>
              </w:rPr>
              <w:t>Precision</w:t>
            </w:r>
          </w:p>
        </w:tc>
        <w:tc>
          <w:tcPr>
            <w:tcW w:w="4962" w:type="dxa"/>
          </w:tcPr>
          <w:p>
            <w:pPr>
              <w:widowControl w:val="0"/>
              <w:jc w:val="both"/>
              <w:rPr>
                <w:rFonts w:ascii="Times New Roman" w:hAnsi="Times New Roman" w:cs="Times New Roman"/>
                <w:color w:val="222222"/>
                <w:sz w:val="22"/>
                <w:szCs w:val="22"/>
                <w:shd w:val="clear" w:color="auto" w:fill="FFFFFF"/>
                <w:lang w:eastAsia="en-US"/>
              </w:rPr>
            </w:pPr>
            <m:oMathPara>
              <m:oMath>
                <m:r>
                  <m:rPr>
                    <m:sty m:val="p"/>
                  </m:rPr>
                  <w:rPr>
                    <w:rFonts w:ascii="Cambria Math" w:hAnsi="Cambria Math" w:cs="Times New Roman"/>
                    <w:color w:val="222222"/>
                    <w:sz w:val="22"/>
                    <w:szCs w:val="22"/>
                    <w:shd w:val="clear" w:color="auto" w:fill="FFFFFF"/>
                    <w:lang w:eastAsia="en-US"/>
                  </w:rPr>
                  <m:t>=</m:t>
                </m:r>
                <m:f>
                  <m:fPr>
                    <m:ctrlPr>
                      <w:rPr>
                        <w:rFonts w:ascii="Cambria Math" w:hAnsi="Cambria Math" w:cs="Times New Roman"/>
                        <w:color w:val="222222"/>
                        <w:sz w:val="22"/>
                        <w:szCs w:val="22"/>
                        <w:shd w:val="clear" w:color="auto" w:fill="FFFFFF"/>
                        <w:lang w:eastAsia="en-US"/>
                      </w:rPr>
                    </m:ctrlPr>
                  </m:fPr>
                  <m:num>
                    <m:r>
                      <m:rPr>
                        <m:sty m:val="p"/>
                      </m:rPr>
                      <w:rPr>
                        <w:rFonts w:ascii="Cambria Math" w:hAnsi="Cambria Math" w:cs="Times New Roman"/>
                        <w:color w:val="222222"/>
                        <w:sz w:val="22"/>
                        <w:szCs w:val="22"/>
                        <w:shd w:val="clear" w:color="auto" w:fill="FFFFFF"/>
                        <w:lang w:eastAsia="en-US"/>
                      </w:rPr>
                      <m:t>TP</m:t>
                    </m:r>
                    <m:ctrlPr>
                      <w:rPr>
                        <w:rFonts w:ascii="Cambria Math" w:hAnsi="Cambria Math" w:cs="Times New Roman"/>
                        <w:color w:val="222222"/>
                        <w:sz w:val="22"/>
                        <w:szCs w:val="22"/>
                        <w:shd w:val="clear" w:color="auto" w:fill="FFFFFF"/>
                        <w:lang w:eastAsia="en-US"/>
                      </w:rPr>
                    </m:ctrlPr>
                  </m:num>
                  <m:den>
                    <m:r>
                      <m:rPr>
                        <m:sty m:val="p"/>
                      </m:rPr>
                      <w:rPr>
                        <w:rFonts w:ascii="Cambria Math" w:hAnsi="Cambria Math" w:cs="Times New Roman"/>
                        <w:color w:val="222222"/>
                        <w:sz w:val="22"/>
                        <w:szCs w:val="22"/>
                        <w:shd w:val="clear" w:color="auto" w:fill="FFFFFF"/>
                        <w:lang w:eastAsia="en-US"/>
                      </w:rPr>
                      <m:t>TP+FP</m:t>
                    </m:r>
                    <m:ctrlPr>
                      <w:rPr>
                        <w:rFonts w:ascii="Cambria Math" w:hAnsi="Cambria Math" w:cs="Times New Roman"/>
                        <w:color w:val="222222"/>
                        <w:sz w:val="22"/>
                        <w:szCs w:val="22"/>
                        <w:shd w:val="clear" w:color="auto" w:fill="FFFFFF"/>
                        <w:lang w:eastAsia="en-US"/>
                      </w:rPr>
                    </m:ctrlPr>
                  </m:den>
                </m:f>
              </m:oMath>
            </m:oMathPara>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263" w:type="dxa"/>
          </w:tcPr>
          <w:p>
            <w:pPr>
              <w:widowControl w:val="0"/>
              <w:jc w:val="both"/>
              <w:rPr>
                <w:rFonts w:ascii="Times New Roman" w:hAnsi="Times New Roman" w:cs="Times New Roman"/>
                <w:color w:val="222222"/>
                <w:sz w:val="22"/>
                <w:szCs w:val="22"/>
                <w:shd w:val="clear" w:color="auto" w:fill="FFFFFF"/>
                <w:lang w:eastAsia="en-US"/>
              </w:rPr>
            </w:pPr>
            <w:r>
              <w:rPr>
                <w:rFonts w:ascii="Times New Roman" w:hAnsi="Times New Roman" w:cs="Times New Roman"/>
                <w:szCs w:val="20"/>
                <w:lang w:eastAsia="en-US"/>
              </w:rPr>
              <w:t>Sensitivity</w:t>
            </w:r>
          </w:p>
        </w:tc>
        <w:tc>
          <w:tcPr>
            <w:tcW w:w="4962" w:type="dxa"/>
          </w:tcPr>
          <w:p>
            <w:pPr>
              <w:widowControl w:val="0"/>
              <w:jc w:val="both"/>
              <w:rPr>
                <w:rFonts w:ascii="Times New Roman" w:hAnsi="Times New Roman" w:cs="Times New Roman"/>
                <w:color w:val="222222"/>
                <w:sz w:val="22"/>
                <w:szCs w:val="22"/>
                <w:shd w:val="clear" w:color="auto" w:fill="FFFFFF"/>
                <w:lang w:eastAsia="en-US"/>
              </w:rPr>
            </w:pPr>
            <m:oMathPara>
              <m:oMath>
                <m:r>
                  <m:rPr>
                    <m:sty m:val="p"/>
                  </m:rPr>
                  <w:rPr>
                    <w:rFonts w:ascii="Cambria Math" w:hAnsi="Cambria Math" w:cs="Times New Roman"/>
                    <w:color w:val="222222"/>
                    <w:sz w:val="22"/>
                    <w:szCs w:val="22"/>
                    <w:shd w:val="clear" w:color="auto" w:fill="FFFFFF"/>
                    <w:lang w:eastAsia="en-US"/>
                  </w:rPr>
                  <m:t>=</m:t>
                </m:r>
                <m:f>
                  <m:fPr>
                    <m:ctrlPr>
                      <w:rPr>
                        <w:rFonts w:ascii="Cambria Math" w:hAnsi="Cambria Math" w:cs="Times New Roman"/>
                        <w:color w:val="222222"/>
                        <w:sz w:val="22"/>
                        <w:szCs w:val="22"/>
                        <w:shd w:val="clear" w:color="auto" w:fill="FFFFFF"/>
                        <w:lang w:eastAsia="en-US"/>
                      </w:rPr>
                    </m:ctrlPr>
                  </m:fPr>
                  <m:num>
                    <m:r>
                      <m:rPr>
                        <m:sty m:val="p"/>
                      </m:rPr>
                      <w:rPr>
                        <w:rFonts w:ascii="Cambria Math" w:hAnsi="Cambria Math" w:cs="Times New Roman"/>
                        <w:color w:val="222222"/>
                        <w:sz w:val="22"/>
                        <w:szCs w:val="22"/>
                        <w:shd w:val="clear" w:color="auto" w:fill="FFFFFF"/>
                        <w:lang w:eastAsia="en-US"/>
                      </w:rPr>
                      <m:t>TP</m:t>
                    </m:r>
                    <m:ctrlPr>
                      <w:rPr>
                        <w:rFonts w:ascii="Cambria Math" w:hAnsi="Cambria Math" w:cs="Times New Roman"/>
                        <w:color w:val="222222"/>
                        <w:sz w:val="22"/>
                        <w:szCs w:val="22"/>
                        <w:shd w:val="clear" w:color="auto" w:fill="FFFFFF"/>
                        <w:lang w:eastAsia="en-US"/>
                      </w:rPr>
                    </m:ctrlPr>
                  </m:num>
                  <m:den>
                    <m:r>
                      <m:rPr>
                        <m:sty m:val="p"/>
                      </m:rPr>
                      <w:rPr>
                        <w:rFonts w:ascii="Cambria Math" w:hAnsi="Cambria Math" w:cs="Times New Roman"/>
                        <w:color w:val="222222"/>
                        <w:sz w:val="22"/>
                        <w:szCs w:val="22"/>
                        <w:shd w:val="clear" w:color="auto" w:fill="FFFFFF"/>
                        <w:lang w:eastAsia="en-US"/>
                      </w:rPr>
                      <m:t>TP+FN</m:t>
                    </m:r>
                    <m:ctrlPr>
                      <w:rPr>
                        <w:rFonts w:ascii="Cambria Math" w:hAnsi="Cambria Math" w:cs="Times New Roman"/>
                        <w:color w:val="222222"/>
                        <w:sz w:val="22"/>
                        <w:szCs w:val="22"/>
                        <w:shd w:val="clear" w:color="auto" w:fill="FFFFFF"/>
                        <w:lang w:eastAsia="en-US"/>
                      </w:rPr>
                    </m:ctrlPr>
                  </m:den>
                </m:f>
              </m:oMath>
            </m:oMathPara>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263" w:type="dxa"/>
          </w:tcPr>
          <w:p>
            <w:pPr>
              <w:widowControl w:val="0"/>
              <w:jc w:val="both"/>
              <w:rPr>
                <w:rFonts w:ascii="Times New Roman" w:hAnsi="Times New Roman" w:cs="Times New Roman"/>
                <w:color w:val="222222"/>
                <w:sz w:val="22"/>
                <w:szCs w:val="22"/>
                <w:shd w:val="clear" w:color="auto" w:fill="FFFFFF"/>
                <w:lang w:eastAsia="en-US"/>
              </w:rPr>
            </w:pPr>
            <w:r>
              <w:rPr>
                <w:rFonts w:ascii="Times New Roman" w:hAnsi="Times New Roman" w:cs="Times New Roman"/>
                <w:szCs w:val="20"/>
                <w:lang w:eastAsia="en-US"/>
              </w:rPr>
              <w:t>Specificity</w:t>
            </w:r>
          </w:p>
        </w:tc>
        <w:tc>
          <w:tcPr>
            <w:tcW w:w="4962" w:type="dxa"/>
          </w:tcPr>
          <w:p>
            <w:pPr>
              <w:widowControl w:val="0"/>
              <w:jc w:val="both"/>
              <w:rPr>
                <w:rFonts w:ascii="Times New Roman" w:hAnsi="Times New Roman" w:cs="Times New Roman"/>
                <w:color w:val="222222"/>
                <w:sz w:val="22"/>
                <w:szCs w:val="22"/>
                <w:shd w:val="clear" w:color="auto" w:fill="FFFFFF"/>
                <w:lang w:eastAsia="en-US"/>
              </w:rPr>
            </w:pPr>
            <m:oMathPara>
              <m:oMath>
                <m:f>
                  <m:fPr>
                    <m:ctrlPr>
                      <w:rPr>
                        <w:rFonts w:ascii="Cambria Math" w:hAnsi="Cambria Math" w:cs="Times New Roman"/>
                        <w:color w:val="222222"/>
                        <w:sz w:val="22"/>
                        <w:szCs w:val="22"/>
                        <w:shd w:val="clear" w:color="auto" w:fill="FFFFFF"/>
                        <w:lang w:eastAsia="en-US"/>
                      </w:rPr>
                    </m:ctrlPr>
                  </m:fPr>
                  <m:num>
                    <m:r>
                      <m:rPr>
                        <m:sty m:val="p"/>
                      </m:rPr>
                      <w:rPr>
                        <w:rFonts w:ascii="Cambria Math" w:hAnsi="Cambria Math" w:cs="Times New Roman"/>
                        <w:color w:val="222222"/>
                        <w:sz w:val="22"/>
                        <w:szCs w:val="22"/>
                        <w:shd w:val="clear" w:color="auto" w:fill="FFFFFF"/>
                        <w:lang w:eastAsia="en-US"/>
                      </w:rPr>
                      <m:t>TN</m:t>
                    </m:r>
                    <m:ctrlPr>
                      <w:rPr>
                        <w:rFonts w:ascii="Cambria Math" w:hAnsi="Cambria Math" w:cs="Times New Roman"/>
                        <w:color w:val="222222"/>
                        <w:sz w:val="22"/>
                        <w:szCs w:val="22"/>
                        <w:shd w:val="clear" w:color="auto" w:fill="FFFFFF"/>
                        <w:lang w:eastAsia="en-US"/>
                      </w:rPr>
                    </m:ctrlPr>
                  </m:num>
                  <m:den>
                    <m:r>
                      <m:rPr>
                        <m:sty m:val="p"/>
                      </m:rPr>
                      <w:rPr>
                        <w:rFonts w:ascii="Cambria Math" w:hAnsi="Cambria Math" w:cs="Times New Roman"/>
                        <w:color w:val="222222"/>
                        <w:sz w:val="22"/>
                        <w:szCs w:val="22"/>
                        <w:shd w:val="clear" w:color="auto" w:fill="FFFFFF"/>
                        <w:lang w:eastAsia="en-US"/>
                      </w:rPr>
                      <m:t>TN+FP</m:t>
                    </m:r>
                    <m:ctrlPr>
                      <w:rPr>
                        <w:rFonts w:ascii="Cambria Math" w:hAnsi="Cambria Math" w:cs="Times New Roman"/>
                        <w:color w:val="222222"/>
                        <w:sz w:val="22"/>
                        <w:szCs w:val="22"/>
                        <w:shd w:val="clear" w:color="auto" w:fill="FFFFFF"/>
                        <w:lang w:eastAsia="en-US"/>
                      </w:rPr>
                    </m:ctrlPr>
                  </m:den>
                </m:f>
              </m:oMath>
            </m:oMathPara>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263" w:type="dxa"/>
            <w:tcBorders>
              <w:bottom w:val="single" w:color="auto" w:sz="8" w:space="0"/>
            </w:tcBorders>
          </w:tcPr>
          <w:p>
            <w:pPr>
              <w:widowControl w:val="0"/>
              <w:jc w:val="both"/>
              <w:rPr>
                <w:rFonts w:ascii="Times New Roman" w:hAnsi="Times New Roman" w:cs="Times New Roman"/>
                <w:color w:val="222222"/>
                <w:sz w:val="22"/>
                <w:szCs w:val="22"/>
                <w:shd w:val="clear" w:color="auto" w:fill="FFFFFF"/>
                <w:lang w:eastAsia="en-US"/>
              </w:rPr>
            </w:pPr>
            <w:r>
              <w:rPr>
                <w:rFonts w:ascii="Times New Roman" w:hAnsi="Times New Roman" w:cs="Times New Roman"/>
                <w:color w:val="222222"/>
                <w:sz w:val="22"/>
                <w:szCs w:val="22"/>
                <w:shd w:val="clear" w:color="auto" w:fill="FFFFFF"/>
                <w:lang w:eastAsia="en-US"/>
              </w:rPr>
              <w:t>Brier Score</w:t>
            </w:r>
          </w:p>
        </w:tc>
        <w:tc>
          <w:tcPr>
            <w:tcW w:w="4962" w:type="dxa"/>
            <w:tcBorders>
              <w:bottom w:val="single" w:color="auto" w:sz="8" w:space="0"/>
            </w:tcBorders>
          </w:tcPr>
          <w:p>
            <w:pPr>
              <w:widowControl w:val="0"/>
              <w:jc w:val="both"/>
              <w:rPr>
                <w:rFonts w:ascii="Times New Roman" w:hAnsi="Times New Roman" w:cs="Times New Roman"/>
                <w:color w:val="222222"/>
                <w:sz w:val="22"/>
                <w:szCs w:val="22"/>
                <w:shd w:val="clear" w:color="auto" w:fill="FFFFFF"/>
                <w:lang w:eastAsia="en-US"/>
              </w:rPr>
            </w:pPr>
            <m:oMathPara>
              <m:oMath>
                <m:r>
                  <m:rPr>
                    <m:sty m:val="p"/>
                  </m:rPr>
                  <w:rPr>
                    <w:rFonts w:ascii="Cambria Math" w:hAnsi="Cambria Math" w:cs="Times New Roman"/>
                    <w:color w:val="222222"/>
                    <w:sz w:val="22"/>
                    <w:szCs w:val="22"/>
                    <w:shd w:val="clear" w:color="auto" w:fill="FFFFFF"/>
                    <w:lang w:eastAsia="en-US"/>
                  </w:rPr>
                  <m:t>=</m:t>
                </m:r>
                <m:f>
                  <m:fPr>
                    <m:ctrlPr>
                      <w:rPr>
                        <w:rFonts w:ascii="Cambria Math" w:hAnsi="Cambria Math" w:cs="Times New Roman"/>
                        <w:color w:val="222222"/>
                        <w:sz w:val="22"/>
                        <w:szCs w:val="22"/>
                        <w:shd w:val="clear" w:color="auto" w:fill="FFFFFF"/>
                        <w:lang w:eastAsia="en-US"/>
                      </w:rPr>
                    </m:ctrlPr>
                  </m:fPr>
                  <m:num>
                    <m:nary>
                      <m:naryPr>
                        <m:chr m:val="∑"/>
                        <m:limLoc m:val="undOvr"/>
                        <m:subHide m:val="1"/>
                        <m:supHide m:val="1"/>
                        <m:ctrlPr>
                          <w:rPr>
                            <w:rFonts w:ascii="Cambria Math" w:hAnsi="Cambria Math" w:cs="Times New Roman"/>
                            <w:color w:val="222222"/>
                            <w:sz w:val="22"/>
                            <w:szCs w:val="22"/>
                            <w:shd w:val="clear" w:color="auto" w:fill="FFFFFF"/>
                            <w:lang w:eastAsia="en-US"/>
                          </w:rPr>
                        </m:ctrlPr>
                      </m:naryPr>
                      <m:sub>
                        <m:ctrlPr>
                          <w:rPr>
                            <w:rFonts w:ascii="Cambria Math" w:hAnsi="Cambria Math" w:cs="Times New Roman"/>
                            <w:color w:val="222222"/>
                            <w:sz w:val="22"/>
                            <w:szCs w:val="22"/>
                            <w:shd w:val="clear" w:color="auto" w:fill="FFFFFF"/>
                            <w:lang w:eastAsia="en-US"/>
                          </w:rPr>
                        </m:ctrlPr>
                      </m:sub>
                      <m:sup>
                        <m:ctrlPr>
                          <w:rPr>
                            <w:rFonts w:ascii="Cambria Math" w:hAnsi="Cambria Math" w:cs="Times New Roman"/>
                            <w:color w:val="222222"/>
                            <w:sz w:val="22"/>
                            <w:szCs w:val="22"/>
                            <w:shd w:val="clear" w:color="auto" w:fill="FFFFFF"/>
                            <w:lang w:eastAsia="en-US"/>
                          </w:rPr>
                        </m:ctrlPr>
                      </m:sup>
                      <m:e>
                        <m:r>
                          <m:rPr>
                            <m:sty m:val="p"/>
                          </m:rPr>
                          <w:rPr>
                            <w:rFonts w:ascii="Cambria Math" w:hAnsi="Cambria Math" w:cs="Times New Roman"/>
                            <w:color w:val="222222"/>
                            <w:sz w:val="22"/>
                            <w:szCs w:val="22"/>
                            <w:shd w:val="clear" w:color="auto" w:fill="FFFFFF"/>
                            <w:lang w:eastAsia="en-US"/>
                          </w:rPr>
                          <m:t>（pi−oi）</m:t>
                        </m:r>
                        <m:ctrlPr>
                          <w:rPr>
                            <w:rFonts w:ascii="Cambria Math" w:hAnsi="Cambria Math" w:cs="Times New Roman"/>
                            <w:color w:val="222222"/>
                            <w:sz w:val="22"/>
                            <w:szCs w:val="22"/>
                            <w:shd w:val="clear" w:color="auto" w:fill="FFFFFF"/>
                            <w:lang w:eastAsia="en-US"/>
                          </w:rPr>
                        </m:ctrlPr>
                      </m:e>
                    </m:nary>
                    <m:ctrlPr>
                      <w:rPr>
                        <w:rFonts w:ascii="Cambria Math" w:hAnsi="Cambria Math" w:cs="Times New Roman"/>
                        <w:color w:val="222222"/>
                        <w:sz w:val="22"/>
                        <w:szCs w:val="22"/>
                        <w:shd w:val="clear" w:color="auto" w:fill="FFFFFF"/>
                        <w:lang w:eastAsia="en-US"/>
                      </w:rPr>
                    </m:ctrlPr>
                  </m:num>
                  <m:den>
                    <m:r>
                      <m:rPr>
                        <m:sty m:val="p"/>
                      </m:rPr>
                      <w:rPr>
                        <w:rFonts w:ascii="Cambria Math" w:hAnsi="Cambria Math" w:cs="Times New Roman"/>
                        <w:color w:val="222222"/>
                        <w:sz w:val="22"/>
                        <w:szCs w:val="22"/>
                        <w:shd w:val="clear" w:color="auto" w:fill="FFFFFF"/>
                        <w:lang w:eastAsia="en-US"/>
                      </w:rPr>
                      <m:t>N</m:t>
                    </m:r>
                    <m:ctrlPr>
                      <w:rPr>
                        <w:rFonts w:ascii="Cambria Math" w:hAnsi="Cambria Math" w:cs="Times New Roman"/>
                        <w:color w:val="222222"/>
                        <w:sz w:val="22"/>
                        <w:szCs w:val="22"/>
                        <w:shd w:val="clear" w:color="auto" w:fill="FFFFFF"/>
                        <w:lang w:eastAsia="en-US"/>
                      </w:rPr>
                    </m:ctrlPr>
                  </m:den>
                </m:f>
              </m:oMath>
            </m:oMathPara>
          </w:p>
        </w:tc>
      </w:tr>
    </w:tbl>
    <w:p/>
    <w:p>
      <w:pPr>
        <w:rPr>
          <w:rFonts w:ascii="Times New Roman" w:hAnsi="Times New Roman" w:cs="Times New Roman"/>
          <w:b/>
          <w:bCs/>
        </w:rPr>
      </w:pPr>
      <w:r>
        <w:rPr>
          <w:rFonts w:ascii="Times New Roman" w:hAnsi="Times New Roman" w:cs="Times New Roman"/>
          <w:b/>
          <w:bCs/>
        </w:rPr>
        <w:t>Explanatory notes:</w:t>
      </w:r>
    </w:p>
    <w:p>
      <w:pPr>
        <w:rPr>
          <w:rFonts w:ascii="Times New Roman" w:hAnsi="Times New Roman" w:cs="Times New Roman"/>
        </w:rPr>
      </w:pPr>
      <w:r>
        <w:rPr>
          <w:rFonts w:ascii="Times New Roman" w:hAnsi="Times New Roman" w:cs="Times New Roman"/>
        </w:rPr>
        <w:t>1. Accuracy: The ratio of correctly predicted instances (both true positives and true negatives) to the total number of instances.</w:t>
      </w:r>
    </w:p>
    <w:p>
      <w:pPr>
        <w:rPr>
          <w:rFonts w:ascii="Times New Roman" w:hAnsi="Times New Roman" w:cs="Times New Roman"/>
        </w:rPr>
      </w:pPr>
      <w:r>
        <w:rPr>
          <w:rFonts w:ascii="Times New Roman" w:hAnsi="Times New Roman" w:cs="Times New Roman"/>
        </w:rPr>
        <w:t>2. Accuracy: The ratio of true positives to the sum of true positives and false positives, indicating the accuracy of the positive prediction.</w:t>
      </w:r>
    </w:p>
    <w:p>
      <w:pPr>
        <w:rPr>
          <w:rFonts w:ascii="Times New Roman" w:hAnsi="Times New Roman" w:cs="Times New Roman"/>
        </w:rPr>
      </w:pPr>
      <w:r>
        <w:rPr>
          <w:rFonts w:ascii="Times New Roman" w:hAnsi="Times New Roman" w:cs="Times New Roman"/>
        </w:rPr>
        <w:t>3. Recall/Sensitivity: The ratio of true positives to the sum of true positives and false negatives, which is used to understand the ability of the model to recognize positive instances.</w:t>
      </w:r>
    </w:p>
    <w:p>
      <w:pPr>
        <w:rPr>
          <w:rFonts w:ascii="Times New Roman" w:hAnsi="Times New Roman" w:cs="Times New Roman"/>
        </w:rPr>
      </w:pPr>
      <w:r>
        <w:rPr>
          <w:rFonts w:ascii="Times New Roman" w:hAnsi="Times New Roman" w:cs="Times New Roman"/>
        </w:rPr>
        <w:t>4. Specificity: the ratio of true negatives to the sum of true negatives and false positives, reflecting the ability of the model to correctly identify negative instances.</w:t>
      </w:r>
    </w:p>
    <w:p>
      <w:pPr>
        <w:rPr>
          <w:rFonts w:ascii="Times New Roman" w:hAnsi="Times New Roman" w:cs="Times New Roman"/>
        </w:rPr>
      </w:pPr>
      <w:r>
        <w:rPr>
          <w:rFonts w:ascii="Times New Roman" w:hAnsi="Times New Roman" w:cs="Times New Roman"/>
        </w:rPr>
        <w:t>5. Brier Score: Used to measure the accuracy of probabilistic predictions. It calculates the mean square deviation between the predicted probability (pi) and the true outcome (oi) for each sample, thus providing an overall assessment of the calibration of the model.</w:t>
      </w:r>
    </w:p>
    <w:p>
      <w:pPr>
        <w:rPr>
          <w:rFonts w:ascii="Times New Roman" w:hAnsi="Times New Roman" w:cs="Times New Roman"/>
          <w:b/>
          <w:bCs/>
        </w:rPr>
      </w:pPr>
      <w:r>
        <w:rPr>
          <w:rFonts w:ascii="Times New Roman" w:hAnsi="Times New Roman" w:cs="Times New Roman"/>
          <w:b/>
          <w:bCs/>
        </w:rPr>
        <w:t>Note:</w:t>
      </w:r>
    </w:p>
    <w:p>
      <w:pPr>
        <w:rPr>
          <w:rFonts w:ascii="Times New Roman" w:hAnsi="Times New Roman" w:cs="Times New Roman"/>
        </w:rPr>
      </w:pPr>
      <w:r>
        <w:rPr>
          <w:rFonts w:ascii="Times New Roman" w:hAnsi="Times New Roman" w:cs="Times New Roman"/>
        </w:rPr>
        <w:t>TP (True Positive): Samples that are actually positive and correctly predicted as positive.</w:t>
      </w:r>
    </w:p>
    <w:p>
      <w:pPr>
        <w:rPr>
          <w:rFonts w:ascii="Times New Roman" w:hAnsi="Times New Roman" w:cs="Times New Roman"/>
        </w:rPr>
      </w:pPr>
      <w:r>
        <w:rPr>
          <w:rFonts w:ascii="Times New Roman" w:hAnsi="Times New Roman" w:cs="Times New Roman"/>
        </w:rPr>
        <w:t>TN (True Negative): Samples that are actually negative and are correctly predicted as negative.</w:t>
      </w:r>
    </w:p>
    <w:p>
      <w:pPr>
        <w:rPr>
          <w:rFonts w:ascii="Times New Roman" w:hAnsi="Times New Roman" w:cs="Times New Roman"/>
        </w:rPr>
      </w:pPr>
      <w:r>
        <w:rPr>
          <w:rFonts w:ascii="Times New Roman" w:hAnsi="Times New Roman" w:cs="Times New Roman"/>
        </w:rPr>
        <w:t>FP (False Positive): A sample that is actually negative but is incorrectly predicted to be positive.</w:t>
      </w:r>
    </w:p>
    <w:p>
      <w:pPr>
        <w:rPr>
          <w:rFonts w:ascii="Times New Roman" w:hAnsi="Times New Roman" w:cs="Times New Roman"/>
        </w:rPr>
      </w:pPr>
      <w:r>
        <w:rPr>
          <w:rFonts w:ascii="Times New Roman" w:hAnsi="Times New Roman" w:cs="Times New Roman"/>
        </w:rPr>
        <w:t>FN (False Negative): A sample that is actually positive but is incorrectly predicted to be negative.</w:t>
      </w:r>
    </w:p>
    <w:p>
      <w:pPr>
        <w:rPr>
          <w:rFonts w:ascii="Times New Roman" w:hAnsi="Times New Roman" w:cs="Times New Roman"/>
        </w:rPr>
      </w:pPr>
      <w:r>
        <w:rPr>
          <w:rFonts w:ascii="Times New Roman" w:hAnsi="Times New Roman" w:cs="Times New Roman"/>
        </w:rPr>
        <w:t>pi denotes the probability and oi denotes the true outcome of the sample (0 or 1).</w:t>
      </w:r>
    </w:p>
    <w:p/>
    <w:p/>
    <w:sectPr>
      <w:pgSz w:w="11906" w:h="16838"/>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Trebuchet MS">
    <w:panose1 w:val="020B0603020202020204"/>
    <w:charset w:val="00"/>
    <w:family w:val="swiss"/>
    <w:pitch w:val="default"/>
    <w:sig w:usb0="00000287" w:usb1="00000000" w:usb2="00000000" w:usb3="00000000" w:csb0="2000009F" w:csb1="00000000"/>
  </w:font>
  <w:font w:name="Cambria">
    <w:altName w:val="苹方-简"/>
    <w:panose1 w:val="02040503050406030204"/>
    <w:charset w:val="00"/>
    <w:family w:val="roman"/>
    <w:pitch w:val="default"/>
    <w:sig w:usb0="00000000" w:usb1="00000000" w:usb2="00000000" w:usb3="00000000" w:csb0="0000019F" w:csb1="00000000"/>
  </w:font>
  <w:font w:name="MS Mincho">
    <w:altName w:val="Hiragino Sans"/>
    <w:panose1 w:val="02020609040205080304"/>
    <w:charset w:val="80"/>
    <w:family w:val="modern"/>
    <w:pitch w:val="default"/>
    <w:sig w:usb0="00000000" w:usb1="00000000" w:usb2="08000012" w:usb3="00000000" w:csb0="0002009F" w:csb1="00000000"/>
  </w:font>
  <w:font w:name="Times New Roman Regular">
    <w:panose1 w:val="02020603050405020304"/>
    <w:charset w:val="00"/>
    <w:family w:val="auto"/>
    <w:pitch w:val="default"/>
    <w:sig w:usb0="E0002AEF" w:usb1="C0007841" w:usb2="00000009" w:usb3="00000000" w:csb0="400001FF" w:csb1="FFFF0000"/>
  </w:font>
  <w:font w:name="Linux Biolinum O">
    <w:panose1 w:val="02000503000000000000"/>
    <w:charset w:val="00"/>
    <w:family w:val="auto"/>
    <w:pitch w:val="default"/>
    <w:sig w:usb0="E0000AFF" w:usb1="5000E5FB" w:usb2="00000020" w:usb3="00000000" w:csb0="600001BF" w:csb1="00000000"/>
  </w:font>
  <w:font w:name="DengXian">
    <w:altName w:val="汉仪中等线KW"/>
    <w:panose1 w:val="02010600030101010101"/>
    <w:charset w:val="86"/>
    <w:family w:val="auto"/>
    <w:pitch w:val="default"/>
    <w:sig w:usb0="00000000" w:usb1="00000000" w:usb2="00000016" w:usb3="00000000" w:csb0="0004000F" w:csb1="00000000"/>
  </w:font>
  <w:font w:name="Cambria Math">
    <w:altName w:val="Kingsoft Math"/>
    <w:panose1 w:val="02040503050406030204"/>
    <w:charset w:val="00"/>
    <w:family w:val="roman"/>
    <w:pitch w:val="default"/>
    <w:sig w:usb0="00000000" w:usb1="00000000" w:usb2="00000000" w:usb3="00000000" w:csb0="0000019F"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Kingsoft Math">
    <w:panose1 w:val="02040503050406030204"/>
    <w:charset w:val="00"/>
    <w:family w:val="auto"/>
    <w:pitch w:val="default"/>
    <w:sig w:usb0="80000087" w:usb1="00002068"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4E5D5D"/>
    <w:multiLevelType w:val="multilevel"/>
    <w:tmpl w:val="4E4E5D5D"/>
    <w:lvl w:ilvl="0" w:tentative="0">
      <w:start w:val="1"/>
      <w:numFmt w:val="decimal"/>
      <w:lvlText w:val="%1."/>
      <w:lvlJc w:val="left"/>
      <w:pPr>
        <w:tabs>
          <w:tab w:val="left" w:pos="720"/>
        </w:tabs>
        <w:ind w:left="720" w:hanging="360"/>
      </w:p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F3D"/>
    <w:rsid w:val="00016853"/>
    <w:rsid w:val="00063578"/>
    <w:rsid w:val="00093ED9"/>
    <w:rsid w:val="001017EB"/>
    <w:rsid w:val="00154461"/>
    <w:rsid w:val="00164131"/>
    <w:rsid w:val="001814F7"/>
    <w:rsid w:val="001D2975"/>
    <w:rsid w:val="0020374B"/>
    <w:rsid w:val="002255CD"/>
    <w:rsid w:val="00227706"/>
    <w:rsid w:val="00242BF3"/>
    <w:rsid w:val="00270B65"/>
    <w:rsid w:val="002A1D5B"/>
    <w:rsid w:val="002B23E0"/>
    <w:rsid w:val="002E5BF6"/>
    <w:rsid w:val="002F0180"/>
    <w:rsid w:val="002F74D9"/>
    <w:rsid w:val="0031519B"/>
    <w:rsid w:val="00321961"/>
    <w:rsid w:val="00332F15"/>
    <w:rsid w:val="00335E17"/>
    <w:rsid w:val="00337150"/>
    <w:rsid w:val="003676F3"/>
    <w:rsid w:val="003A176E"/>
    <w:rsid w:val="003A1F8A"/>
    <w:rsid w:val="003A23E6"/>
    <w:rsid w:val="003D37E9"/>
    <w:rsid w:val="003D45ED"/>
    <w:rsid w:val="003D56EB"/>
    <w:rsid w:val="003F1125"/>
    <w:rsid w:val="003F1B48"/>
    <w:rsid w:val="003F274A"/>
    <w:rsid w:val="00413DFA"/>
    <w:rsid w:val="004216CF"/>
    <w:rsid w:val="0043022E"/>
    <w:rsid w:val="00433231"/>
    <w:rsid w:val="004B03EF"/>
    <w:rsid w:val="004B19C0"/>
    <w:rsid w:val="004B4EE1"/>
    <w:rsid w:val="004D7F74"/>
    <w:rsid w:val="004F5CEB"/>
    <w:rsid w:val="00507EE8"/>
    <w:rsid w:val="005169F7"/>
    <w:rsid w:val="00533AF4"/>
    <w:rsid w:val="00562F26"/>
    <w:rsid w:val="00571BC0"/>
    <w:rsid w:val="0058426D"/>
    <w:rsid w:val="00591AC0"/>
    <w:rsid w:val="005C5CD1"/>
    <w:rsid w:val="005D7483"/>
    <w:rsid w:val="005E4DC8"/>
    <w:rsid w:val="00601E56"/>
    <w:rsid w:val="00631D78"/>
    <w:rsid w:val="00641A35"/>
    <w:rsid w:val="006734D0"/>
    <w:rsid w:val="006B028A"/>
    <w:rsid w:val="006B5222"/>
    <w:rsid w:val="006C612C"/>
    <w:rsid w:val="007255E4"/>
    <w:rsid w:val="00747E48"/>
    <w:rsid w:val="007930C6"/>
    <w:rsid w:val="00795AFA"/>
    <w:rsid w:val="007E3E3C"/>
    <w:rsid w:val="00852DE2"/>
    <w:rsid w:val="008625F0"/>
    <w:rsid w:val="00863AA0"/>
    <w:rsid w:val="00887F78"/>
    <w:rsid w:val="008C30D0"/>
    <w:rsid w:val="008C63AC"/>
    <w:rsid w:val="00910EC0"/>
    <w:rsid w:val="00954745"/>
    <w:rsid w:val="009B3AE7"/>
    <w:rsid w:val="009B5E02"/>
    <w:rsid w:val="009D2ACE"/>
    <w:rsid w:val="009D5B6C"/>
    <w:rsid w:val="00A11A0B"/>
    <w:rsid w:val="00A3579B"/>
    <w:rsid w:val="00A56255"/>
    <w:rsid w:val="00AA484E"/>
    <w:rsid w:val="00AB3DD2"/>
    <w:rsid w:val="00AB465E"/>
    <w:rsid w:val="00AE16C2"/>
    <w:rsid w:val="00B4456D"/>
    <w:rsid w:val="00B80923"/>
    <w:rsid w:val="00BB0FA8"/>
    <w:rsid w:val="00BC32F5"/>
    <w:rsid w:val="00BE2D33"/>
    <w:rsid w:val="00BF2E3A"/>
    <w:rsid w:val="00C2395C"/>
    <w:rsid w:val="00C44480"/>
    <w:rsid w:val="00C472CE"/>
    <w:rsid w:val="00CB52D0"/>
    <w:rsid w:val="00CE2167"/>
    <w:rsid w:val="00CF3ED2"/>
    <w:rsid w:val="00D3347C"/>
    <w:rsid w:val="00D356F5"/>
    <w:rsid w:val="00D4577B"/>
    <w:rsid w:val="00D50655"/>
    <w:rsid w:val="00DA6FEA"/>
    <w:rsid w:val="00DC496F"/>
    <w:rsid w:val="00DC7202"/>
    <w:rsid w:val="00DE75AF"/>
    <w:rsid w:val="00DE7F3D"/>
    <w:rsid w:val="00E360A9"/>
    <w:rsid w:val="00E439A8"/>
    <w:rsid w:val="00E62BBF"/>
    <w:rsid w:val="00E77041"/>
    <w:rsid w:val="00E97892"/>
    <w:rsid w:val="00EA3003"/>
    <w:rsid w:val="00ED040A"/>
    <w:rsid w:val="00EE275C"/>
    <w:rsid w:val="00EF02F1"/>
    <w:rsid w:val="00EF2D47"/>
    <w:rsid w:val="00F018E1"/>
    <w:rsid w:val="00F037D4"/>
    <w:rsid w:val="00F12913"/>
    <w:rsid w:val="00F22965"/>
    <w:rsid w:val="00F32739"/>
    <w:rsid w:val="00FA2D11"/>
    <w:rsid w:val="00FE26F2"/>
    <w:rsid w:val="7F7FBA5D"/>
    <w:rsid w:val="BFEF8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link w:val="14"/>
    <w:qFormat/>
    <w:uiPriority w:val="9"/>
    <w:pPr>
      <w:widowControl w:val="0"/>
      <w:autoSpaceDE w:val="0"/>
      <w:autoSpaceDN w:val="0"/>
      <w:spacing w:line="258" w:lineRule="exact"/>
      <w:jc w:val="right"/>
      <w:outlineLvl w:val="0"/>
    </w:pPr>
    <w:rPr>
      <w:rFonts w:ascii="Arial" w:hAnsi="Arial" w:eastAsia="Arial" w:cs="Arial"/>
      <w:b/>
      <w:bCs/>
      <w:lang w:eastAsia="en-US"/>
    </w:rPr>
  </w:style>
  <w:style w:type="paragraph" w:styleId="3">
    <w:name w:val="heading 2"/>
    <w:basedOn w:val="1"/>
    <w:link w:val="21"/>
    <w:unhideWhenUsed/>
    <w:qFormat/>
    <w:uiPriority w:val="9"/>
    <w:pPr>
      <w:widowControl w:val="0"/>
      <w:autoSpaceDE w:val="0"/>
      <w:autoSpaceDN w:val="0"/>
      <w:spacing w:before="135"/>
      <w:ind w:left="100"/>
      <w:outlineLvl w:val="1"/>
    </w:pPr>
    <w:rPr>
      <w:rFonts w:ascii="Trebuchet MS" w:hAnsi="Trebuchet MS" w:eastAsia="Trebuchet MS" w:cs="Trebuchet MS"/>
      <w:sz w:val="22"/>
      <w:szCs w:val="22"/>
      <w:lang w:eastAsia="en-US"/>
    </w:rPr>
  </w:style>
  <w:style w:type="paragraph" w:styleId="4">
    <w:name w:val="heading 3"/>
    <w:basedOn w:val="1"/>
    <w:link w:val="22"/>
    <w:unhideWhenUsed/>
    <w:qFormat/>
    <w:uiPriority w:val="9"/>
    <w:pPr>
      <w:widowControl w:val="0"/>
      <w:autoSpaceDE w:val="0"/>
      <w:autoSpaceDN w:val="0"/>
      <w:spacing w:line="215" w:lineRule="exact"/>
      <w:ind w:left="100"/>
      <w:outlineLvl w:val="2"/>
    </w:pPr>
    <w:rPr>
      <w:rFonts w:ascii="Arial" w:hAnsi="Arial" w:eastAsia="Arial" w:cs="Arial"/>
      <w:b/>
      <w:bCs/>
      <w:sz w:val="20"/>
      <w:szCs w:val="20"/>
      <w:lang w:eastAsia="en-US"/>
    </w:rPr>
  </w:style>
  <w:style w:type="paragraph" w:styleId="5">
    <w:name w:val="heading 4"/>
    <w:basedOn w:val="1"/>
    <w:link w:val="23"/>
    <w:unhideWhenUsed/>
    <w:qFormat/>
    <w:uiPriority w:val="9"/>
    <w:pPr>
      <w:widowControl w:val="0"/>
      <w:autoSpaceDE w:val="0"/>
      <w:autoSpaceDN w:val="0"/>
      <w:ind w:left="100"/>
      <w:outlineLvl w:val="3"/>
    </w:pPr>
    <w:rPr>
      <w:rFonts w:ascii="Arial" w:hAnsi="Arial" w:eastAsia="Arial" w:cs="Arial"/>
      <w:sz w:val="19"/>
      <w:szCs w:val="19"/>
      <w:lang w:eastAsia="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16"/>
    <w:qFormat/>
    <w:uiPriority w:val="1"/>
    <w:pPr>
      <w:widowControl w:val="0"/>
      <w:autoSpaceDE w:val="0"/>
      <w:autoSpaceDN w:val="0"/>
    </w:pPr>
    <w:rPr>
      <w:rFonts w:ascii="Times New Roman" w:hAnsi="Times New Roman" w:eastAsia="Times New Roman" w:cs="Times New Roman"/>
      <w:sz w:val="18"/>
      <w:szCs w:val="18"/>
      <w:lang w:eastAsia="en-US"/>
    </w:rPr>
  </w:style>
  <w:style w:type="paragraph" w:styleId="7">
    <w:name w:val="Title"/>
    <w:basedOn w:val="1"/>
    <w:link w:val="13"/>
    <w:qFormat/>
    <w:uiPriority w:val="10"/>
    <w:pPr>
      <w:widowControl w:val="0"/>
      <w:autoSpaceDE w:val="0"/>
      <w:autoSpaceDN w:val="0"/>
      <w:spacing w:before="117"/>
      <w:ind w:left="2166"/>
    </w:pPr>
    <w:rPr>
      <w:rFonts w:ascii="Trebuchet MS" w:hAnsi="Trebuchet MS" w:eastAsia="Trebuchet MS" w:cs="Trebuchet MS"/>
      <w:sz w:val="40"/>
      <w:szCs w:val="40"/>
      <w:lang w:eastAsia="en-US"/>
    </w:rPr>
  </w:style>
  <w:style w:type="table" w:styleId="9">
    <w:name w:val="Table Grid"/>
    <w:basedOn w:val="8"/>
    <w:qFormat/>
    <w:uiPriority w:val="59"/>
    <w:rPr>
      <w:rFonts w:ascii="Cambria" w:hAnsi="Cambria" w:eastAsia="MS Mincho" w:cs="Times New Roman"/>
      <w:kern w:val="0"/>
      <w:sz w:val="20"/>
      <w:szCs w:val="20"/>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Plain Table 2"/>
    <w:basedOn w:val="8"/>
    <w:qFormat/>
    <w:uiPriority w:val="42"/>
    <w:tblPr>
      <w:tblBorders>
        <w:top w:val="single" w:color="000000" w:themeColor="text1" w:sz="4" w:space="0"/>
        <w:bottom w:val="single" w:color="000000" w:themeColor="text1" w:sz="4" w:space="0"/>
        <w:insideH w:val="single" w:color="000000" w:themeColor="text1" w:sz="2"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12">
    <w:name w:val="横线表"/>
    <w:basedOn w:val="8"/>
    <w:qFormat/>
    <w:uiPriority w:val="0"/>
    <w:tblPr>
      <w:tblBorders>
        <w:top w:val="single" w:color="auto" w:sz="6" w:space="0"/>
        <w:bottom w:val="single" w:color="auto" w:sz="6" w:space="0"/>
      </w:tblBorders>
    </w:tblPr>
  </w:style>
  <w:style w:type="character" w:customStyle="1" w:styleId="13">
    <w:name w:val="标题 字符"/>
    <w:basedOn w:val="10"/>
    <w:link w:val="7"/>
    <w:qFormat/>
    <w:uiPriority w:val="10"/>
    <w:rPr>
      <w:rFonts w:ascii="Trebuchet MS" w:hAnsi="Trebuchet MS" w:eastAsia="Trebuchet MS" w:cs="Trebuchet MS"/>
      <w:kern w:val="0"/>
      <w:sz w:val="40"/>
      <w:szCs w:val="40"/>
      <w:lang w:eastAsia="en-US"/>
    </w:rPr>
  </w:style>
  <w:style w:type="character" w:customStyle="1" w:styleId="14">
    <w:name w:val="标题 1 字符"/>
    <w:basedOn w:val="10"/>
    <w:link w:val="2"/>
    <w:qFormat/>
    <w:uiPriority w:val="9"/>
    <w:rPr>
      <w:rFonts w:ascii="Arial" w:hAnsi="Arial" w:eastAsia="Arial" w:cs="Arial"/>
      <w:b/>
      <w:bCs/>
      <w:kern w:val="0"/>
      <w:sz w:val="24"/>
      <w:lang w:eastAsia="en-US"/>
    </w:rPr>
  </w:style>
  <w:style w:type="paragraph" w:styleId="15">
    <w:name w:val="List Paragraph"/>
    <w:basedOn w:val="1"/>
    <w:qFormat/>
    <w:uiPriority w:val="1"/>
    <w:pPr>
      <w:widowControl w:val="0"/>
      <w:autoSpaceDE w:val="0"/>
      <w:autoSpaceDN w:val="0"/>
      <w:ind w:left="423" w:hanging="324"/>
    </w:pPr>
    <w:rPr>
      <w:rFonts w:ascii="Arial" w:hAnsi="Arial" w:eastAsia="Arial" w:cs="Arial"/>
      <w:sz w:val="22"/>
      <w:szCs w:val="22"/>
      <w:lang w:eastAsia="en-US"/>
    </w:rPr>
  </w:style>
  <w:style w:type="character" w:customStyle="1" w:styleId="16">
    <w:name w:val="正文文本 字符"/>
    <w:basedOn w:val="10"/>
    <w:link w:val="6"/>
    <w:qFormat/>
    <w:uiPriority w:val="1"/>
    <w:rPr>
      <w:rFonts w:ascii="Times New Roman" w:hAnsi="Times New Roman" w:eastAsia="Times New Roman" w:cs="Times New Roman"/>
      <w:kern w:val="0"/>
      <w:sz w:val="18"/>
      <w:szCs w:val="18"/>
      <w:lang w:eastAsia="en-US"/>
    </w:rPr>
  </w:style>
  <w:style w:type="table" w:customStyle="1" w:styleId="17">
    <w:name w:val="Table Normal"/>
    <w:semiHidden/>
    <w:unhideWhenUsed/>
    <w:qFormat/>
    <w:uiPriority w:val="2"/>
    <w:pPr>
      <w:widowControl w:val="0"/>
      <w:autoSpaceDE w:val="0"/>
      <w:autoSpaceDN w:val="0"/>
    </w:pPr>
    <w:rPr>
      <w:kern w:val="0"/>
      <w:sz w:val="22"/>
      <w:szCs w:val="22"/>
      <w:lang w:eastAsia="en-US"/>
    </w:rPr>
    <w:tblPr>
      <w:tblCellMar>
        <w:top w:w="0" w:type="dxa"/>
        <w:left w:w="0" w:type="dxa"/>
        <w:bottom w:w="0" w:type="dxa"/>
        <w:right w:w="0" w:type="dxa"/>
      </w:tblCellMar>
    </w:tblPr>
  </w:style>
  <w:style w:type="paragraph" w:customStyle="1" w:styleId="18">
    <w:name w:val="Table Paragraph"/>
    <w:basedOn w:val="1"/>
    <w:qFormat/>
    <w:uiPriority w:val="1"/>
    <w:pPr>
      <w:widowControl w:val="0"/>
      <w:autoSpaceDE w:val="0"/>
      <w:autoSpaceDN w:val="0"/>
      <w:spacing w:before="11" w:line="140" w:lineRule="exact"/>
    </w:pPr>
    <w:rPr>
      <w:rFonts w:ascii="Times New Roman" w:hAnsi="Times New Roman" w:eastAsia="Times New Roman" w:cs="Times New Roman"/>
      <w:sz w:val="22"/>
      <w:szCs w:val="22"/>
      <w:lang w:eastAsia="en-US"/>
    </w:rPr>
  </w:style>
  <w:style w:type="paragraph" w:customStyle="1" w:styleId="19">
    <w:name w:val="样式1"/>
    <w:basedOn w:val="6"/>
    <w:qFormat/>
    <w:uiPriority w:val="0"/>
    <w:pPr>
      <w:spacing w:line="257" w:lineRule="auto"/>
      <w:ind w:left="278" w:firstLine="238"/>
      <w:jc w:val="both"/>
    </w:pPr>
    <w:rPr>
      <w:rFonts w:cs="Times New Roman Regular"/>
      <w:w w:val="95"/>
    </w:rPr>
  </w:style>
  <w:style w:type="paragraph" w:customStyle="1" w:styleId="20">
    <w:name w:val="样式2"/>
    <w:basedOn w:val="6"/>
    <w:qFormat/>
    <w:uiPriority w:val="0"/>
    <w:rPr>
      <w:w w:val="125"/>
      <w:sz w:val="20"/>
      <w:szCs w:val="20"/>
    </w:rPr>
  </w:style>
  <w:style w:type="character" w:customStyle="1" w:styleId="21">
    <w:name w:val="标题 2 字符"/>
    <w:basedOn w:val="10"/>
    <w:link w:val="3"/>
    <w:qFormat/>
    <w:uiPriority w:val="9"/>
    <w:rPr>
      <w:rFonts w:ascii="Trebuchet MS" w:hAnsi="Trebuchet MS" w:eastAsia="Trebuchet MS" w:cs="Trebuchet MS"/>
      <w:kern w:val="0"/>
      <w:sz w:val="22"/>
      <w:szCs w:val="22"/>
      <w:lang w:eastAsia="en-US"/>
    </w:rPr>
  </w:style>
  <w:style w:type="character" w:customStyle="1" w:styleId="22">
    <w:name w:val="标题 3 字符"/>
    <w:basedOn w:val="10"/>
    <w:link w:val="4"/>
    <w:qFormat/>
    <w:uiPriority w:val="9"/>
    <w:rPr>
      <w:rFonts w:ascii="Arial" w:hAnsi="Arial" w:eastAsia="Arial" w:cs="Arial"/>
      <w:b/>
      <w:bCs/>
      <w:kern w:val="0"/>
      <w:sz w:val="20"/>
      <w:szCs w:val="20"/>
      <w:lang w:eastAsia="en-US"/>
    </w:rPr>
  </w:style>
  <w:style w:type="character" w:customStyle="1" w:styleId="23">
    <w:name w:val="标题 4 字符"/>
    <w:basedOn w:val="10"/>
    <w:link w:val="5"/>
    <w:qFormat/>
    <w:uiPriority w:val="9"/>
    <w:rPr>
      <w:rFonts w:ascii="Arial" w:hAnsi="Arial" w:eastAsia="Arial" w:cs="Arial"/>
      <w:kern w:val="0"/>
      <w:sz w:val="19"/>
      <w:szCs w:val="19"/>
      <w:lang w:eastAsia="en-US"/>
    </w:rPr>
  </w:style>
  <w:style w:type="character" w:styleId="24">
    <w:name w:val="Placeholder Text"/>
    <w:basedOn w:val="10"/>
    <w:semiHidden/>
    <w:qFormat/>
    <w:uiPriority w:val="99"/>
    <w:rPr>
      <w:color w:val="808080"/>
    </w:rPr>
  </w:style>
  <w:style w:type="character" w:customStyle="1" w:styleId="25">
    <w:name w:val="apple-converted-space"/>
    <w:basedOn w:val="10"/>
    <w:qFormat/>
    <w:uiPriority w:val="0"/>
  </w:style>
  <w:style w:type="character" w:customStyle="1" w:styleId="26">
    <w:name w:val="TableCaption Char"/>
    <w:link w:val="27"/>
    <w:qFormat/>
    <w:locked/>
    <w:uiPriority w:val="0"/>
    <w:rPr>
      <w:rFonts w:ascii="Linux Biolinum O" w:hAnsi="Linux Biolinum O" w:eastAsia="Cambria" w:cs="Linux Biolinum O"/>
      <w:sz w:val="16"/>
      <w:lang w:eastAsia="ja-JP"/>
    </w:rPr>
  </w:style>
  <w:style w:type="paragraph" w:customStyle="1" w:styleId="27">
    <w:name w:val="TableCaption"/>
    <w:link w:val="26"/>
    <w:qFormat/>
    <w:uiPriority w:val="0"/>
    <w:pPr>
      <w:keepNext/>
      <w:spacing w:before="180" w:after="120" w:line="200" w:lineRule="atLeast"/>
      <w:jc w:val="center"/>
    </w:pPr>
    <w:rPr>
      <w:rFonts w:ascii="Linux Biolinum O" w:hAnsi="Linux Biolinum O" w:eastAsia="Cambria" w:cs="Linux Biolinum O"/>
      <w:kern w:val="2"/>
      <w:sz w:val="16"/>
      <w:szCs w:val="24"/>
      <w:lang w:val="en-US" w:eastAsia="ja-JP"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1148</Words>
  <Characters>6546</Characters>
  <Lines>54</Lines>
  <Paragraphs>15</Paragraphs>
  <TotalTime>0</TotalTime>
  <ScaleCrop>false</ScaleCrop>
  <LinksUpToDate>false</LinksUpToDate>
  <CharactersWithSpaces>7679</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2023-11-01T19:14:00Z</dcterms:created>
  <dc:creator>wang bingsheng</dc:creator>
  <cp:lastModifiedBy>文档存本地丢失不负责</cp:lastModifiedBy>
  <dcterms:modified xsi:type="dcterms:W3CDTF">2023-12-12T14:52:18Z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87F1F624C8EA3B62DCB17665D3D19B13_42</vt:lpwstr>
  </property>
</Properties>
</file>