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rPr/>
      </w:pPr>
      <w:r w:rsidDel="00000000" w:rsidR="00000000" w:rsidRPr="00000000">
        <w:rPr>
          <w:rtl w:val="0"/>
        </w:rPr>
        <w:t xml:space="preserve">Supplemental Figures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both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3443288" cy="2064238"/>
            <wp:effectExtent b="0" l="0" r="0" t="0"/>
            <wp:docPr descr="Afbeelding met schermopname&#10;&#10;Automatisch gegenereerde beschrijving" id="1" name="image2.png"/>
            <a:graphic>
              <a:graphicData uri="http://schemas.openxmlformats.org/drawingml/2006/picture">
                <pic:pic>
                  <pic:nvPicPr>
                    <pic:cNvPr descr="Afbeelding met schermopname&#10;&#10;Automatisch gegenereerde beschrijvin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3288" cy="2064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Supplemental Figure 1. Injection control and ventricular volume evaluation.</w:t>
      </w:r>
      <w:r w:rsidDel="00000000" w:rsidR="00000000" w:rsidRPr="00000000">
        <w:rPr>
          <w:sz w:val="20"/>
          <w:szCs w:val="20"/>
          <w:rtl w:val="0"/>
        </w:rPr>
        <w:t xml:space="preserve"> Changes in ICP during the first injection timepoint in both groups.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5731200" cy="2425700"/>
            <wp:effectExtent b="0" l="0" r="0" t="0"/>
            <wp:docPr descr="Afbeelding met schermopname, Hersenen, medisch&#10;&#10;Automatisch gegenereerde beschrijving" id="3" name="image3.png"/>
            <a:graphic>
              <a:graphicData uri="http://schemas.openxmlformats.org/drawingml/2006/picture">
                <pic:pic>
                  <pic:nvPicPr>
                    <pic:cNvPr descr="Afbeelding met schermopname, Hersenen, medisch&#10;&#10;Automatisch gegenereerde beschrijving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Supplemental Figure 2. Visual comparison of ventricular imaging in representative animals. </w:t>
      </w:r>
      <w:r w:rsidDel="00000000" w:rsidR="00000000" w:rsidRPr="00000000">
        <w:rPr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sz w:val="20"/>
          <w:szCs w:val="20"/>
          <w:rtl w:val="0"/>
        </w:rPr>
        <w:t xml:space="preserve">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Registered pre- (CT, left column) and post-operative (T2, middle column) imaging and both overlaid (right column) of the lateral ventricles. (</w:t>
      </w:r>
      <w:r w:rsidDel="00000000" w:rsidR="00000000" w:rsidRPr="00000000">
        <w:rPr>
          <w:b w:val="1"/>
          <w:sz w:val="20"/>
          <w:szCs w:val="20"/>
          <w:rtl w:val="0"/>
        </w:rPr>
        <w:t xml:space="preserve">B</w:t>
      </w:r>
      <w:r w:rsidDel="00000000" w:rsidR="00000000" w:rsidRPr="00000000">
        <w:rPr>
          <w:sz w:val="20"/>
          <w:szCs w:val="20"/>
          <w:rtl w:val="0"/>
        </w:rPr>
        <w:t xml:space="preserve">) Volumetric comparison of ventricular CSF on the post-operative T2.</w:t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6362700"/>
            <wp:effectExtent b="0" l="0" r="0" t="0"/>
            <wp:docPr descr="Afbeelding met tekst, diagram, schermopname, ontwerp&#10;&#10;Automatisch gegenereerde beschrijving" id="2" name="image1.png"/>
            <a:graphic>
              <a:graphicData uri="http://schemas.openxmlformats.org/drawingml/2006/picture">
                <pic:pic>
                  <pic:nvPicPr>
                    <pic:cNvPr descr="Afbeelding met tekst, diagram, schermopname, ontwerp&#10;&#10;Automatisch gegenereerde beschrijvi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36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Supplemental Figure 3. Histological stainings. (A) </w:t>
      </w:r>
      <w:r w:rsidDel="00000000" w:rsidR="00000000" w:rsidRPr="00000000">
        <w:rPr>
          <w:sz w:val="20"/>
          <w:szCs w:val="20"/>
          <w:rtl w:val="0"/>
        </w:rPr>
        <w:t xml:space="preserve">Inflammatory cells stained by Iba1 in a standardized anatomical region of interest and in </w:t>
      </w:r>
      <w:r w:rsidDel="00000000" w:rsidR="00000000" w:rsidRPr="00000000">
        <w:rPr>
          <w:b w:val="1"/>
          <w:sz w:val="20"/>
          <w:szCs w:val="20"/>
          <w:rtl w:val="0"/>
        </w:rPr>
        <w:t xml:space="preserve">(B)</w:t>
      </w:r>
      <w:r w:rsidDel="00000000" w:rsidR="00000000" w:rsidRPr="00000000">
        <w:rPr>
          <w:sz w:val="20"/>
          <w:szCs w:val="20"/>
          <w:rtl w:val="0"/>
        </w:rPr>
        <w:t xml:space="preserve"> the periventricular area. Smooth muscle cells stained by SMA indicating the </w:t>
      </w:r>
      <w:r w:rsidDel="00000000" w:rsidR="00000000" w:rsidRPr="00000000">
        <w:rPr>
          <w:b w:val="1"/>
          <w:sz w:val="20"/>
          <w:szCs w:val="20"/>
          <w:rtl w:val="0"/>
        </w:rPr>
        <w:t xml:space="preserve">(C)</w:t>
      </w:r>
      <w:r w:rsidDel="00000000" w:rsidR="00000000" w:rsidRPr="00000000">
        <w:rPr>
          <w:sz w:val="20"/>
          <w:szCs w:val="20"/>
          <w:rtl w:val="0"/>
        </w:rPr>
        <w:t xml:space="preserve"> positively stained cells in the perivascular cuff and the </w:t>
      </w:r>
      <w:r w:rsidDel="00000000" w:rsidR="00000000" w:rsidRPr="00000000">
        <w:rPr>
          <w:b w:val="1"/>
          <w:sz w:val="20"/>
          <w:szCs w:val="20"/>
          <w:rtl w:val="0"/>
        </w:rPr>
        <w:t xml:space="preserve">(D)</w:t>
      </w:r>
      <w:r w:rsidDel="00000000" w:rsidR="00000000" w:rsidRPr="00000000">
        <w:rPr>
          <w:sz w:val="20"/>
          <w:szCs w:val="20"/>
          <w:rtl w:val="0"/>
        </w:rPr>
        <w:t xml:space="preserve"> surface ratio of arteriolar wall in comparison to arteriolar lumen. DAB-enhanced iron staining of 10x10 µm tiles, highlighting the ratio of positive cells in </w:t>
      </w:r>
      <w:r w:rsidDel="00000000" w:rsidR="00000000" w:rsidRPr="00000000">
        <w:rPr>
          <w:b w:val="1"/>
          <w:sz w:val="20"/>
          <w:szCs w:val="20"/>
          <w:rtl w:val="0"/>
        </w:rPr>
        <w:t xml:space="preserve">(E)</w:t>
      </w:r>
      <w:r w:rsidDel="00000000" w:rsidR="00000000" w:rsidRPr="00000000">
        <w:rPr>
          <w:sz w:val="20"/>
          <w:szCs w:val="20"/>
          <w:rtl w:val="0"/>
        </w:rPr>
        <w:t xml:space="preserve"> the parenchyma and </w:t>
      </w:r>
      <w:r w:rsidDel="00000000" w:rsidR="00000000" w:rsidRPr="00000000">
        <w:rPr>
          <w:b w:val="1"/>
          <w:sz w:val="20"/>
          <w:szCs w:val="20"/>
          <w:rtl w:val="0"/>
        </w:rPr>
        <w:t xml:space="preserve">(F)</w:t>
      </w:r>
      <w:r w:rsidDel="00000000" w:rsidR="00000000" w:rsidRPr="00000000">
        <w:rPr>
          <w:sz w:val="20"/>
          <w:szCs w:val="20"/>
          <w:rtl w:val="0"/>
        </w:rPr>
        <w:t xml:space="preserve"> the periventricular area.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k5RVlKFrFcaCBTAA5MG7VXCNhg==">CgMxLjA4AHIhMTdQUHpmSjdpVU1NTlNtcjh6MHNaREZEZVQ3Ym91bEh0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