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Supporting Information</w:t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32"/>
          <w:szCs w:val="32"/>
        </w:rPr>
      </w:pPr>
      <w:bookmarkStart w:id="0" w:name="OLE_LINK1"/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>Efficient activation of H</w:t>
      </w:r>
      <w:r>
        <w:rPr>
          <w:rFonts w:hint="default" w:ascii="Times New Roman" w:hAnsi="Times New Roman" w:cs="Times New Roman"/>
          <w:b/>
          <w:bCs/>
          <w:sz w:val="30"/>
          <w:szCs w:val="30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>O</w:t>
      </w:r>
      <w:r>
        <w:rPr>
          <w:rFonts w:hint="default" w:ascii="Times New Roman" w:hAnsi="Times New Roman" w:cs="Times New Roman"/>
          <w:b/>
          <w:bCs/>
          <w:sz w:val="30"/>
          <w:szCs w:val="30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 xml:space="preserve"> by C</w:t>
      </w:r>
      <w:r>
        <w:rPr>
          <w:rFonts w:hint="default" w:ascii="Times New Roman" w:hAnsi="Times New Roman" w:cs="Times New Roman"/>
          <w:b/>
          <w:bCs/>
          <w:sz w:val="30"/>
          <w:szCs w:val="30"/>
          <w:vertAlign w:val="subscript"/>
          <w:lang w:val="en-US" w:eastAsia="zh-CN"/>
        </w:rPr>
        <w:t>60</w:t>
      </w:r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>/MIL-101(Fe</w:t>
      </w: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,Cu</w:t>
      </w:r>
      <w:r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  <w:t>) composite for degradation of methylene blue under visible light</w:t>
      </w:r>
      <w:bookmarkEnd w:id="0"/>
    </w:p>
    <w:p>
      <w:pPr>
        <w:widowControl/>
        <w:jc w:val="both"/>
        <w:rPr>
          <w:rFonts w:hint="eastAsia" w:ascii="Times New Roman" w:hAnsi="Times New Roman" w:cs="Times New Roman"/>
          <w:b/>
          <w:bCs/>
          <w:sz w:val="24"/>
          <w:szCs w:val="24"/>
        </w:rPr>
      </w:pPr>
    </w:p>
    <w:p>
      <w:pPr>
        <w:spacing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>
        <w:rPr>
          <w:rFonts w:hint="eastAsia" w:ascii="Times New Roman" w:hAnsi="Times New Roman"/>
          <w:kern w:val="2"/>
          <w:sz w:val="24"/>
          <w:szCs w:val="24"/>
        </w:rPr>
        <w:t>Zhuyou</w:t>
      </w:r>
      <w:r>
        <w:rPr>
          <w:rFonts w:ascii="Times New Roman" w:hAnsi="Times New Roman"/>
          <w:kern w:val="2"/>
          <w:sz w:val="24"/>
          <w:szCs w:val="24"/>
        </w:rPr>
        <w:t xml:space="preserve"> </w:t>
      </w:r>
      <w:r>
        <w:rPr>
          <w:rFonts w:hint="eastAsia" w:ascii="Times New Roman" w:hAnsi="Times New Roman"/>
          <w:kern w:val="2"/>
          <w:sz w:val="24"/>
          <w:szCs w:val="24"/>
        </w:rPr>
        <w:t>Zhou</w:t>
      </w:r>
      <w:r>
        <w:rPr>
          <w:rFonts w:hint="eastAsia" w:ascii="Times New Roman" w:hAnsi="Times New Roman"/>
          <w:kern w:val="2"/>
          <w:sz w:val="24"/>
          <w:szCs w:val="24"/>
          <w:vertAlign w:val="superscript"/>
        </w:rPr>
        <w:t>*</w:t>
      </w:r>
      <w:bookmarkStart w:id="1" w:name="OLE_LINK8"/>
      <w:bookmarkStart w:id="2" w:name="OLE_LINK17"/>
      <w:r>
        <w:rPr>
          <w:rFonts w:ascii="Times New Roman" w:hAnsi="Times New Roman"/>
          <w:kern w:val="2"/>
          <w:sz w:val="24"/>
          <w:szCs w:val="24"/>
        </w:rPr>
        <w:t xml:space="preserve">, </w:t>
      </w:r>
      <w:r>
        <w:rPr>
          <w:rFonts w:hint="eastAsia" w:ascii="Times New Roman" w:hAnsi="Times New Roman"/>
          <w:kern w:val="2"/>
          <w:sz w:val="24"/>
          <w:szCs w:val="24"/>
        </w:rPr>
        <w:t>Yufeng Ji</w:t>
      </w:r>
      <w:r>
        <w:rPr>
          <w:rFonts w:hint="eastAsia" w:ascii="Times New Roman" w:hAnsi="Times New Roman"/>
          <w:kern w:val="2"/>
          <w:sz w:val="24"/>
          <w:szCs w:val="24"/>
          <w:vertAlign w:val="superscript"/>
        </w:rPr>
        <w:t>*</w:t>
      </w:r>
      <w:bookmarkEnd w:id="1"/>
      <w:bookmarkEnd w:id="2"/>
      <w:bookmarkStart w:id="3" w:name="OLE_LINK9"/>
      <w:r>
        <w:rPr>
          <w:rFonts w:hint="eastAsia" w:ascii="Times New Roman" w:hAnsi="Times New Roman"/>
          <w:kern w:val="2"/>
          <w:sz w:val="24"/>
          <w:szCs w:val="24"/>
        </w:rPr>
        <w:t>,</w:t>
      </w:r>
      <w:r>
        <w:rPr>
          <w:rFonts w:ascii="Times New Roman" w:hAnsi="Times New Roman"/>
          <w:kern w:val="2"/>
          <w:sz w:val="24"/>
          <w:szCs w:val="24"/>
        </w:rPr>
        <w:t xml:space="preserve"> </w:t>
      </w:r>
      <w:r>
        <w:rPr>
          <w:rFonts w:hint="eastAsia" w:ascii="Times New Roman" w:hAnsi="Times New Roman"/>
          <w:kern w:val="2"/>
          <w:sz w:val="24"/>
          <w:szCs w:val="24"/>
        </w:rPr>
        <w:t>Yong Wang</w:t>
      </w:r>
      <w:bookmarkEnd w:id="3"/>
      <w:r>
        <w:rPr>
          <w:rFonts w:hint="eastAsia" w:ascii="Times New Roman" w:hAnsi="Times New Roman"/>
          <w:kern w:val="2"/>
          <w:sz w:val="24"/>
          <w:szCs w:val="24"/>
        </w:rPr>
        <w:t>,</w:t>
      </w:r>
      <w:r>
        <w:rPr>
          <w:rFonts w:ascii="Times New Roman" w:hAnsi="Times New Roman"/>
          <w:kern w:val="2"/>
          <w:sz w:val="24"/>
          <w:szCs w:val="24"/>
        </w:rPr>
        <w:t xml:space="preserve"> </w:t>
      </w:r>
      <w:r>
        <w:rPr>
          <w:rFonts w:hint="eastAsia" w:ascii="Times New Roman" w:hAnsi="Times New Roman"/>
          <w:kern w:val="2"/>
          <w:sz w:val="24"/>
          <w:szCs w:val="24"/>
        </w:rPr>
        <w:t>Menghe Liu</w:t>
      </w:r>
      <w:r>
        <w:rPr>
          <w:rFonts w:ascii="Times New Roman" w:hAnsi="Times New Roman"/>
          <w:kern w:val="2"/>
          <w:sz w:val="24"/>
          <w:szCs w:val="24"/>
        </w:rPr>
        <w:t xml:space="preserve">, </w:t>
      </w:r>
      <w:r>
        <w:rPr>
          <w:rFonts w:hint="eastAsia" w:ascii="Times New Roman" w:hAnsi="Times New Roman"/>
          <w:kern w:val="2"/>
          <w:sz w:val="24"/>
          <w:szCs w:val="24"/>
        </w:rPr>
        <w:t>Ying Xu</w:t>
      </w:r>
      <w:r>
        <w:rPr>
          <w:rFonts w:ascii="Times New Roman" w:hAnsi="Times New Roman"/>
          <w:kern w:val="2"/>
          <w:sz w:val="24"/>
          <w:szCs w:val="24"/>
        </w:rPr>
        <w:t xml:space="preserve">, </w:t>
      </w:r>
      <w:r>
        <w:rPr>
          <w:rFonts w:hint="eastAsia" w:ascii="Times New Roman" w:hAnsi="Times New Roman"/>
          <w:kern w:val="2"/>
          <w:sz w:val="24"/>
          <w:szCs w:val="24"/>
        </w:rPr>
        <w:t>Ruijie Liu</w:t>
      </w:r>
      <w:r>
        <w:rPr>
          <w:rFonts w:ascii="Times New Roman" w:hAnsi="Times New Roman"/>
          <w:kern w:val="2"/>
          <w:sz w:val="24"/>
          <w:szCs w:val="24"/>
        </w:rPr>
        <w:t xml:space="preserve">, </w:t>
      </w:r>
    </w:p>
    <w:p>
      <w:pPr>
        <w:spacing w:line="240" w:lineRule="auto"/>
        <w:jc w:val="center"/>
        <w:rPr>
          <w:rFonts w:ascii="Times New Roman" w:hAnsi="Times New Roman"/>
          <w:kern w:val="2"/>
          <w:sz w:val="24"/>
          <w:szCs w:val="24"/>
        </w:rPr>
      </w:pPr>
      <w:r>
        <w:rPr>
          <w:rFonts w:hint="eastAsia" w:ascii="Times New Roman" w:hAnsi="Times New Roman"/>
          <w:kern w:val="2"/>
          <w:sz w:val="24"/>
          <w:szCs w:val="24"/>
        </w:rPr>
        <w:t>Mingjie Yang</w:t>
      </w:r>
      <w:r>
        <w:rPr>
          <w:rFonts w:ascii="Times New Roman" w:hAnsi="Times New Roman"/>
          <w:kern w:val="2"/>
          <w:sz w:val="24"/>
          <w:szCs w:val="24"/>
        </w:rPr>
        <w:t xml:space="preserve">, </w:t>
      </w:r>
      <w:r>
        <w:rPr>
          <w:rFonts w:hint="eastAsia" w:ascii="Times New Roman" w:hAnsi="Times New Roman"/>
          <w:kern w:val="2"/>
          <w:sz w:val="24"/>
          <w:szCs w:val="24"/>
        </w:rPr>
        <w:t>Congyang Zou</w:t>
      </w:r>
    </w:p>
    <w:p>
      <w:pPr>
        <w:numPr>
          <w:ilvl w:val="0"/>
          <w:numId w:val="0"/>
        </w:numPr>
        <w:spacing w:line="360" w:lineRule="auto"/>
        <w:rPr>
          <w:rFonts w:hint="eastAsia"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</w:rPr>
        <w:t>School of Environmental Science and Engineering,</w:t>
      </w:r>
      <w:bookmarkStart w:id="4" w:name="OLE_LINK12"/>
      <w:r>
        <w:rPr>
          <w:rFonts w:hint="eastAsia" w:ascii="Times New Roman" w:hAnsi="Times New Roman" w:cs="Times New Roman"/>
          <w:i/>
          <w:iCs/>
          <w:sz w:val="24"/>
          <w:szCs w:val="24"/>
        </w:rPr>
        <w:t xml:space="preserve"> Suzhou University of Science and Technology</w:t>
      </w:r>
      <w:bookmarkEnd w:id="4"/>
      <w:r>
        <w:rPr>
          <w:rFonts w:hint="eastAsia" w:ascii="Times New Roman" w:hAnsi="Times New Roman" w:cs="Times New Roman"/>
          <w:i/>
          <w:iCs/>
          <w:sz w:val="24"/>
          <w:szCs w:val="24"/>
        </w:rPr>
        <w:t>, Suzhou 215009, Jiangsu, China</w:t>
      </w:r>
    </w:p>
    <w:p>
      <w:pPr>
        <w:pStyle w:val="5"/>
        <w:widowControl/>
        <w:spacing w:line="360" w:lineRule="auto"/>
        <w:ind w:firstLine="0" w:firstLineChars="0"/>
        <w:rPr>
          <w:rFonts w:hint="eastAsia" w:ascii="Times New Roman" w:hAnsi="Times New Roman"/>
          <w:i/>
          <w:iCs/>
          <w:sz w:val="24"/>
          <w:szCs w:val="24"/>
        </w:rPr>
      </w:pPr>
    </w:p>
    <w:p>
      <w:pPr>
        <w:pStyle w:val="5"/>
        <w:widowControl/>
        <w:spacing w:line="360" w:lineRule="auto"/>
        <w:ind w:firstLine="0" w:firstLineChars="0"/>
        <w:rPr>
          <w:rFonts w:hint="eastAsia" w:ascii="Times New Roman" w:hAnsi="Times New Roman"/>
          <w:i/>
          <w:iCs/>
          <w:sz w:val="24"/>
          <w:szCs w:val="24"/>
        </w:rPr>
      </w:pPr>
    </w:p>
    <w:p>
      <w:pPr>
        <w:pStyle w:val="5"/>
        <w:widowControl/>
        <w:spacing w:line="360" w:lineRule="auto"/>
        <w:ind w:firstLine="0" w:firstLineChars="0"/>
        <w:rPr>
          <w:rFonts w:hint="eastAsia" w:ascii="Times New Roman" w:hAnsi="Times New Roman"/>
          <w:i/>
          <w:iCs/>
          <w:sz w:val="24"/>
          <w:szCs w:val="24"/>
        </w:rPr>
      </w:pPr>
    </w:p>
    <w:p>
      <w:pPr>
        <w:pStyle w:val="5"/>
        <w:widowControl/>
        <w:spacing w:line="360" w:lineRule="auto"/>
        <w:ind w:firstLine="0" w:firstLineChars="0"/>
        <w:rPr>
          <w:rFonts w:hint="eastAsia" w:ascii="Times New Roman" w:hAnsi="Times New Roman"/>
          <w:i/>
          <w:iCs/>
          <w:sz w:val="24"/>
          <w:szCs w:val="24"/>
        </w:rPr>
      </w:pPr>
    </w:p>
    <w:p>
      <w:pPr>
        <w:pStyle w:val="5"/>
        <w:widowControl/>
        <w:spacing w:line="360" w:lineRule="auto"/>
        <w:ind w:firstLine="0" w:firstLineChars="0"/>
        <w:rPr>
          <w:rFonts w:hint="eastAsia" w:ascii="Times New Roman" w:hAnsi="Times New Roman"/>
          <w:i/>
          <w:iCs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----------------------------------</w:t>
      </w:r>
    </w:p>
    <w:p>
      <w:pPr>
        <w:pStyle w:val="5"/>
        <w:widowControl/>
        <w:spacing w:line="360" w:lineRule="auto"/>
        <w:ind w:firstLine="0" w:firstLineChars="0"/>
        <w:rPr>
          <w:rFonts w:hint="eastAsia" w:ascii="Times New Roman" w:hAnsi="Times New Roman"/>
          <w:szCs w:val="24"/>
          <w:lang w:val="en-US" w:eastAsia="zh-CN"/>
        </w:rPr>
      </w:pPr>
      <w:r>
        <w:rPr>
          <w:rFonts w:ascii="Times New Roman" w:hAnsi="Times New Roman"/>
          <w:szCs w:val="24"/>
          <w:lang w:val="en-US"/>
        </w:rPr>
        <w:t>* Corresponding author</w:t>
      </w:r>
      <w:r>
        <w:rPr>
          <w:rFonts w:hint="default" w:ascii="Times New Roman" w:hAnsi="Times New Roman" w:cs="Times New Roman"/>
          <w:szCs w:val="24"/>
          <w:lang w:val="en-US" w:eastAsia="zh-CN"/>
        </w:rPr>
        <w:t>’</w:t>
      </w:r>
      <w:r>
        <w:rPr>
          <w:rFonts w:ascii="Times New Roman" w:hAnsi="Times New Roman"/>
          <w:szCs w:val="24"/>
          <w:lang w:val="en-US"/>
        </w:rPr>
        <w:t xml:space="preserve">s E-mails: </w:t>
      </w:r>
      <w:r>
        <w:rPr>
          <w:rFonts w:hint="eastAsia" w:ascii="Times New Roman" w:hAnsi="Times New Roman"/>
          <w:szCs w:val="24"/>
          <w:lang w:val="en-US" w:eastAsia="zh-CN"/>
        </w:rPr>
        <w:fldChar w:fldCharType="begin"/>
      </w:r>
      <w:r>
        <w:rPr>
          <w:rFonts w:hint="eastAsia" w:ascii="Times New Roman" w:hAnsi="Times New Roman"/>
          <w:szCs w:val="24"/>
          <w:lang w:val="en-US" w:eastAsia="zh-CN"/>
        </w:rPr>
        <w:instrText xml:space="preserve"> HYPERLINK "mailto:ericcongyang@126.com" </w:instrText>
      </w:r>
      <w:r>
        <w:rPr>
          <w:rFonts w:hint="eastAsia" w:ascii="Times New Roman" w:hAnsi="Times New Roman"/>
          <w:szCs w:val="24"/>
          <w:lang w:val="en-US" w:eastAsia="zh-CN"/>
        </w:rPr>
        <w:fldChar w:fldCharType="separate"/>
      </w:r>
      <w:r>
        <w:rPr>
          <w:rStyle w:val="4"/>
          <w:rFonts w:hint="eastAsia" w:ascii="Times New Roman" w:hAnsi="Times New Roman"/>
          <w:szCs w:val="24"/>
          <w:lang w:val="en-US" w:eastAsia="zh-CN"/>
        </w:rPr>
        <w:t>ericcongyang@126.com</w:t>
      </w:r>
      <w:r>
        <w:rPr>
          <w:rFonts w:hint="eastAsia" w:ascii="Times New Roman" w:hAnsi="Times New Roman"/>
          <w:szCs w:val="24"/>
          <w:lang w:val="en-US" w:eastAsia="zh-CN"/>
        </w:rPr>
        <w:fldChar w:fldCharType="end"/>
      </w:r>
    </w:p>
    <w:p>
      <w:pPr>
        <w:pStyle w:val="5"/>
        <w:widowControl/>
        <w:spacing w:line="360" w:lineRule="auto"/>
        <w:ind w:firstLine="0" w:firstLineChars="0"/>
        <w:rPr>
          <w:rFonts w:hint="default" w:ascii="Times New Roman" w:hAnsi="Times New Roman"/>
          <w:szCs w:val="24"/>
          <w:lang w:val="en-US" w:eastAsia="zh-CN"/>
        </w:rPr>
      </w:pPr>
      <w:r>
        <w:rPr>
          <w:rFonts w:hint="eastAsia" w:ascii="Times New Roman" w:hAnsi="Times New Roman"/>
          <w:szCs w:val="24"/>
          <w:lang w:val="en-US" w:eastAsia="zh-CN"/>
        </w:rPr>
        <w:t xml:space="preserve">                         Tel:</w:t>
      </w:r>
      <w:r>
        <w:rPr>
          <w:rFonts w:hint="eastAsia" w:ascii="Times New Roman" w:hAnsi="Times New Roman"/>
          <w:b w:val="0"/>
          <w:bCs w:val="0"/>
          <w:color w:val="0000FF"/>
          <w:sz w:val="21"/>
          <w:szCs w:val="21"/>
          <w:u w:val="single"/>
          <w:lang w:val="en-US" w:eastAsia="zh-CN"/>
        </w:rPr>
        <w:t>+8617751098666</w:t>
      </w:r>
    </w:p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textAlignment w:val="auto"/>
        <w:rPr>
          <w:rFonts w:hint="eastAsia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Catalyst characterization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</w:rPr>
        <w:t>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Power X-ray diffraction (XRD) analysis on a D8 Advance diffrac-tometer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(Bruker,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Germany) was performed to identify the structure and crystallinity of the as-prepared samples with monochromatic high-intensity Cu K</w:t>
      </w:r>
      <w:r>
        <w:rPr>
          <w:rFonts w:hint="default" w:ascii="Times New Roman" w:hAnsi="Times New Roman" w:cs="Times New Roman"/>
          <w:sz w:val="24"/>
          <w:szCs w:val="24"/>
        </w:rPr>
        <w:t>α</w:t>
      </w:r>
      <w:r>
        <w:rPr>
          <w:rFonts w:hint="eastAsia" w:ascii="Times New Roman" w:hAnsi="Times New Roman" w:cs="Times New Roman"/>
          <w:sz w:val="24"/>
          <w:szCs w:val="24"/>
        </w:rPr>
        <w:t xml:space="preserve"> radiation (</w:t>
      </w:r>
      <w:r>
        <w:rPr>
          <w:rFonts w:ascii="Times New Roman" w:hAnsi="Times New Roman" w:cs="Times New Roman"/>
          <w:sz w:val="24"/>
          <w:szCs w:val="24"/>
        </w:rPr>
        <w:t>λ</w:t>
      </w:r>
      <w:r>
        <w:rPr>
          <w:rFonts w:hint="eastAsia" w:ascii="Times New Roman" w:hAnsi="Times New Roman" w:cs="Times New Roman"/>
          <w:sz w:val="24"/>
          <w:szCs w:val="24"/>
        </w:rPr>
        <w:t>=1.5406 Å). The specific surface area and pore size distribution of all samples were determined by using Brunauer-Emmett-Teller (BET) method, respectively, based on the adsorption data of N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adsorption-desorption isotherms collected at 77K on a NOVA4000 analyzer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(Quantachrome,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USA). Scanning electronic microscopy (SEM;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JEOL,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Japan) images were acquired on Quanta FEG 250 field emission scanning electron microscope equipped with energy dispersive spectrometer (EDS). Fourier transform infrared (FT-IR) spec-troscopy (Nicolet6700; Thermo Ltd., Japan) was carried out to detect the chemical bonds on the surface of the catalyst. UV-vis diffuse reflectance spectra (UV-vis DRS) were obtained by UV-vis spectrophotometer (UV-3600,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Shimadzu Ltd.,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Japan). X-ray photoelectro spectroscopy (XPS;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XSAM 800) was employed to characterize the elemental states. Zeta potentials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and average particle size </w:t>
      </w:r>
      <w:r>
        <w:rPr>
          <w:rFonts w:hint="eastAsia" w:ascii="Times New Roman" w:hAnsi="Times New Roman" w:cs="Times New Roman"/>
          <w:sz w:val="24"/>
          <w:szCs w:val="24"/>
        </w:rPr>
        <w:t>of materials were measured by a zeta potentiometer (Nano-ZS90, Malvern, UK). Electron paramagnetic resonance (EPR;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Bruker,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Germany) can be used to measure the free radicals produced by materials in different systems.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Photoelectrochemical and Electrochemical Measurements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/>
          <w:sz w:val="24"/>
          <w:szCs w:val="24"/>
          <w:vertAlign w:val="baseline"/>
        </w:rPr>
      </w:pPr>
      <w:r>
        <w:rPr>
          <w:rFonts w:hint="eastAsia" w:ascii="Times New Roman" w:hAnsi="Times New Roman" w:cs="Times New Roman"/>
          <w:sz w:val="24"/>
          <w:szCs w:val="24"/>
        </w:rPr>
        <w:t>The electrochemical impedance spectroscopy (EIS)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hint="eastAsia" w:ascii="Times New Roman" w:hAnsi="Times New Roman" w:cs="Times New Roman"/>
          <w:sz w:val="24"/>
          <w:szCs w:val="24"/>
        </w:rPr>
        <w:t xml:space="preserve">transient photocurrent (TPC)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hint="eastAsia" w:ascii="Times New Roman" w:hAnsi="Times New Roman" w:cs="Times New Roman"/>
          <w:sz w:val="24"/>
          <w:szCs w:val="24"/>
        </w:rPr>
        <w:t>Mott-Schottky curve w</w:t>
      </w:r>
      <w:r>
        <w:rPr>
          <w:rFonts w:ascii="Times New Roman" w:hAnsi="Times New Roman" w:cs="Times New Roman"/>
          <w:sz w:val="24"/>
          <w:szCs w:val="24"/>
        </w:rPr>
        <w:t>ere</w:t>
      </w:r>
      <w:r>
        <w:rPr>
          <w:rFonts w:hint="eastAsia" w:ascii="Times New Roman" w:hAnsi="Times New Roman" w:cs="Times New Roman"/>
          <w:sz w:val="24"/>
          <w:szCs w:val="24"/>
        </w:rPr>
        <w:t xml:space="preserve"> recorded with a three-electrode system at the CHI660E electrochemical station. The three-electrode system use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hint="eastAsia" w:ascii="Times New Roman" w:hAnsi="Times New Roman" w:cs="Times New Roman"/>
          <w:sz w:val="24"/>
          <w:szCs w:val="24"/>
        </w:rPr>
        <w:t xml:space="preserve"> platinum wire as the counter electrode, the photocatalyst as the working electrode and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hint="eastAsia" w:ascii="Times New Roman" w:hAnsi="Times New Roman" w:cs="Times New Roman"/>
          <w:sz w:val="24"/>
          <w:szCs w:val="24"/>
        </w:rPr>
        <w:t xml:space="preserve"> AgCl electrode as the reference electrode.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</w:rPr>
        <w:t>catalyst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>ere</w:t>
      </w:r>
      <w:r>
        <w:rPr>
          <w:rFonts w:hint="eastAsia" w:ascii="Times New Roman" w:hAnsi="Times New Roman" w:cs="Times New Roman"/>
          <w:sz w:val="24"/>
          <w:szCs w:val="24"/>
        </w:rPr>
        <w:t xml:space="preserve"> applied to the FTO conductive glass for testing</w:t>
      </w:r>
      <w:r>
        <w:rPr>
          <w:rFonts w:ascii="Times New Roman" w:hAnsi="Times New Roman" w:cs="Times New Roman"/>
          <w:sz w:val="24"/>
          <w:szCs w:val="24"/>
        </w:rPr>
        <w:t xml:space="preserve"> in 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(0.1 mol/L) electrolyte solution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vertAlign w:val="baseline"/>
          <w:lang w:val="en-US" w:eastAsia="zh-CN" w:bidi="ar-SA"/>
        </w:rPr>
        <w:t>.</w:t>
      </w:r>
      <w:r>
        <w:rPr>
          <w:rFonts w:hint="eastAsia" w:ascii="Times New Roman" w:hAnsi="Times New Roman" w:cs="Times New Roman"/>
          <w:sz w:val="24"/>
          <w:szCs w:val="24"/>
          <w:vertAlign w:val="baseline"/>
        </w:rPr>
        <w:t xml:space="preserve"> </w:t>
      </w:r>
    </w:p>
    <w:p>
      <w:pPr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jc w:val="center"/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4319905" cy="2879725"/>
            <wp:effectExtent l="0" t="0" r="4445" b="15875"/>
            <wp:docPr id="3" name="图片 3" descr="MB标线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B标线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2"/>
          <w:lang w:val="en-US" w:eastAsia="zh-CN"/>
        </w:rPr>
        <w:t>Fig. S</w:t>
      </w:r>
      <w:r>
        <w:rPr>
          <w:rFonts w:hint="eastAsia" w:ascii="Times New Roman" w:hAnsi="Times New Roman" w:cs="Times New Roman"/>
          <w:b/>
          <w:bCs/>
          <w:sz w:val="20"/>
          <w:szCs w:val="22"/>
          <w:lang w:val="en-US" w:eastAsia="zh-CN"/>
        </w:rPr>
        <w:t xml:space="preserve">1 </w:t>
      </w:r>
      <w:r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  <w:t>Standard curve of MB.</w:t>
      </w:r>
    </w:p>
    <w:p>
      <w:pPr>
        <w:jc w:val="center"/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740785" cy="3128645"/>
            <wp:effectExtent l="0" t="0" r="12065" b="14605"/>
            <wp:docPr id="2" name="图片 2" descr="1695620127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956201271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0785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default"/>
          <w:b w:val="0"/>
          <w:bCs w:val="0"/>
          <w:lang w:val="en-US"/>
        </w:rPr>
      </w:pPr>
      <w:r>
        <w:rPr>
          <w:rFonts w:hint="default" w:ascii="Times New Roman" w:hAnsi="Times New Roman" w:cs="Times New Roman"/>
          <w:b/>
          <w:bCs/>
          <w:sz w:val="20"/>
          <w:szCs w:val="22"/>
          <w:lang w:val="en-US" w:eastAsia="zh-CN"/>
        </w:rPr>
        <w:t>Fig. S</w:t>
      </w:r>
      <w:r>
        <w:rPr>
          <w:rFonts w:hint="eastAsia" w:ascii="Times New Roman" w:hAnsi="Times New Roman" w:cs="Times New Roman"/>
          <w:b/>
          <w:bCs/>
          <w:sz w:val="20"/>
          <w:szCs w:val="22"/>
          <w:lang w:val="en-US" w:eastAsia="zh-CN"/>
        </w:rPr>
        <w:t xml:space="preserve">2 </w:t>
      </w:r>
      <w:r>
        <w:rPr>
          <w:rFonts w:hint="default" w:ascii="Times New Roman" w:hAnsi="Times New Roman" w:cs="Times New Roman"/>
          <w:b w:val="0"/>
          <w:bCs w:val="0"/>
          <w:sz w:val="20"/>
          <w:szCs w:val="22"/>
          <w:lang w:val="en-US" w:eastAsia="zh-CN"/>
        </w:rPr>
        <w:t xml:space="preserve">EDS mapping of </w:t>
      </w:r>
      <w:r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  <w:t>C</w:t>
      </w:r>
      <w:r>
        <w:rPr>
          <w:rFonts w:hint="eastAsia" w:ascii="Times New Roman" w:hAnsi="Times New Roman" w:cs="Times New Roman"/>
          <w:b w:val="0"/>
          <w:bCs w:val="0"/>
          <w:sz w:val="20"/>
          <w:szCs w:val="22"/>
          <w:vertAlign w:val="subscript"/>
          <w:lang w:val="en-US" w:eastAsia="zh-CN"/>
        </w:rPr>
        <w:t>60</w:t>
      </w:r>
      <w:r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  <w:t>/</w:t>
      </w:r>
      <w:r>
        <w:rPr>
          <w:rFonts w:hint="default" w:ascii="Times New Roman" w:hAnsi="Times New Roman" w:cs="Times New Roman"/>
          <w:b w:val="0"/>
          <w:bCs w:val="0"/>
          <w:sz w:val="20"/>
          <w:szCs w:val="22"/>
          <w:lang w:val="en-US" w:eastAsia="zh-CN"/>
        </w:rPr>
        <w:t>MIL-101(Fe/Cu) (</w:t>
      </w:r>
      <w:r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  <w:t>25</w:t>
      </w:r>
      <w:r>
        <w:rPr>
          <w:rFonts w:hint="default" w:ascii="Times New Roman" w:hAnsi="Times New Roman" w:cs="Times New Roman"/>
          <w:b w:val="0"/>
          <w:bCs w:val="0"/>
          <w:sz w:val="20"/>
          <w:szCs w:val="22"/>
          <w:lang w:val="en-US" w:eastAsia="zh-CN"/>
        </w:rPr>
        <w:t xml:space="preserve"> μm)</w:t>
      </w:r>
      <w:r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  <w:t>.</w:t>
      </w:r>
      <w:bookmarkStart w:id="5" w:name="_GoBack"/>
      <w:bookmarkEnd w:id="5"/>
    </w:p>
    <w:p>
      <w:pPr>
        <w:jc w:val="center"/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  <w:t>.</w:t>
      </w:r>
    </w:p>
    <w:p>
      <w:pPr>
        <w:jc w:val="center"/>
        <w:rPr>
          <w:rFonts w:hint="eastAsia" w:eastAsiaTheme="minorEastAsia"/>
          <w:lang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kNjdiN2FmNzAxYjdkYTc4ZjkzM2QxM2VjNGI4NmUifQ=="/>
  </w:docVars>
  <w:rsids>
    <w:rsidRoot w:val="00000000"/>
    <w:rsid w:val="2DC23B73"/>
    <w:rsid w:val="38BA1FF6"/>
    <w:rsid w:val="39680047"/>
    <w:rsid w:val="41F43C81"/>
    <w:rsid w:val="57022DD8"/>
    <w:rsid w:val="652E060E"/>
    <w:rsid w:val="66F82E51"/>
    <w:rsid w:val="67BC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彩色列表 - 强调文字颜色 1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2023-09-25T05:30:00Z</dcterms:created>
  <dc:creator>86139</dc:creator>
  <cp:lastModifiedBy>SUKEDA</cp:lastModifiedBy>
  <dcterms:modified xsi:type="dcterms:W3CDTF">2023-12-11T02:32:34Z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F4A32163E9434BA59668548920228817_12</vt:lpwstr>
  </property>
</Properties>
</file>