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eastAsia="宋体" w:cs="Times New Roman"/>
          <w:b/>
          <w:bCs/>
        </w:rPr>
        <w:t>Supplementary Material</w:t>
      </w:r>
    </w:p>
    <w:p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</w:rPr>
        <w:t xml:space="preserve">1. </w:t>
      </w:r>
      <w:r>
        <w:rPr>
          <w:rFonts w:ascii="Times New Roman" w:hAnsi="Times New Roman" w:eastAsia="宋体" w:cs="Times New Roman"/>
          <w:b/>
          <w:bCs/>
        </w:rPr>
        <w:t>Samples used in this study and the corresponding localities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2554"/>
        <w:gridCol w:w="3008"/>
        <w:gridCol w:w="152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8"/>
                <w:szCs w:val="18"/>
              </w:rPr>
              <w:t>Sample code</w:t>
            </w:r>
          </w:p>
        </w:tc>
        <w:tc>
          <w:tcPr>
            <w:tcW w:w="255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Latin name</w:t>
            </w:r>
          </w:p>
        </w:tc>
        <w:tc>
          <w:tcPr>
            <w:tcW w:w="300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Locality</w:t>
            </w:r>
          </w:p>
        </w:tc>
        <w:tc>
          <w:tcPr>
            <w:tcW w:w="152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Collected parts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</w:t>
            </w:r>
          </w:p>
        </w:tc>
        <w:tc>
          <w:tcPr>
            <w:tcW w:w="255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Paris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Shimian,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Pingwu Xiangyan,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Pingwu Mupi,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Tianquan,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Xingshan Shuiyuesi,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Hubei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PengzhouGexianshan,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PengzhouGexianshan,Sichuan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PengzhouGexianshan,Sichuan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PengzhouGexianshan,Sichuan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Qingxia,Sichuan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Fengcheng,Jiangxi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Emeishan Zhongfeng,Sichuan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Emeishan Zhongfeng,Sichuan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Yingjing,Sichuan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H19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Yanqiao,Sichuan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Yanchang,Sichuan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Yanchang,Sichuan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Xingshan Shuiyuesi,Hubei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Dujiangyan,Sichuan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Luzhou,Sichuan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Luzhou,Sichuan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Nianyang Anxian,Sichuan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Nianyang Anxian,Sichuan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H29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H30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H31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Huanyuan,Sichuan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H32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Huanyuan,Sichuan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H33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Liping Long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 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H34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polyphylla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Style w:val="6"/>
                <w:rFonts w:eastAsia="宋体"/>
                <w:i/>
                <w:iCs/>
                <w:kern w:val="0"/>
                <w:sz w:val="18"/>
                <w:szCs w:val="18"/>
              </w:rPr>
              <w:t>chinensis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Liping Long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 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 Shuijing,Sichuan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 Shuijing,Sichuan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Bijie Tianbaqiao,Guizhou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Bijie Tianbaqiao,Guizhou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Bijie Qixingguan,Guizhou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Bijie Qixingguan,Guizhou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Dafang,Guizhou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Pu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er,Yunnan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Pu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er,Yunnan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YN14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Pu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er,Yunnan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YN15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Pu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er,Yunnan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Longli,Guizhou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Longli,Guizhou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*YN18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Longli,Guizhou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YN19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longchang,Yunnan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longchang,Yunnan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longchang,Yunnan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longchang,Yunnan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Xize,Yunnan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Xize,Yunnan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Xize,Yunnan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Xuanwei Xize,yunnan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Xingyi,Guizhou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Changshun Guangshun,Guizhou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YN29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Changshun Guangshun,Guizhou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YN30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Shimian Tianwan,Sichuan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YN31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Shimian Tianwan,Sichuan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YN32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Shimian Tianwan,Sichuan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YN33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Shimian Tianwan,Sichuan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*YN34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Gengma,Yunnan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*YN35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YN36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Huili Baiji,Sichuan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*YN37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Changshun Guangshun,Guizhou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*YN38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Changshun Guangshun,Guizhou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*YN39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Jinping,Yunnan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Huashuiwan,Sichuan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Huashuiwan,Sichuan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Huashuiwan,Sichuan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Anshun,Guizhou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Anshun,Guizhou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Gengma,Yunnan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 Langdai,Guizhou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 Langdai,Guizhou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*YN49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 Langdai,Guizhou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*YN50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*YN51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Liuzhi,Guizhou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*YN52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*YN53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*YN54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YN55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YN56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YN57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YN58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Tengchong Mingguang,Yunnan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YN59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Tengchong Mingguang,Yunnan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Tengchong Jietou,Yunnan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Tengchong Jietou,Yunnan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Yanyuan Yantang,Sichuan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Yanyuan Yantang,Sichuan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Yanbian Gesala,Sichuan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YN65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P. polyphylla</w:t>
            </w:r>
            <w:r>
              <w:rPr>
                <w:rStyle w:val="8"/>
                <w:rFonts w:eastAsia="宋体"/>
                <w:kern w:val="0"/>
                <w:sz w:val="18"/>
                <w:szCs w:val="18"/>
              </w:rPr>
              <w:t xml:space="preserve"> var. </w:t>
            </w:r>
            <w:r>
              <w:rPr>
                <w:rStyle w:val="7"/>
                <w:rFonts w:eastAsia="宋体"/>
                <w:i/>
                <w:iCs/>
                <w:kern w:val="0"/>
                <w:sz w:val="18"/>
                <w:szCs w:val="18"/>
              </w:rPr>
              <w:t>yunnanensis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Yanbian Gesala,Sichuan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Goujia,Sichuan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hanyuan,Sichuan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Liangshan Puge,Sichuan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Pingwu Xiangyan,Sichuan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Wenxian Tielou,Gansu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DY17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Xingshan Shuiyuesi,Hubei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Xiling,Sichuan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bookmarkStart w:id="0" w:name="OLE_LINK7"/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  <w:bookmarkEnd w:id="0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Gulin,Sichuan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rhizome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rhizome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Liupanshui Shuicheng,Guizhou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XY9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Liupanshui Shuicheng,Guizhou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XY10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P. polyphylla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stenophylla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N1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color w:val="auto"/>
                <w:kern w:val="0"/>
                <w:sz w:val="18"/>
                <w:szCs w:val="18"/>
              </w:rPr>
              <w:t>Paris vietnamensis</w:t>
            </w:r>
            <w:r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 (Takht.) H. Li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Jinping,Yunnan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Jinping,Yunnan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Jinping,Yunnan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Jinping,Yunnan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Lao Cai,Vietnam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Lao Cai,Vietnam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Phôngsali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,Laos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N8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veitnamensis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Phôngsali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,Laos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WZL1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color w:val="auto"/>
                <w:kern w:val="0"/>
                <w:sz w:val="18"/>
                <w:szCs w:val="18"/>
              </w:rPr>
              <w:t>Paris axialis</w:t>
            </w:r>
            <w:r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 H. Li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WZL2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bookmarkStart w:id="1" w:name="OLE_LINK34"/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axialis</w:t>
            </w:r>
            <w:bookmarkEnd w:id="1"/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WZL3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axialis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Chongzhoiu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WZL4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axialis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Chongzhoiu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WZL5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axialis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Ya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 Yingjing,Sichuan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PF1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color w:val="auto"/>
                <w:kern w:val="0"/>
                <w:sz w:val="18"/>
                <w:szCs w:val="18"/>
              </w:rPr>
              <w:t>Paris vaniotii</w:t>
            </w:r>
            <w:r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 H. Lév.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Chongzhou Goujia,Sichuan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PF2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bookmarkStart w:id="2" w:name="OLE_LINK35"/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vaniotii</w:t>
            </w:r>
            <w:bookmarkEnd w:id="2"/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Huashuiwan,Sichuan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PF3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vaniotii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Shimian,Sichuan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PF4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vaniotii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Bailuzhen,Sichuan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PF5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vaniotii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Bailuzhen,Sichuan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PF6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vaniotii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Chongzhoiu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PF7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vaniotii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Chongzhoiu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Paris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Chongzhoiu Yulang,Sichuan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Goujia,Sichuan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Pingwu Mupi,Sichuan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Dayi Huashuiwan,Sichuan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Laifeng,Hubei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Jinggangshan Huangyangjie,Jiangxi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Q13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Q14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Q15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Q16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Shuangpai,Hunan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Q17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Shuangpai,Hunan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Q18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Q19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Q20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Laifeng,Hubei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Q21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Laifeng,Hubei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Q22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 xml:space="preserve"> fargesii</w:t>
            </w: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 xml:space="preserve"> var. </w:t>
            </w:r>
            <w:r>
              <w:rPr>
                <w:rFonts w:hint="default" w:ascii="Times New Roman" w:hAnsi="Times New Roman" w:eastAsia="宋体" w:cs="宋体"/>
                <w:i/>
                <w:iCs/>
                <w:kern w:val="0"/>
                <w:sz w:val="18"/>
                <w:szCs w:val="18"/>
              </w:rPr>
              <w:t>fargesii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Shuicheng,Guizhou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HZ1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Dayi Xiling,Sichuan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HZ2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Pingwu Mupi,Sichuan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HZ3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Wenxian Tielou,Gansu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HZ4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Anxian Gaochuan,Sichuan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HZ5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Anxian Gaochuan,Sichuan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HZ6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HZ7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Beichuan Xiaoba,Sichuan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HZ8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HZ9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Pengzhou Bailu,sichuan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HZ10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HZ11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Chongzhou Jiguanshan,Sichuan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HZ12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Emeishan,Sichuan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HZ13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 xml:space="preserve">P. 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hibetica</w:t>
            </w:r>
            <w:r>
              <w:rPr>
                <w:rFonts w:hint="eastAsia" w:ascii="Times New Roman" w:hAnsi="Times New Roman" w:eastAsia="宋体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var. </w:t>
            </w:r>
            <w:r>
              <w:rPr>
                <w:rFonts w:hint="default" w:ascii="Times New Roman" w:hAnsi="Times New Roman" w:eastAsia="宋体" w:cs="Times New Roman"/>
                <w:i/>
                <w:iCs/>
                <w:kern w:val="0"/>
                <w:sz w:val="18"/>
                <w:szCs w:val="18"/>
              </w:rPr>
              <w:t>thibetica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Emeishan,Sichuan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CZ1</w:t>
            </w:r>
          </w:p>
        </w:tc>
        <w:tc>
          <w:tcPr>
            <w:tcW w:w="25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i/>
                <w:iCs/>
                <w:color w:val="auto"/>
                <w:kern w:val="0"/>
                <w:sz w:val="18"/>
                <w:szCs w:val="18"/>
              </w:rPr>
              <w:t>Paris forrestii</w:t>
            </w:r>
            <w:r>
              <w:rPr>
                <w:rFonts w:hint="default" w:ascii="Times New Roman" w:hAnsi="Times New Roman" w:eastAsia="宋体" w:cs="宋体"/>
                <w:color w:val="auto"/>
                <w:kern w:val="0"/>
                <w:sz w:val="18"/>
                <w:szCs w:val="18"/>
              </w:rPr>
              <w:t> (Takht.) H. Li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Tengchong,Yunnan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</w:rPr>
              <w:t>leaf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CZ2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forrestii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Tengchong,Yunnan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 xml:space="preserve">rhizome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</w:rPr>
              <w:t>CZ3</w:t>
            </w:r>
          </w:p>
        </w:tc>
        <w:tc>
          <w:tcPr>
            <w:tcW w:w="255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>.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 forrestii</w:t>
            </w:r>
          </w:p>
        </w:tc>
        <w:tc>
          <w:tcPr>
            <w:tcW w:w="3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Tengchong,Yunnan</w:t>
            </w:r>
          </w:p>
        </w:tc>
        <w:tc>
          <w:tcPr>
            <w:tcW w:w="15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leaf</w:t>
            </w:r>
          </w:p>
        </w:tc>
      </w:tr>
    </w:tbl>
    <w:p>
      <w:pPr>
        <w:spacing w:line="480" w:lineRule="auto"/>
        <w:jc w:val="left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 xml:space="preserve">Note: The samples of PPY marked with </w:t>
      </w:r>
      <w:r>
        <w:rPr>
          <w:rFonts w:hint="default" w:ascii="Times New Roman" w:hAnsi="Times New Roman" w:eastAsia="宋体" w:cs="Times New Roman"/>
          <w:lang w:val="en-US" w:eastAsia="zh-CN"/>
        </w:rPr>
        <w:t>“</w:t>
      </w:r>
      <w:r>
        <w:rPr>
          <w:rFonts w:hint="eastAsia" w:ascii="Times New Roman" w:hAnsi="Times New Roman" w:eastAsia="宋体" w:cs="Times New Roman"/>
          <w:lang w:val="en-US" w:eastAsia="zh-CN"/>
        </w:rPr>
        <w:t>*</w:t>
      </w:r>
      <w:r>
        <w:rPr>
          <w:rFonts w:hint="default" w:ascii="Times New Roman" w:hAnsi="Times New Roman" w:eastAsia="宋体" w:cs="Times New Roman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lang w:val="en-US" w:eastAsia="zh-CN"/>
        </w:rPr>
        <w:t xml:space="preserve"> were genotype II, while those not marked were genotype I.</w:t>
      </w: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</w:rPr>
        <w:t>2.</w:t>
      </w:r>
      <w:bookmarkStart w:id="3" w:name="OLE_LINK4"/>
      <w:r>
        <w:rPr>
          <w:rFonts w:hint="eastAsia" w:ascii="Times New Roman" w:hAnsi="Times New Roman" w:eastAsia="宋体" w:cs="Times New Roman"/>
          <w:b/>
          <w:bCs/>
        </w:rPr>
        <w:t xml:space="preserve"> </w:t>
      </w:r>
      <w:bookmarkEnd w:id="3"/>
      <w:r>
        <w:rPr>
          <w:rFonts w:hint="eastAsia" w:ascii="Times New Roman" w:hAnsi="Times New Roman" w:eastAsia="宋体" w:cs="Times New Roman"/>
          <w:b/>
          <w:bCs/>
        </w:rPr>
        <w:t>PPY</w:t>
      </w:r>
      <w:r>
        <w:rPr>
          <w:rStyle w:val="7"/>
          <w:rFonts w:hint="eastAsia" w:eastAsia="宋体"/>
          <w:b/>
          <w:bCs/>
          <w:i/>
          <w:iCs/>
          <w:kern w:val="0"/>
          <w:sz w:val="21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</w:rPr>
        <w:t>primer sequence</w:t>
      </w:r>
    </w:p>
    <w:tbl>
      <w:tblPr>
        <w:tblStyle w:val="3"/>
        <w:tblW w:w="8433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5"/>
        <w:gridCol w:w="1230"/>
        <w:gridCol w:w="3238"/>
        <w:gridCol w:w="810"/>
        <w:gridCol w:w="975"/>
        <w:gridCol w:w="6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Primers category</w:t>
            </w:r>
          </w:p>
        </w:tc>
        <w:tc>
          <w:tcPr>
            <w:tcW w:w="1230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name</w:t>
            </w:r>
          </w:p>
        </w:tc>
        <w:tc>
          <w:tcPr>
            <w:tcW w:w="3238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sequence（5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-3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10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dsDNA</w:t>
            </w:r>
          </w:p>
        </w:tc>
        <w:tc>
          <w:tcPr>
            <w:tcW w:w="97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TM</w:t>
            </w:r>
          </w:p>
        </w:tc>
        <w:tc>
          <w:tcPr>
            <w:tcW w:w="695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GC%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Former primer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YN-I</w:t>
            </w:r>
          </w:p>
        </w:tc>
        <w:tc>
          <w:tcPr>
            <w:tcW w:w="1230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F1</w:t>
            </w:r>
          </w:p>
        </w:tc>
        <w:tc>
          <w:tcPr>
            <w:tcW w:w="3238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CACTCGCCGTGTCCGTCTA</w:t>
            </w:r>
          </w:p>
        </w:tc>
        <w:tc>
          <w:tcPr>
            <w:tcW w:w="810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</w:t>
            </w:r>
          </w:p>
        </w:tc>
        <w:tc>
          <w:tcPr>
            <w:tcW w:w="695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F11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CCACTCGCCGTGTCCGTCTA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64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ACTTTTGACCCACGGGCA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59.1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55.6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AAC</w:t>
            </w:r>
            <w:r>
              <w:rPr>
                <w:rStyle w:val="6"/>
                <w:rFonts w:eastAsia="宋体"/>
                <w:sz w:val="18"/>
                <w:szCs w:val="18"/>
              </w:rPr>
              <w:t>ACTTTTGACCCACG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A</w:t>
            </w:r>
            <w:r>
              <w:rPr>
                <w:rStyle w:val="6"/>
                <w:rFonts w:eastAsia="宋体"/>
                <w:sz w:val="18"/>
                <w:szCs w:val="18"/>
              </w:rPr>
              <w:t>GCA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60.5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47.6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AACACTTTTGACCAACAGGCA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45.5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CAACACTTTTGACCCACAGGCA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63.2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F24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CACTTTTGACCCACGGGCA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62.2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57.9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CACTTTTGACCCACGGGCA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61.9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F31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GTCGCAATGCTAGGCAACA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6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60.2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57.9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F4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6"/>
                <w:rFonts w:eastAsia="宋体"/>
                <w:sz w:val="18"/>
                <w:szCs w:val="18"/>
              </w:rPr>
              <w:t>GTCGCAATGCTAGGCA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C</w:t>
            </w:r>
            <w:r>
              <w:rPr>
                <w:rStyle w:val="6"/>
                <w:rFonts w:eastAsia="宋体"/>
                <w:sz w:val="18"/>
                <w:szCs w:val="18"/>
              </w:rPr>
              <w:t>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64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61.1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F5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GCGTGCCCTTTGCCGAAT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63.5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45.5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After the primer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YN-I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AAACATAAGGCGACGGCATCAT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59.6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57.9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R1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CAACTATGCCCGTGGGTCA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 xml:space="preserve">R2 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CCAACTATGCTCGTGGGTCA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59.9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47.8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9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CTGTCATTAGATGATGCAGTGGC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9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59.5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47.8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9"/>
                <w:rFonts w:eastAsia="宋体"/>
                <w:sz w:val="18"/>
                <w:szCs w:val="18"/>
              </w:rPr>
              <w:t>CTGTCATTAGATGA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A</w:t>
            </w:r>
            <w:r>
              <w:rPr>
                <w:rStyle w:val="9"/>
                <w:rFonts w:eastAsia="宋体"/>
                <w:sz w:val="18"/>
                <w:szCs w:val="18"/>
              </w:rPr>
              <w:t>GCAG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A</w:t>
            </w:r>
            <w:r>
              <w:rPr>
                <w:rStyle w:val="9"/>
                <w:rFonts w:eastAsia="宋体"/>
                <w:sz w:val="18"/>
                <w:szCs w:val="18"/>
              </w:rPr>
              <w:t>CGC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45.8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6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ACTGTCATTAGATGATGCAGTGGC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6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61.8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R24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6"/>
                <w:rFonts w:eastAsia="宋体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T</w:t>
            </w:r>
            <w:r>
              <w:rPr>
                <w:rStyle w:val="6"/>
                <w:rFonts w:eastAsia="宋体"/>
                <w:sz w:val="18"/>
                <w:szCs w:val="18"/>
              </w:rPr>
              <w:t>CT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C</w:t>
            </w:r>
            <w:r>
              <w:rPr>
                <w:rStyle w:val="6"/>
                <w:rFonts w:eastAsia="宋体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G</w:t>
            </w:r>
            <w:r>
              <w:rPr>
                <w:rStyle w:val="6"/>
                <w:rFonts w:eastAsia="宋体"/>
                <w:sz w:val="18"/>
                <w:szCs w:val="18"/>
              </w:rPr>
              <w:t>ATTAGATGATG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T</w:t>
            </w:r>
            <w:r>
              <w:rPr>
                <w:rStyle w:val="6"/>
                <w:rFonts w:eastAsia="宋体"/>
                <w:sz w:val="18"/>
                <w:szCs w:val="18"/>
              </w:rPr>
              <w:t>AG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C</w:t>
            </w:r>
            <w:r>
              <w:rPr>
                <w:rStyle w:val="6"/>
                <w:rFonts w:eastAsia="宋体"/>
                <w:sz w:val="18"/>
                <w:szCs w:val="18"/>
              </w:rPr>
              <w:t>GGC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63.6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CA</w:t>
            </w:r>
            <w:r>
              <w:rPr>
                <w:rStyle w:val="6"/>
                <w:rFonts w:eastAsia="宋体"/>
                <w:sz w:val="18"/>
                <w:szCs w:val="18"/>
              </w:rPr>
              <w:t>CTGTCATTAGATGATGCAGTGGC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59.6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R31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GAAGAGTGGGATGCCAACGT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61.7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52.4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R4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T</w:t>
            </w:r>
            <w:r>
              <w:rPr>
                <w:rStyle w:val="9"/>
                <w:rFonts w:eastAsia="宋体"/>
                <w:color w:val="auto"/>
                <w:sz w:val="18"/>
                <w:szCs w:val="18"/>
              </w:rPr>
              <w:t>G</w:t>
            </w:r>
            <w:r>
              <w:rPr>
                <w:rStyle w:val="9"/>
                <w:rFonts w:eastAsia="宋体"/>
                <w:sz w:val="18"/>
                <w:szCs w:val="18"/>
              </w:rPr>
              <w:t>AAGAGTGGGATGCCAA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</w:rPr>
              <w:t>G</w:t>
            </w:r>
            <w:r>
              <w:rPr>
                <w:rStyle w:val="9"/>
                <w:rFonts w:eastAsia="宋体"/>
                <w:sz w:val="18"/>
                <w:szCs w:val="18"/>
              </w:rPr>
              <w:t>GT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60.7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41.7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R5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GTAGCGAAATGCGATACTTGATGT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62.6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54.5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R6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GCGTCGCTCTGTGCCTACTAT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63.2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43.5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Former primer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YN-II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AACGGATGACGATTATGGTGGAA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CG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CACAAGAACACGGGAGGT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60.9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47.6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8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GCATCGGCTAATGACAATGGA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8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60.3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47.6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F22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8"/>
                <w:rFonts w:eastAsia="宋体"/>
                <w:sz w:val="18"/>
                <w:szCs w:val="18"/>
              </w:rPr>
              <w:t>GCATCGGCTAATGACAA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Style w:val="8"/>
                <w:rFonts w:eastAsia="宋体"/>
                <w:sz w:val="18"/>
                <w:szCs w:val="18"/>
              </w:rPr>
              <w:t>GGA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60.6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43.5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CT</w:t>
            </w:r>
            <w:r>
              <w:rPr>
                <w:rStyle w:val="8"/>
                <w:rFonts w:eastAsia="宋体"/>
                <w:sz w:val="18"/>
                <w:szCs w:val="18"/>
              </w:rPr>
              <w:t>GCATCGGCTAATGACAATG</w:t>
            </w:r>
            <w:r>
              <w:rPr>
                <w:rStyle w:val="10"/>
                <w:rFonts w:eastAsia="宋体"/>
                <w:sz w:val="18"/>
                <w:szCs w:val="18"/>
              </w:rPr>
              <w:t>T</w:t>
            </w:r>
            <w:r>
              <w:rPr>
                <w:rStyle w:val="8"/>
                <w:rFonts w:eastAsia="宋体"/>
                <w:sz w:val="18"/>
                <w:szCs w:val="18"/>
              </w:rPr>
              <w:t>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62.4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F31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CACTCGCCGTGTTGGTCTCA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59.2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F4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CACTCGCCGT</w:t>
            </w:r>
            <w:r>
              <w:rPr>
                <w:rStyle w:val="10"/>
                <w:rFonts w:eastAsia="宋体"/>
                <w:sz w:val="18"/>
                <w:szCs w:val="18"/>
              </w:rPr>
              <w:t>AC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TGGTCTCA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63.7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66.7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F41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8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CCTACCGCGCGCACAAGA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8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62.5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66.7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After the primer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YN-II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8"/>
                <w:rFonts w:eastAsia="宋体"/>
                <w:sz w:val="18"/>
                <w:szCs w:val="18"/>
              </w:rPr>
              <w:t>CCTACCGC</w:t>
            </w:r>
            <w:r>
              <w:rPr>
                <w:rStyle w:val="10"/>
                <w:rFonts w:eastAsia="宋体"/>
                <w:sz w:val="18"/>
                <w:szCs w:val="18"/>
              </w:rPr>
              <w:t>C</w:t>
            </w:r>
            <w:r>
              <w:rPr>
                <w:rStyle w:val="8"/>
                <w:rFonts w:eastAsia="宋体"/>
                <w:sz w:val="18"/>
                <w:szCs w:val="18"/>
              </w:rPr>
              <w:t>CGCACAAGA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60.4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AAGCC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AAAGCCCCTACACCT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62.6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57.1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R21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GCCTGGGCGTCACGTCTTATA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62.9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52.2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R22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CT</w:t>
            </w:r>
            <w:r>
              <w:rPr>
                <w:rStyle w:val="8"/>
                <w:rFonts w:eastAsia="宋体"/>
                <w:sz w:val="18"/>
                <w:szCs w:val="18"/>
              </w:rPr>
              <w:t>GCCTGTGCG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Style w:val="8"/>
                <w:rFonts w:eastAsia="宋体"/>
                <w:sz w:val="18"/>
                <w:szCs w:val="18"/>
              </w:rPr>
              <w:t>CACGTCTTATA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59.8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47.8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CT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GCCT</w:t>
            </w:r>
            <w:r>
              <w:rPr>
                <w:rStyle w:val="10"/>
                <w:rFonts w:eastAsia="宋体"/>
                <w:sz w:val="18"/>
                <w:szCs w:val="18"/>
              </w:rPr>
              <w:t>TC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Style w:val="10"/>
                <w:rFonts w:eastAsia="宋体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CAC</w:t>
            </w:r>
            <w:r>
              <w:rPr>
                <w:rStyle w:val="10"/>
                <w:rFonts w:eastAsia="宋体"/>
                <w:sz w:val="18"/>
                <w:szCs w:val="18"/>
              </w:rPr>
              <w:t>AA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CTT</w:t>
            </w:r>
            <w:r>
              <w:rPr>
                <w:rStyle w:val="10"/>
                <w:rFonts w:eastAsia="宋体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60.1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44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R24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GCCT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TGG</w:t>
            </w:r>
            <w:r>
              <w:rPr>
                <w:rStyle w:val="10"/>
                <w:rFonts w:eastAsia="宋体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CGT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ACGTCTTATA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63.7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57.1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R25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GCCTGGG</w:t>
            </w:r>
            <w:r>
              <w:rPr>
                <w:rStyle w:val="10"/>
                <w:rFonts w:eastAsia="宋体"/>
                <w:sz w:val="18"/>
                <w:szCs w:val="18"/>
              </w:rPr>
              <w:t>G</w:t>
            </w:r>
            <w:r>
              <w:rPr>
                <w:rStyle w:val="7"/>
                <w:rFonts w:eastAsia="宋体"/>
                <w:sz w:val="18"/>
                <w:szCs w:val="18"/>
              </w:rPr>
              <w:t>GTCACG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Style w:val="7"/>
                <w:rFonts w:eastAsia="宋体"/>
                <w:sz w:val="18"/>
                <w:szCs w:val="18"/>
              </w:rPr>
              <w:t>CTT</w:t>
            </w:r>
            <w:r>
              <w:rPr>
                <w:rStyle w:val="10"/>
                <w:rFonts w:eastAsia="宋体"/>
                <w:sz w:val="18"/>
                <w:szCs w:val="18"/>
              </w:rPr>
              <w:t>T</w:t>
            </w:r>
            <w:r>
              <w:rPr>
                <w:rStyle w:val="7"/>
                <w:rFonts w:eastAsia="宋体"/>
                <w:sz w:val="18"/>
                <w:szCs w:val="18"/>
              </w:rPr>
              <w:t>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63.1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61.9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R26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GCCTGGG</w:t>
            </w:r>
            <w:r>
              <w:rPr>
                <w:rStyle w:val="10"/>
                <w:rFonts w:eastAsia="宋体"/>
                <w:sz w:val="18"/>
                <w:szCs w:val="18"/>
              </w:rPr>
              <w:t>G</w:t>
            </w:r>
            <w:r>
              <w:rPr>
                <w:rStyle w:val="7"/>
                <w:rFonts w:eastAsia="宋体"/>
                <w:sz w:val="18"/>
                <w:szCs w:val="18"/>
              </w:rPr>
              <w:t>GTCACG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Style w:val="7"/>
                <w:rFonts w:eastAsia="宋体"/>
                <w:sz w:val="18"/>
                <w:szCs w:val="18"/>
              </w:rPr>
              <w:t>CTT</w:t>
            </w:r>
            <w:r>
              <w:rPr>
                <w:rStyle w:val="10"/>
                <w:rFonts w:eastAsia="宋体"/>
                <w:sz w:val="18"/>
                <w:szCs w:val="18"/>
              </w:rPr>
              <w:t>C</w:t>
            </w:r>
            <w:r>
              <w:rPr>
                <w:rStyle w:val="7"/>
                <w:rFonts w:eastAsia="宋体"/>
                <w:sz w:val="18"/>
                <w:szCs w:val="18"/>
              </w:rPr>
              <w:t>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Style w:val="7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60.4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YN-II</w:t>
            </w: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R3</w:t>
            </w:r>
          </w:p>
        </w:tc>
        <w:tc>
          <w:tcPr>
            <w:tcW w:w="32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Style w:val="7"/>
                <w:rFonts w:eastAsia="宋体"/>
                <w:sz w:val="18"/>
                <w:szCs w:val="18"/>
              </w:rPr>
              <w:t>CCTGGG</w:t>
            </w:r>
            <w:r>
              <w:rPr>
                <w:rStyle w:val="10"/>
                <w:rFonts w:eastAsia="宋体"/>
                <w:sz w:val="18"/>
                <w:szCs w:val="18"/>
              </w:rPr>
              <w:t>G</w:t>
            </w:r>
            <w:r>
              <w:rPr>
                <w:rStyle w:val="7"/>
                <w:rFonts w:eastAsia="宋体"/>
                <w:sz w:val="18"/>
                <w:szCs w:val="18"/>
              </w:rPr>
              <w:t>GTCACG</w:t>
            </w:r>
            <w:r>
              <w:rPr>
                <w:rStyle w:val="10"/>
                <w:rFonts w:eastAsia="宋体"/>
                <w:sz w:val="18"/>
                <w:szCs w:val="18"/>
              </w:rPr>
              <w:t>A</w:t>
            </w:r>
            <w:r>
              <w:rPr>
                <w:rStyle w:val="7"/>
                <w:rFonts w:eastAsia="宋体"/>
                <w:sz w:val="18"/>
                <w:szCs w:val="18"/>
              </w:rPr>
              <w:t>CTT</w:t>
            </w:r>
            <w:r>
              <w:rPr>
                <w:rStyle w:val="10"/>
                <w:rFonts w:eastAsia="宋体"/>
                <w:sz w:val="18"/>
                <w:szCs w:val="18"/>
              </w:rPr>
              <w:t>G</w:t>
            </w:r>
            <w:r>
              <w:rPr>
                <w:rStyle w:val="7"/>
                <w:rFonts w:eastAsia="宋体"/>
                <w:sz w:val="18"/>
                <w:szCs w:val="18"/>
              </w:rPr>
              <w:t>TA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61.2</w:t>
            </w:r>
          </w:p>
        </w:tc>
        <w:tc>
          <w:tcPr>
            <w:tcW w:w="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kern w:val="0"/>
                <w:sz w:val="18"/>
                <w:szCs w:val="18"/>
              </w:rPr>
              <w:t>57.9</w:t>
            </w:r>
          </w:p>
        </w:tc>
      </w:tr>
    </w:tbl>
    <w:p>
      <w:pPr>
        <w:spacing w:line="480" w:lineRule="auto"/>
        <w:rPr>
          <w:rFonts w:ascii="Times New Roman" w:hAnsi="Times New Roman"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rPr>
          <w:rFonts w:ascii="Times New Roman" w:hAnsi="Times New Roman" w:eastAsia="宋体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</w:rPr>
        <w:t>3. SNP sites of two genotypes in PPY</w:t>
      </w:r>
    </w:p>
    <w:tbl>
      <w:tblPr>
        <w:tblStyle w:val="3"/>
        <w:tblW w:w="0" w:type="auto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600"/>
        <w:gridCol w:w="645"/>
        <w:gridCol w:w="645"/>
        <w:gridCol w:w="705"/>
        <w:gridCol w:w="690"/>
        <w:gridCol w:w="720"/>
        <w:gridCol w:w="750"/>
        <w:gridCol w:w="645"/>
        <w:gridCol w:w="720"/>
        <w:gridCol w:w="720"/>
        <w:gridCol w:w="621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  <w:tcBorders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bCs/>
                <w:sz w:val="18"/>
                <w:szCs w:val="18"/>
              </w:rPr>
              <w:t>G</w:t>
            </w:r>
            <w:r>
              <w:rPr>
                <w:rFonts w:hint="default" w:ascii="Times New Roman" w:hAnsi="Times New Roman"/>
                <w:sz w:val="18"/>
                <w:szCs w:val="18"/>
              </w:rPr>
              <w:t>enotypes</w:t>
            </w:r>
          </w:p>
        </w:tc>
        <w:tc>
          <w:tcPr>
            <w:tcW w:w="7461" w:type="dxa"/>
            <w:gridSpan w:val="11"/>
            <w:tcBorders>
              <w:bottom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V</w:t>
            </w:r>
            <w:r>
              <w:rPr>
                <w:rFonts w:hint="eastAsia" w:ascii="Times New Roman" w:hAnsi="Times New Roman"/>
                <w:sz w:val="18"/>
                <w:szCs w:val="18"/>
              </w:rPr>
              <w:t>ariation sites(bp)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  <w:tcBorders>
              <w:top w:val="single" w:color="000000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645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645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705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690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55</w:t>
            </w:r>
          </w:p>
        </w:tc>
        <w:tc>
          <w:tcPr>
            <w:tcW w:w="750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62</w:t>
            </w:r>
          </w:p>
        </w:tc>
        <w:tc>
          <w:tcPr>
            <w:tcW w:w="645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127</w:t>
            </w:r>
          </w:p>
        </w:tc>
        <w:tc>
          <w:tcPr>
            <w:tcW w:w="720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131</w:t>
            </w:r>
          </w:p>
        </w:tc>
        <w:tc>
          <w:tcPr>
            <w:tcW w:w="621" w:type="dxa"/>
            <w:tcBorders>
              <w:top w:val="single" w:color="000000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180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183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193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197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201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211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212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223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395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411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412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413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439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443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462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471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476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482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500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520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521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526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527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594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596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599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604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612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615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622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A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YN-II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7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G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  <w:r>
              <w:rPr>
                <w:rFonts w:hint="default"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64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contextualSpacing/>
              <w:jc w:val="center"/>
              <w:rPr>
                <w:rFonts w:hint="default" w:ascii="Times New Roman" w:hAnsi="Times New Roman"/>
                <w:sz w:val="18"/>
                <w:szCs w:val="18"/>
              </w:rPr>
            </w:pPr>
          </w:p>
        </w:tc>
      </w:tr>
    </w:tbl>
    <w:p>
      <w:pPr>
        <w:spacing w:line="480" w:lineRule="auto"/>
        <w:jc w:val="left"/>
        <w:rPr>
          <w:rFonts w:ascii="Times New Roman" w:hAnsi="Times New Roman"/>
          <w:sz w:val="24"/>
          <w:szCs w:val="21"/>
        </w:rPr>
      </w:pPr>
    </w:p>
    <w:p>
      <w:pPr>
        <w:spacing w:line="480" w:lineRule="auto"/>
        <w:jc w:val="left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</w:rPr>
        <w:drawing>
          <wp:inline distT="0" distB="0" distL="114300" distR="114300">
            <wp:extent cx="5274310" cy="52539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</w:rPr>
        <w:t xml:space="preserve">Figure 1. Phylogenetic tree of the </w:t>
      </w:r>
      <w:r>
        <w:rPr>
          <w:rFonts w:hint="eastAsia" w:ascii="Times New Roman" w:hAnsi="Times New Roman"/>
          <w:b/>
          <w:bCs/>
          <w:i/>
          <w:iCs/>
        </w:rPr>
        <w:t>Paris</w:t>
      </w:r>
      <w:r>
        <w:rPr>
          <w:rFonts w:hint="eastAsia" w:ascii="Times New Roman" w:hAnsi="Times New Roman"/>
          <w:b/>
          <w:bCs/>
        </w:rPr>
        <w:t xml:space="preserve"> genus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</w:rPr>
        <w:t>constructed based on ITS.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1"/>
        </w:rPr>
      </w:pPr>
    </w:p>
    <w:p>
      <w:pPr>
        <w:spacing w:line="480" w:lineRule="auto"/>
        <w:jc w:val="left"/>
      </w:pPr>
    </w:p>
    <w:p>
      <w:pPr>
        <w:spacing w:line="480" w:lineRule="auto"/>
        <w:jc w:val="left"/>
      </w:pPr>
    </w:p>
    <w:p>
      <w:pPr>
        <w:spacing w:line="480" w:lineRule="auto"/>
        <w:jc w:val="left"/>
      </w:pPr>
    </w:p>
    <w:p>
      <w:pPr>
        <w:spacing w:line="480" w:lineRule="auto"/>
        <w:jc w:val="left"/>
      </w:pPr>
    </w:p>
    <w:p>
      <w:pPr>
        <w:spacing w:line="480" w:lineRule="auto"/>
        <w:jc w:val="left"/>
      </w:pPr>
    </w:p>
    <w:p>
      <w:pPr>
        <w:spacing w:line="480" w:lineRule="auto"/>
        <w:jc w:val="left"/>
      </w:pPr>
    </w:p>
    <w:p>
      <w:pPr>
        <w:spacing w:line="480" w:lineRule="auto"/>
        <w:jc w:val="left"/>
      </w:pPr>
    </w:p>
    <w:p>
      <w:pPr>
        <w:spacing w:line="480" w:lineRule="auto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663315"/>
            <wp:effectExtent l="0" t="0" r="4445" b="9525"/>
            <wp:docPr id="42" name="图片 4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6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hint="eastAsia" w:ascii="Times New Roman" w:hAnsi="Times New Roman" w:cs="Times New Roman" w:eastAsiaTheme="minorEastAsia"/>
          <w:b/>
          <w:bCs/>
          <w:color w:val="FF0000"/>
          <w:lang w:val="en-US" w:eastAsia="zh-CN"/>
        </w:rPr>
      </w:pPr>
      <w:r>
        <w:rPr>
          <w:rFonts w:ascii="Times New Roman" w:hAnsi="Times New Roman" w:cs="Times New Roman"/>
          <w:b/>
          <w:bCs/>
          <w:color w:val="FF0000"/>
        </w:rPr>
        <w:t>Fig</w:t>
      </w:r>
      <w:r>
        <w:rPr>
          <w:rFonts w:hint="eastAsia" w:ascii="Times New Roman" w:hAnsi="Times New Roman" w:cs="Times New Roman"/>
          <w:b/>
          <w:bCs/>
          <w:color w:val="FF0000"/>
        </w:rPr>
        <w:t>ure</w:t>
      </w:r>
      <w:r>
        <w:rPr>
          <w:rFonts w:ascii="Times New Roman" w:hAnsi="Times New Roman" w:cs="Times New Roman"/>
          <w:b/>
          <w:bCs/>
          <w:color w:val="FF0000"/>
        </w:rPr>
        <w:t xml:space="preserve"> 2</w:t>
      </w:r>
      <w:r>
        <w:rPr>
          <w:rFonts w:hint="eastAsia" w:ascii="Times New Roman" w:hAnsi="Times New Roman" w:cs="Times New Roman"/>
          <w:b/>
          <w:bCs/>
          <w:color w:val="FF0000"/>
        </w:rPr>
        <w:t>.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Optimization results of PCR reaction system of </w:t>
      </w:r>
      <w:r>
        <w:rPr>
          <w:rFonts w:ascii="Times New Roman" w:hAnsi="Times New Roman" w:cs="Times New Roman"/>
          <w:b/>
          <w:bCs/>
          <w:color w:val="FF0000"/>
        </w:rPr>
        <w:t>YN-I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.</w:t>
      </w:r>
    </w:p>
    <w:p>
      <w:pPr>
        <w:numPr>
          <w:ilvl w:val="0"/>
          <w:numId w:val="0"/>
        </w:numPr>
        <w:spacing w:line="480" w:lineRule="auto"/>
        <w:jc w:val="both"/>
        <w:rPr>
          <w:rFonts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a.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 xml:space="preserve">nvestigate into primer concentration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 xml:space="preserve">specific PCR </w:t>
      </w:r>
      <w:bookmarkStart w:id="4" w:name="OLE_LINK2"/>
      <w:r>
        <w:rPr>
          <w:rFonts w:ascii="Times New Roman" w:hAnsi="Times New Roman" w:cs="Times New Roman"/>
          <w:b/>
          <w:bCs/>
          <w:color w:val="FF0000"/>
        </w:rPr>
        <w:t>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</w:t>
      </w:r>
      <w:bookmarkEnd w:id="4"/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of</w: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bookmarkStart w:id="5" w:name="OLE_LINK1"/>
      <w:r>
        <w:rPr>
          <w:rFonts w:ascii="Times New Roman" w:hAnsi="Times New Roman" w:cs="Times New Roman"/>
          <w:b/>
          <w:bCs/>
          <w:color w:val="FF0000"/>
        </w:rPr>
        <w:t>YN-I</w:t>
      </w:r>
      <w:bookmarkEnd w:id="5"/>
      <w:r>
        <w:rPr>
          <w:rFonts w:ascii="Times New Roman" w:hAnsi="Times New Roman" w:cs="Times New Roman"/>
          <w:b/>
          <w:bCs/>
          <w:color w:val="FF0000"/>
        </w:rPr>
        <w:t>.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FF0000"/>
        </w:rPr>
        <w:t xml:space="preserve">M: Trans2K Plus DNA Marker. </w:t>
      </w:r>
      <w:bookmarkStart w:id="6" w:name="OLE_LINK11"/>
      <w:r>
        <w:rPr>
          <w:rFonts w:hint="eastAsia" w:ascii="Times New Roman" w:hAnsi="Times New Roman" w:eastAsia="宋体" w:cs="Times New Roman"/>
          <w:color w:val="FF0000"/>
        </w:rPr>
        <w:t>BC: blank control. I: PPY (YN-I).</w:t>
      </w:r>
      <w:bookmarkEnd w:id="6"/>
      <w:r>
        <w:rPr>
          <w:rFonts w:hint="eastAsia" w:ascii="Times New Roman" w:hAnsi="Times New Roman" w:eastAsia="宋体" w:cs="Times New Roman"/>
          <w:color w:val="FF0000"/>
        </w:rPr>
        <w:t xml:space="preserve"> NC: </w:t>
      </w:r>
      <w:r>
        <w:rPr>
          <w:rFonts w:hint="eastAsia" w:ascii="Times New Roman" w:hAnsi="Times New Roman" w:eastAsia="宋体" w:cs="Times New Roman"/>
          <w:i/>
          <w:iCs/>
          <w:color w:val="FF0000"/>
        </w:rPr>
        <w:t>P. polyphylla</w:t>
      </w:r>
      <w:r>
        <w:rPr>
          <w:rFonts w:hint="eastAsia" w:ascii="Times New Roman" w:hAnsi="Times New Roman" w:eastAsia="宋体" w:cs="Times New Roman"/>
          <w:color w:val="FF0000"/>
        </w:rPr>
        <w:t xml:space="preserve">, the same as below in this chapter. </w:t>
      </w:r>
      <w:r>
        <w:rPr>
          <w:rFonts w:ascii="Times New Roman" w:hAnsi="Times New Roman" w:eastAsia="宋体" w:cs="Times New Roman"/>
          <w:color w:val="FF0000"/>
        </w:rPr>
        <w:t>In the figure, the specific primer pairs were 0.3μM, 0.25μM, 0.2μM, 0.15μM, and 0.1μM</w:t>
      </w:r>
      <w:r>
        <w:rPr>
          <w:rFonts w:hint="eastAsia" w:ascii="Times New Roman" w:hAnsi="Times New Roman" w:eastAsia="宋体" w:cs="Times New Roman"/>
          <w:color w:val="FF0000"/>
        </w:rPr>
        <w:t xml:space="preserve">, </w:t>
      </w:r>
      <w:r>
        <w:rPr>
          <w:rFonts w:ascii="Times New Roman" w:hAnsi="Times New Roman" w:eastAsia="宋体" w:cs="Times New Roman"/>
          <w:color w:val="FF0000"/>
        </w:rPr>
        <w:t>respectively.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b.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a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nnealing temperature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 xml:space="preserve">The annealing temperatures were </w:t>
      </w:r>
      <w:r>
        <w:rPr>
          <w:rFonts w:ascii="Times New Roman" w:hAnsi="Times New Roman" w:eastAsia="宋体" w:cs="Times New Roman"/>
          <w:color w:val="FF0000"/>
        </w:rPr>
        <w:t xml:space="preserve">58℃, 60.6℃, 62℃, 63.7℃, 66.2℃, </w:t>
      </w:r>
      <w:r>
        <w:rPr>
          <w:rFonts w:hint="eastAsia" w:ascii="Times New Roman" w:hAnsi="Times New Roman" w:eastAsia="宋体" w:cs="Times New Roman"/>
          <w:color w:val="FF0000"/>
        </w:rPr>
        <w:t>and 68</w:t>
      </w:r>
      <w:r>
        <w:rPr>
          <w:rFonts w:ascii="Times New Roman" w:hAnsi="Times New Roman" w:eastAsia="宋体" w:cs="Times New Roman"/>
          <w:color w:val="FF0000"/>
        </w:rPr>
        <w:t>℃</w:t>
      </w:r>
      <w:r>
        <w:rPr>
          <w:rFonts w:hint="eastAsia" w:ascii="Times New Roman" w:hAnsi="Times New Roman" w:eastAsia="宋体" w:cs="Times New Roman"/>
          <w:color w:val="FF0000"/>
        </w:rPr>
        <w:t>, respectively.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c.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 xml:space="preserve">nvestigate into 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dNTP concentration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YN-I</w:t>
      </w:r>
      <w:r>
        <w:rPr>
          <w:rFonts w:hint="eastAsia" w:ascii="Times New Roman" w:hAnsi="Times New Roman" w:cs="Times New Roman"/>
          <w:b/>
          <w:bCs/>
          <w:color w:val="FF0000"/>
        </w:rPr>
        <w:t>.</w:t>
      </w:r>
      <w:r>
        <w:rPr>
          <w:rFonts w:hint="eastAsia" w:ascii="Times New Roman" w:hAnsi="Times New Roman" w:cs="Times New Roman"/>
          <w:b w:val="0"/>
          <w:bCs w:val="0"/>
          <w:color w:val="FF0000"/>
        </w:rPr>
        <w:t xml:space="preserve"> </w:t>
      </w:r>
      <w:r>
        <w:rPr>
          <w:rFonts w:hint="eastAsia" w:ascii="Times New Roman" w:hAnsi="Times New Roman" w:eastAsia="宋体" w:cs="Times New Roman"/>
          <w:color w:val="FF0000"/>
        </w:rPr>
        <w:t>dNTP concentration was 80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M, 120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M, 200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</w:t>
      </w:r>
      <w:r>
        <w:rPr>
          <w:rFonts w:ascii="Times New Roman" w:hAnsi="Times New Roman" w:eastAsia="宋体" w:cs="Times New Roman"/>
          <w:color w:val="FF0000"/>
        </w:rPr>
        <w:t>,</w:t>
      </w:r>
      <w:r>
        <w:rPr>
          <w:rFonts w:hint="eastAsia" w:ascii="Times New Roman" w:hAnsi="Times New Roman" w:eastAsia="宋体" w:cs="Times New Roman"/>
          <w:color w:val="FF0000"/>
        </w:rPr>
        <w:t xml:space="preserve"> and 280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M, respectively.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d.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 aq enzyme dosage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>The Taq enzyme dosage was 1U, 1.5U, 2.5U</w:t>
      </w:r>
      <w:r>
        <w:rPr>
          <w:rFonts w:ascii="Times New Roman" w:hAnsi="Times New Roman" w:eastAsia="宋体" w:cs="Times New Roman"/>
          <w:color w:val="FF0000"/>
        </w:rPr>
        <w:t>,</w:t>
      </w:r>
      <w:r>
        <w:rPr>
          <w:rFonts w:hint="eastAsia" w:ascii="Times New Roman" w:hAnsi="Times New Roman" w:eastAsia="宋体" w:cs="Times New Roman"/>
          <w:color w:val="FF0000"/>
        </w:rPr>
        <w:t xml:space="preserve"> and 3.5U, respectively.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e.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the number of cycles</w: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>The number of cycles was 26, 28, 30, 32, 34, respectively.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f.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t</w:t>
      </w:r>
      <w:r>
        <w:rPr>
          <w:rFonts w:hint="eastAsia" w:ascii="Times New Roman" w:hAnsi="Times New Roman" w:eastAsia="宋体" w:cs="Times New Roman"/>
          <w:b/>
          <w:bCs/>
          <w:color w:val="FF0000"/>
        </w:rPr>
        <w:t>he template quantities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YN-I</w:t>
      </w:r>
      <w:r>
        <w:rPr>
          <w:rFonts w:hint="eastAsia" w:ascii="Times New Roman" w:hAnsi="Times New Roman" w:cs="Times New Roman"/>
          <w:b/>
          <w:bCs/>
          <w:color w:val="FF0000"/>
        </w:rPr>
        <w:t>.</w:t>
      </w:r>
      <w:bookmarkStart w:id="7" w:name="OLE_LINK5"/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eastAsia="宋体" w:cs="Times New Roman"/>
          <w:color w:val="FF0000"/>
        </w:rPr>
        <w:t>The template quantities</w:t>
      </w:r>
      <w:bookmarkEnd w:id="7"/>
      <w:r>
        <w:rPr>
          <w:rFonts w:hint="eastAsia" w:ascii="Times New Roman" w:hAnsi="Times New Roman" w:eastAsia="宋体" w:cs="Times New Roman"/>
          <w:color w:val="FF0000"/>
        </w:rPr>
        <w:t xml:space="preserve"> w</w:t>
      </w:r>
      <w:r>
        <w:rPr>
          <w:rFonts w:ascii="Times New Roman" w:hAnsi="Times New Roman" w:eastAsia="宋体" w:cs="Times New Roman"/>
          <w:color w:val="FF0000"/>
        </w:rPr>
        <w:t>ere</w:t>
      </w:r>
      <w:r>
        <w:rPr>
          <w:rFonts w:hint="eastAsia" w:ascii="Times New Roman" w:hAnsi="Times New Roman" w:eastAsia="宋体" w:cs="Times New Roman"/>
          <w:color w:val="FF0000"/>
        </w:rPr>
        <w:t xml:space="preserve"> 10ng, 30ng, 60ng</w:t>
      </w:r>
      <w:r>
        <w:rPr>
          <w:rFonts w:ascii="Times New Roman" w:hAnsi="Times New Roman" w:eastAsia="宋体" w:cs="Times New Roman"/>
          <w:color w:val="FF0000"/>
        </w:rPr>
        <w:t>,</w:t>
      </w:r>
      <w:r>
        <w:rPr>
          <w:rFonts w:hint="eastAsia" w:ascii="Times New Roman" w:hAnsi="Times New Roman" w:eastAsia="宋体" w:cs="Times New Roman"/>
          <w:color w:val="FF0000"/>
        </w:rPr>
        <w:t xml:space="preserve"> and 90ng, respectively.</w:t>
      </w:r>
    </w:p>
    <w:p>
      <w:pPr>
        <w:spacing w:line="480" w:lineRule="auto"/>
        <w:jc w:val="center"/>
        <w:rPr>
          <w:rFonts w:hint="eastAsia" w:ascii="Times New Roman" w:hAnsi="Times New Roman" w:eastAsiaTheme="minorEastAsia"/>
          <w:b/>
          <w:bCs/>
          <w:sz w:val="18"/>
          <w:szCs w:val="18"/>
          <w:lang w:eastAsia="zh-CN"/>
        </w:rPr>
      </w:pPr>
      <w:r>
        <w:rPr>
          <w:rFonts w:hint="eastAsia" w:ascii="Times New Roman" w:hAnsi="Times New Roman" w:eastAsiaTheme="minorEastAsia"/>
          <w:b/>
          <w:bCs/>
          <w:sz w:val="18"/>
          <w:szCs w:val="18"/>
          <w:lang w:eastAsia="zh-CN"/>
        </w:rPr>
        <w:drawing>
          <wp:inline distT="0" distB="0" distL="114300" distR="114300">
            <wp:extent cx="5269230" cy="4125595"/>
            <wp:effectExtent l="0" t="0" r="3810" b="4445"/>
            <wp:docPr id="43" name="图片 4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hint="eastAsia" w:ascii="Times New Roman" w:hAnsi="Times New Roman" w:cs="Times New Roman"/>
          <w:b/>
          <w:bCs/>
          <w:color w:val="FF0000"/>
        </w:rPr>
      </w:pPr>
      <w:bookmarkStart w:id="10" w:name="_GoBack"/>
      <w:r>
        <w:rPr>
          <w:rFonts w:ascii="Times New Roman" w:hAnsi="Times New Roman" w:cs="Times New Roman"/>
          <w:b/>
          <w:bCs/>
          <w:color w:val="FF0000"/>
        </w:rPr>
        <w:t xml:space="preserve">Figure 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Optimization results of PCR reaction system of </w:t>
      </w:r>
      <w:r>
        <w:rPr>
          <w:rFonts w:ascii="Times New Roman" w:hAnsi="Times New Roman" w:cs="Times New Roman"/>
          <w:b/>
          <w:bCs/>
          <w:color w:val="FF0000"/>
        </w:rPr>
        <w:t>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>
      <w:pPr>
        <w:numPr>
          <w:ilvl w:val="0"/>
          <w:numId w:val="0"/>
        </w:numPr>
        <w:spacing w:line="480" w:lineRule="auto"/>
        <w:jc w:val="both"/>
        <w:rPr>
          <w:rFonts w:ascii="Times New Roman" w:hAnsi="Times New Roman" w:eastAsia="宋体" w:cs="Times New Roman"/>
          <w:color w:val="FF0000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a.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 xml:space="preserve">nvestigate into primer concentration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ascii="Times New Roman" w:hAnsi="Times New Roman" w:cs="Times New Roman"/>
          <w:b/>
          <w:bCs/>
          <w:color w:val="FF0000"/>
        </w:rPr>
        <w:t>.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FF0000"/>
        </w:rPr>
        <w:t>T</w:t>
      </w:r>
      <w:r>
        <w:rPr>
          <w:rFonts w:ascii="Times New Roman" w:hAnsi="Times New Roman" w:eastAsia="宋体" w:cs="Times New Roman"/>
          <w:color w:val="FF0000"/>
        </w:rPr>
        <w:t>he specific primer pairs were 0.3μM, 0.25μM, 0.2μM, 0.15μM, and 0.1μM</w:t>
      </w:r>
      <w:r>
        <w:rPr>
          <w:rFonts w:hint="eastAsia" w:ascii="Times New Roman" w:hAnsi="Times New Roman" w:eastAsia="宋体" w:cs="Times New Roman"/>
          <w:color w:val="FF0000"/>
        </w:rPr>
        <w:t>,</w:t>
      </w:r>
      <w:r>
        <w:rPr>
          <w:rFonts w:ascii="Times New Roman" w:hAnsi="Times New Roman" w:eastAsia="宋体" w:cs="Times New Roman"/>
          <w:color w:val="FF0000"/>
        </w:rPr>
        <w:t xml:space="preserve"> respectively</w:t>
      </w:r>
      <w:r>
        <w:rPr>
          <w:rFonts w:hint="eastAsia" w:ascii="Times New Roman" w:hAnsi="Times New Roman" w:eastAsia="宋体" w:cs="Times New Roman"/>
          <w:color w:val="FF0000"/>
        </w:rPr>
        <w:t>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b.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a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nnealing temperature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 xml:space="preserve">The annealing temperatures were </w:t>
      </w:r>
      <w:r>
        <w:rPr>
          <w:rFonts w:ascii="Times New Roman" w:hAnsi="Times New Roman" w:eastAsia="宋体" w:cs="Times New Roman"/>
          <w:color w:val="FF0000"/>
        </w:rPr>
        <w:t xml:space="preserve">58℃, 60.6℃, 62℃, 63.7℃, 66.2℃, </w:t>
      </w:r>
      <w:r>
        <w:rPr>
          <w:rFonts w:hint="eastAsia" w:ascii="Times New Roman" w:hAnsi="Times New Roman" w:eastAsia="宋体" w:cs="Times New Roman"/>
          <w:color w:val="FF0000"/>
        </w:rPr>
        <w:t>and 68</w:t>
      </w:r>
      <w:r>
        <w:rPr>
          <w:rFonts w:ascii="Times New Roman" w:hAnsi="Times New Roman" w:eastAsia="宋体" w:cs="Times New Roman"/>
          <w:color w:val="FF0000"/>
        </w:rPr>
        <w:t>℃</w:t>
      </w:r>
      <w:r>
        <w:rPr>
          <w:rFonts w:hint="eastAsia" w:ascii="Times New Roman" w:hAnsi="Times New Roman" w:eastAsia="宋体" w:cs="Times New Roman"/>
          <w:color w:val="FF0000"/>
        </w:rPr>
        <w:t>, respectively.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 c.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 xml:space="preserve">nvestigate into 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dNTP concentration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>dNTP concentration was 80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M, 120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M, 200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</w:t>
      </w:r>
      <w:r>
        <w:rPr>
          <w:rFonts w:ascii="Times New Roman" w:hAnsi="Times New Roman" w:eastAsia="宋体" w:cs="Times New Roman"/>
          <w:color w:val="FF0000"/>
        </w:rPr>
        <w:t>,</w:t>
      </w:r>
      <w:r>
        <w:rPr>
          <w:rFonts w:hint="eastAsia" w:ascii="Times New Roman" w:hAnsi="Times New Roman" w:eastAsia="宋体" w:cs="Times New Roman"/>
          <w:color w:val="FF0000"/>
        </w:rPr>
        <w:t xml:space="preserve"> and 280</w:t>
      </w:r>
      <w:r>
        <w:rPr>
          <w:rFonts w:ascii="Times New Roman" w:hAnsi="Times New Roman"/>
          <w:color w:val="FF0000"/>
          <w:szCs w:val="21"/>
        </w:rPr>
        <w:t>μ</w:t>
      </w:r>
      <w:r>
        <w:rPr>
          <w:rFonts w:hint="eastAsia" w:ascii="Times New Roman" w:hAnsi="Times New Roman" w:eastAsia="宋体" w:cs="Times New Roman"/>
          <w:color w:val="FF0000"/>
        </w:rPr>
        <w:t>M, respectively.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d.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 aq enzyme dosage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>The Taq enzyme dosage was 1U, 1.5U, 2.5U</w:t>
      </w:r>
      <w:r>
        <w:rPr>
          <w:rFonts w:ascii="Times New Roman" w:hAnsi="Times New Roman" w:eastAsia="宋体" w:cs="Times New Roman"/>
          <w:color w:val="FF0000"/>
        </w:rPr>
        <w:t>,</w:t>
      </w:r>
      <w:r>
        <w:rPr>
          <w:rFonts w:hint="eastAsia" w:ascii="Times New Roman" w:hAnsi="Times New Roman" w:eastAsia="宋体" w:cs="Times New Roman"/>
          <w:color w:val="FF0000"/>
        </w:rPr>
        <w:t xml:space="preserve"> and 3.5U, respectively.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 e.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the number of cycles</w: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. </w:t>
      </w:r>
      <w:r>
        <w:rPr>
          <w:rFonts w:hint="eastAsia" w:ascii="Times New Roman" w:hAnsi="Times New Roman" w:eastAsia="宋体" w:cs="Times New Roman"/>
          <w:color w:val="FF0000"/>
        </w:rPr>
        <w:t>The number of cycles was 26, 28, 30, 32, 34, respectively.</w:t>
      </w:r>
      <w:r>
        <w:rPr>
          <w:rFonts w:hint="eastAsia" w:ascii="Times New Roman" w:hAnsi="Times New Roman" w:eastAsia="宋体" w:cs="Times New Roman"/>
          <w:b/>
          <w:bCs/>
          <w:color w:val="FF0000"/>
          <w:lang w:val="en-US" w:eastAsia="zh-CN"/>
        </w:rPr>
        <w:t xml:space="preserve"> f.</w:t>
      </w:r>
      <w:r>
        <w:rPr>
          <w:rFonts w:hint="eastAsia" w:ascii="Times New Roman" w:hAnsi="Times New Roman" w:eastAsia="宋体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>I</w:t>
      </w:r>
      <w:r>
        <w:rPr>
          <w:rFonts w:ascii="Times New Roman" w:hAnsi="Times New Roman" w:cs="Times New Roman"/>
          <w:b/>
          <w:bCs/>
          <w:color w:val="FF0000"/>
        </w:rPr>
        <w:t>nvestigate into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 t</w:t>
      </w:r>
      <w:r>
        <w:rPr>
          <w:rFonts w:hint="eastAsia" w:ascii="Times New Roman" w:hAnsi="Times New Roman" w:eastAsia="宋体" w:cs="Times New Roman"/>
          <w:b/>
          <w:bCs/>
          <w:color w:val="FF0000"/>
        </w:rPr>
        <w:t>he template quantities</w:t>
      </w:r>
      <w:r>
        <w:rPr>
          <w:rFonts w:ascii="Times New Roman" w:hAnsi="Times New Roman" w:eastAsia="宋体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FF0000"/>
        </w:rPr>
        <w:t xml:space="preserve">of </w:t>
      </w:r>
      <w:r>
        <w:rPr>
          <w:rFonts w:ascii="Times New Roman" w:hAnsi="Times New Roman" w:cs="Times New Roman"/>
          <w:b/>
          <w:bCs/>
          <w:color w:val="FF0000"/>
        </w:rPr>
        <w:t>specific PCR system</w:t>
      </w: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 xml:space="preserve"> of</w:t>
      </w:r>
      <w:r>
        <w:rPr>
          <w:rFonts w:ascii="Times New Roman" w:hAnsi="Times New Roman" w:cs="Times New Roman"/>
          <w:b/>
          <w:bCs/>
          <w:color w:val="FF0000"/>
        </w:rPr>
        <w:t xml:space="preserve"> YN-</w:t>
      </w:r>
      <w:r>
        <w:rPr>
          <w:rFonts w:hint="eastAsia" w:ascii="Times New Roman" w:hAnsi="Times New Roman"/>
          <w:b/>
          <w:bCs/>
          <w:color w:val="FF0000"/>
          <w:szCs w:val="21"/>
        </w:rPr>
        <w:t>II</w:t>
      </w:r>
      <w:r>
        <w:rPr>
          <w:rFonts w:hint="eastAsia" w:ascii="Times New Roman" w:hAnsi="Times New Roman" w:cs="Times New Roman"/>
          <w:b/>
          <w:bCs/>
          <w:color w:val="FF0000"/>
        </w:rPr>
        <w:t>.</w: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hint="eastAsia" w:ascii="Times New Roman" w:hAnsi="Times New Roman" w:eastAsia="宋体" w:cs="Times New Roman"/>
          <w:color w:val="FF0000"/>
        </w:rPr>
        <w:t>The template quantities w</w:t>
      </w:r>
      <w:r>
        <w:rPr>
          <w:rFonts w:ascii="Times New Roman" w:hAnsi="Times New Roman" w:eastAsia="宋体" w:cs="Times New Roman"/>
          <w:color w:val="FF0000"/>
        </w:rPr>
        <w:t>ere</w:t>
      </w:r>
      <w:r>
        <w:rPr>
          <w:rFonts w:hint="eastAsia" w:ascii="Times New Roman" w:hAnsi="Times New Roman" w:eastAsia="宋体" w:cs="Times New Roman"/>
          <w:color w:val="FF0000"/>
        </w:rPr>
        <w:t xml:space="preserve"> 10 ng, 30 ng, 60 ng</w:t>
      </w:r>
      <w:r>
        <w:rPr>
          <w:rFonts w:ascii="Times New Roman" w:hAnsi="Times New Roman" w:eastAsia="宋体" w:cs="Times New Roman"/>
          <w:color w:val="FF0000"/>
        </w:rPr>
        <w:t>,</w:t>
      </w:r>
      <w:r>
        <w:rPr>
          <w:rFonts w:hint="eastAsia" w:ascii="Times New Roman" w:hAnsi="Times New Roman" w:eastAsia="宋体" w:cs="Times New Roman"/>
          <w:color w:val="FF0000"/>
        </w:rPr>
        <w:t xml:space="preserve"> and 90 ng, respectively.</w:t>
      </w:r>
    </w:p>
    <w:bookmarkEnd w:id="10"/>
    <w:p>
      <w:pPr>
        <w:spacing w:line="480" w:lineRule="auto"/>
        <w:jc w:val="left"/>
        <w:rPr>
          <w:rFonts w:ascii="Times New Roman" w:hAnsi="Times New Roman" w:eastAsia="宋体" w:cs="Times New Roman"/>
        </w:rPr>
      </w:pPr>
    </w:p>
    <w:p>
      <w:pPr>
        <w:spacing w:line="480" w:lineRule="auto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drawing>
          <wp:inline distT="0" distB="0" distL="114300" distR="114300">
            <wp:extent cx="5271135" cy="1529715"/>
            <wp:effectExtent l="0" t="0" r="1905" b="9525"/>
            <wp:docPr id="15" name="图片 15" descr="9CHB6A7GOQL%P40M}2Q9H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9CHB6A7GOQL%P40M}2Q9HS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2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</w:rPr>
      </w:pPr>
      <w:bookmarkStart w:id="8" w:name="OLE_LINK12"/>
      <w:r>
        <w:rPr>
          <w:rFonts w:ascii="Times New Roman" w:hAnsi="Times New Roman" w:eastAsia="宋体" w:cs="Times New Roman"/>
          <w:b/>
          <w:bCs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</w:rPr>
        <w:t>4</w:t>
      </w:r>
      <w:bookmarkEnd w:id="8"/>
      <w:r>
        <w:rPr>
          <w:rFonts w:hint="eastAsia" w:ascii="Times New Roman" w:hAnsi="Times New Roman" w:eastAsia="宋体" w:cs="Times New Roman"/>
          <w:b/>
          <w:bCs/>
        </w:rPr>
        <w:t xml:space="preserve">. Fluorescent visualization identification of PPY with its common related species. (A) Specific identification of </w:t>
      </w:r>
      <w:r>
        <w:rPr>
          <w:rFonts w:ascii="Times New Roman" w:hAnsi="Times New Roman" w:eastAsia="宋体" w:cs="Times New Roman"/>
          <w:b/>
          <w:bCs/>
        </w:rPr>
        <w:t xml:space="preserve">the </w:t>
      </w:r>
      <w:r>
        <w:rPr>
          <w:rFonts w:hint="eastAsia" w:ascii="Times New Roman" w:hAnsi="Times New Roman" w:eastAsia="宋体" w:cs="Times New Roman"/>
          <w:b/>
          <w:bCs/>
        </w:rPr>
        <w:t>YN-I system</w:t>
      </w:r>
      <w:r>
        <w:rPr>
          <w:rFonts w:hint="eastAsia" w:ascii="Times New Roman" w:hAnsi="Times New Roman" w:eastAsia="宋体" w:cs="Times New Roman"/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</w:rPr>
        <w:t xml:space="preserve">(B) Specific identification of </w:t>
      </w:r>
      <w:r>
        <w:rPr>
          <w:rFonts w:ascii="Times New Roman" w:hAnsi="Times New Roman" w:eastAsia="宋体" w:cs="Times New Roman"/>
          <w:b/>
          <w:bCs/>
        </w:rPr>
        <w:t xml:space="preserve">the </w:t>
      </w:r>
      <w:r>
        <w:rPr>
          <w:rFonts w:hint="eastAsia" w:ascii="Times New Roman" w:hAnsi="Times New Roman" w:eastAsia="宋体" w:cs="Times New Roman"/>
          <w:b/>
          <w:bCs/>
        </w:rPr>
        <w:t>YN-II system</w:t>
      </w:r>
      <w:r>
        <w:rPr>
          <w:rFonts w:hint="eastAsia" w:ascii="Times New Roman" w:hAnsi="Times New Roman" w:eastAsia="宋体" w:cs="Times New Roman"/>
        </w:rPr>
        <w:t xml:space="preserve">. M: Trans2K Plus DNA Marker. BC: blank control. I: PPY (YN-I). II: PPY (YN-II). DY: </w:t>
      </w:r>
      <w:r>
        <w:rPr>
          <w:rFonts w:hint="eastAsia" w:ascii="Times New Roman" w:hAnsi="Times New Roman" w:eastAsia="宋体" w:cs="Times New Roman"/>
          <w:i/>
          <w:iCs/>
        </w:rPr>
        <w:t>P. polyphylla</w:t>
      </w:r>
      <w:r>
        <w:rPr>
          <w:rFonts w:hint="eastAsia" w:ascii="Times New Roman" w:hAnsi="Times New Roman" w:eastAsia="宋体" w:cs="Times New Roman"/>
        </w:rPr>
        <w:t xml:space="preserve">. XY: </w:t>
      </w:r>
      <w:r>
        <w:rPr>
          <w:rFonts w:hint="eastAsia" w:ascii="Times New Roman" w:hAnsi="Times New Roman" w:eastAsia="宋体" w:cs="Times New Roman"/>
          <w:i/>
          <w:iCs/>
        </w:rPr>
        <w:t>P. stenophylla</w:t>
      </w:r>
      <w:r>
        <w:rPr>
          <w:rFonts w:hint="eastAsia" w:ascii="Times New Roman" w:hAnsi="Times New Roman" w:eastAsia="宋体" w:cs="Times New Roman"/>
        </w:rPr>
        <w:t xml:space="preserve">. N: </w:t>
      </w:r>
      <w:r>
        <w:rPr>
          <w:rFonts w:hint="eastAsia" w:ascii="Times New Roman" w:hAnsi="Times New Roman" w:eastAsia="宋体" w:cs="Times New Roman"/>
          <w:i/>
          <w:iCs/>
        </w:rPr>
        <w:t>P. vietnamensis</w:t>
      </w:r>
      <w:r>
        <w:rPr>
          <w:rFonts w:hint="eastAsia" w:ascii="Times New Roman" w:hAnsi="Times New Roman" w:eastAsia="宋体" w:cs="Times New Roman"/>
        </w:rPr>
        <w:t xml:space="preserve">. WZL: </w:t>
      </w:r>
      <w:r>
        <w:rPr>
          <w:rFonts w:hint="eastAsia" w:ascii="Times New Roman" w:hAnsi="Times New Roman" w:eastAsia="宋体" w:cs="Times New Roman"/>
          <w:i/>
          <w:iCs/>
        </w:rPr>
        <w:t>P. axialis</w:t>
      </w:r>
      <w:r>
        <w:rPr>
          <w:rFonts w:hint="eastAsia" w:ascii="Times New Roman" w:hAnsi="Times New Roman" w:eastAsia="宋体" w:cs="Times New Roman"/>
        </w:rPr>
        <w:t xml:space="preserve">. PF: </w:t>
      </w:r>
      <w:r>
        <w:rPr>
          <w:rFonts w:hint="eastAsia" w:ascii="Times New Roman" w:hAnsi="Times New Roman" w:eastAsia="宋体" w:cs="Times New Roman"/>
          <w:i/>
          <w:iCs/>
        </w:rPr>
        <w:t>P. vaniotii</w:t>
      </w:r>
      <w:r>
        <w:rPr>
          <w:rFonts w:hint="eastAsia" w:ascii="Times New Roman" w:hAnsi="Times New Roman" w:eastAsia="宋体" w:cs="Times New Roman"/>
        </w:rPr>
        <w:t>. Q:</w:t>
      </w:r>
      <w:r>
        <w:rPr>
          <w:rFonts w:hint="eastAsia" w:ascii="Times New Roman" w:hAnsi="Times New Roman" w:eastAsia="宋体" w:cs="Times New Roman"/>
          <w:i/>
          <w:iCs/>
        </w:rPr>
        <w:t>P. fargesii</w:t>
      </w:r>
      <w:r>
        <w:rPr>
          <w:rFonts w:hint="eastAsia" w:ascii="Times New Roman" w:hAnsi="Times New Roman" w:eastAsia="宋体" w:cs="Times New Roman"/>
        </w:rPr>
        <w:t xml:space="preserve">. HZ: </w:t>
      </w:r>
      <w:r>
        <w:rPr>
          <w:rFonts w:hint="eastAsia" w:ascii="Times New Roman" w:hAnsi="Times New Roman" w:eastAsia="宋体" w:cs="Times New Roman"/>
          <w:i/>
          <w:iCs/>
        </w:rPr>
        <w:t>P. thibetica</w:t>
      </w:r>
      <w:r>
        <w:rPr>
          <w:rFonts w:hint="eastAsia" w:ascii="Times New Roman" w:hAnsi="Times New Roman" w:eastAsia="宋体" w:cs="Times New Roman"/>
        </w:rPr>
        <w:t>. CZ:</w:t>
      </w:r>
      <w:r>
        <w:rPr>
          <w:rFonts w:hint="eastAsia" w:ascii="Times New Roman" w:hAnsi="Times New Roman" w:eastAsia="宋体" w:cs="Times New Roman"/>
          <w:i/>
          <w:iCs/>
        </w:rPr>
        <w:t>P. forrestii</w:t>
      </w:r>
    </w:p>
    <w:p>
      <w:pPr>
        <w:spacing w:line="480" w:lineRule="auto"/>
        <w:rPr>
          <w:rFonts w:ascii="Times New Roman" w:hAnsi="Times New Roman" w:eastAsia="宋体" w:cs="Times New Roman"/>
        </w:rPr>
      </w:pPr>
    </w:p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eastAsia="宋体" w:cs="Times New Roman"/>
          <w:b/>
          <w:bCs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</w:rPr>
        <w:t>4. Information table of commercial medicinal materials of Paris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43"/>
        <w:gridCol w:w="3402"/>
        <w:gridCol w:w="175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sz w:val="18"/>
                <w:szCs w:val="18"/>
              </w:rPr>
              <w:t>Sample number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Merchant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-batch</w:t>
            </w:r>
          </w:p>
        </w:tc>
        <w:tc>
          <w:tcPr>
            <w:tcW w:w="340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Latin name</w:t>
            </w:r>
          </w:p>
        </w:tc>
        <w:tc>
          <w:tcPr>
            <w:tcW w:w="175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Locality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KY-1</w:t>
            </w:r>
          </w:p>
        </w:tc>
        <w:tc>
          <w:tcPr>
            <w:tcW w:w="340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bookmarkStart w:id="9" w:name="OLE_LINK23"/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P. polyphylla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var. 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yunnanensis</w:t>
            </w:r>
            <w:bookmarkEnd w:id="9"/>
          </w:p>
        </w:tc>
        <w:tc>
          <w:tcPr>
            <w:tcW w:w="1751" w:type="dxa"/>
            <w:tcBorders>
              <w:top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KY-1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P. polyphylla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var. 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yunnanensis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KY-2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P. polyphylla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var. 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yunnanensis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DH-1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P. polyphylla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var. 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yunnanensis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DH-2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</w:rPr>
              <w:t>Trillium camschatcense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DH-2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</w:rPr>
              <w:t>Trillium camschatcense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DH-2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</w:rPr>
              <w:t>Trillium camschatcense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FJ-1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Paris forrestii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FJ-1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Paris forrestii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FJ-1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FJ-2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FJ-2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Trillium govanianum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FJ-2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forrestii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JYK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Trillium govanianum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JYK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Trillium undulatum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JYK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Trillium govanianum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SST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</w:rPr>
              <w:t>Trillium camschatcense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SST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</w:rPr>
              <w:t>Trillium camschatcense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SST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</w:rPr>
              <w:t>Trillium camschatcense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Yun</w:t>
            </w:r>
            <w:r>
              <w:rPr>
                <w:rFonts w:hint="default" w:ascii="Times New Roman" w:hAnsi="Times New Roman" w:eastAsia="宋体" w:cs="宋体"/>
                <w:sz w:val="18"/>
                <w:szCs w:val="18"/>
              </w:rPr>
              <w:t>’</w:t>
            </w: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nan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YQJ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P. polyphylla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var. 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yunnanensis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Sichuan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YQJ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P. polyphylla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var. </w:t>
            </w:r>
            <w:r>
              <w:rPr>
                <w:rFonts w:hint="eastAsia" w:ascii="Times New Roman" w:hAnsi="Times New Roman" w:cs="Times New Roman"/>
                <w:i/>
                <w:iCs/>
                <w:sz w:val="18"/>
                <w:szCs w:val="18"/>
              </w:rPr>
              <w:t>yunnanensis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Sichuan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YQJ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--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Sichuan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WJ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Sichuan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WJ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Sichuan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8"/>
                <w:szCs w:val="18"/>
              </w:rPr>
              <w:t>WJ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kern w:val="0"/>
                <w:sz w:val="18"/>
                <w:szCs w:val="18"/>
              </w:rPr>
              <w:t xml:space="preserve">. </w:t>
            </w:r>
            <w:r>
              <w:rPr>
                <w:rFonts w:hint="default" w:ascii="Times New Roman" w:hAnsi="Times New Roman" w:eastAsia="宋体" w:cs="Times New Roman"/>
                <w:i/>
                <w:kern w:val="0"/>
                <w:sz w:val="18"/>
                <w:szCs w:val="18"/>
              </w:rPr>
              <w:t>polyphylla</w:t>
            </w:r>
          </w:p>
        </w:tc>
        <w:tc>
          <w:tcPr>
            <w:tcW w:w="1751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Sichuan</w:t>
            </w:r>
          </w:p>
        </w:tc>
      </w:tr>
    </w:tbl>
    <w:p>
      <w:pPr>
        <w:spacing w:line="480" w:lineRule="auto"/>
        <w:rPr>
          <w:rFonts w:ascii="Times New Roman" w:hAnsi="Times New Roman" w:eastAsia="宋体" w:cs="Times New Roman"/>
          <w:b/>
          <w:bCs/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drawing>
          <wp:inline distT="0" distB="0" distL="114300" distR="114300">
            <wp:extent cx="5268595" cy="2216785"/>
            <wp:effectExtent l="0" t="0" r="4445" b="8255"/>
            <wp:docPr id="17" name="图片 17" descr="ZB$}E{)8{}I%2J0W`S%%T4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ZB$}E{)8{}I%2J0W`S%%T4W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1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b w:val="0"/>
          <w:bCs w:val="0"/>
        </w:rPr>
      </w:pPr>
      <w:r>
        <w:rPr>
          <w:rFonts w:ascii="Times New Roman" w:hAnsi="Times New Roman" w:eastAsia="宋体" w:cs="Times New Roman"/>
          <w:b/>
          <w:bCs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</w:rPr>
        <w:t xml:space="preserve">5. The specific identification of commercial medicinal materials of </w:t>
      </w:r>
      <w:r>
        <w:rPr>
          <w:rFonts w:hint="eastAsia" w:ascii="Times New Roman" w:hAnsi="Times New Roman" w:eastAsia="宋体" w:cs="Times New Roman"/>
          <w:b/>
          <w:bCs/>
          <w:i/>
          <w:iCs/>
        </w:rPr>
        <w:t>Paris</w:t>
      </w:r>
      <w:r>
        <w:rPr>
          <w:rFonts w:hint="eastAsia" w:ascii="Times New Roman" w:hAnsi="Times New Roman" w:eastAsia="宋体" w:cs="Times New Roman"/>
          <w:b/>
          <w:bCs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</w:rPr>
        <w:t>(A) The site-specific PCR system and fluorescence visual identification system of commercial medicinal materials of YN-I. (B) The site-specific PCR system and fluorescence visual identification system of commercial medicinal materials of YN-II.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D0E7E"/>
    <w:rsid w:val="01B70240"/>
    <w:rsid w:val="11F34CC9"/>
    <w:rsid w:val="1ED71D92"/>
    <w:rsid w:val="1F6F1AE5"/>
    <w:rsid w:val="25942BA4"/>
    <w:rsid w:val="2C427CBB"/>
    <w:rsid w:val="34FD682F"/>
    <w:rsid w:val="37C84664"/>
    <w:rsid w:val="3CE643C9"/>
    <w:rsid w:val="3F6301A0"/>
    <w:rsid w:val="590D5531"/>
    <w:rsid w:val="62C15E2B"/>
    <w:rsid w:val="65FA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01"/>
    <w:basedOn w:val="5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奔奔</cp:lastModifiedBy>
  <dcterms:modified xsi:type="dcterms:W3CDTF">2020-08-02T07:10:54Z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