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6DA0" w:rsidRDefault="00501B7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</w:t>
      </w:r>
      <w:r>
        <w:rPr>
          <w:rFonts w:ascii="Times New Roman" w:hAnsi="Times New Roman" w:cs="Times New Roman" w:hint="eastAsia"/>
          <w:b/>
          <w:sz w:val="28"/>
        </w:rPr>
        <w:t>ABLE</w:t>
      </w:r>
      <w:r>
        <w:rPr>
          <w:rFonts w:ascii="Times New Roman" w:hAnsi="Times New Roman" w:cs="Times New Roman"/>
          <w:b/>
          <w:sz w:val="28"/>
        </w:rPr>
        <w:t xml:space="preserve"> S1 </w:t>
      </w:r>
      <w:r>
        <w:rPr>
          <w:rFonts w:ascii="Times New Roman" w:hAnsi="Times New Roman" w:cs="Times New Roman"/>
          <w:bCs/>
          <w:sz w:val="28"/>
        </w:rPr>
        <w:t xml:space="preserve">Samples of </w:t>
      </w:r>
      <w:r>
        <w:rPr>
          <w:rFonts w:ascii="Times New Roman" w:hAnsi="Times New Roman" w:cs="Times New Roman"/>
          <w:bCs/>
          <w:i/>
          <w:sz w:val="28"/>
        </w:rPr>
        <w:t xml:space="preserve">Diaphorina citri </w:t>
      </w:r>
      <w:proofErr w:type="spellStart"/>
      <w:r w:rsidR="00361B00" w:rsidRPr="00361B00">
        <w:rPr>
          <w:rFonts w:ascii="Times New Roman" w:hAnsi="Times New Roman" w:cs="Times New Roman"/>
          <w:bCs/>
          <w:iCs/>
          <w:sz w:val="28"/>
        </w:rPr>
        <w:t>psillids</w:t>
      </w:r>
      <w:proofErr w:type="spellEnd"/>
      <w:r w:rsidR="00361B00" w:rsidRPr="00361B00">
        <w:rPr>
          <w:rFonts w:ascii="Times New Roman" w:hAnsi="Times New Roman" w:cs="Times New Roman"/>
          <w:bCs/>
          <w:iCs/>
          <w:sz w:val="28"/>
        </w:rPr>
        <w:t xml:space="preserve"> </w:t>
      </w:r>
      <w:r w:rsidR="00361B00">
        <w:rPr>
          <w:rFonts w:ascii="Times New Roman" w:hAnsi="Times New Roman" w:cs="Times New Roman"/>
          <w:bCs/>
          <w:iCs/>
          <w:sz w:val="28"/>
        </w:rPr>
        <w:t xml:space="preserve">from China </w:t>
      </w:r>
      <w:r w:rsidR="00361B00">
        <w:rPr>
          <w:rFonts w:ascii="Times New Roman" w:hAnsi="Times New Roman" w:cs="Times New Roman"/>
          <w:bCs/>
          <w:sz w:val="28"/>
        </w:rPr>
        <w:t>sequenced</w:t>
      </w:r>
      <w:r>
        <w:rPr>
          <w:rFonts w:ascii="Times New Roman" w:hAnsi="Times New Roman" w:cs="Times New Roman"/>
          <w:bCs/>
          <w:sz w:val="28"/>
        </w:rPr>
        <w:t xml:space="preserve"> for mitogenome and </w:t>
      </w:r>
      <w:r>
        <w:rPr>
          <w:rFonts w:ascii="Times New Roman" w:eastAsia="SimSun" w:hAnsi="Times New Roman" w:cs="Times New Roman"/>
          <w:bCs/>
          <w:sz w:val="28"/>
          <w:szCs w:val="28"/>
        </w:rPr>
        <w:t>endosymbi</w:t>
      </w:r>
      <w:r w:rsidR="00361B00">
        <w:rPr>
          <w:rFonts w:ascii="Times New Roman" w:eastAsia="SimSun" w:hAnsi="Times New Roman" w:cs="Times New Roman"/>
          <w:bCs/>
          <w:sz w:val="28"/>
          <w:szCs w:val="28"/>
        </w:rPr>
        <w:t>o</w:t>
      </w:r>
      <w:r>
        <w:rPr>
          <w:rFonts w:ascii="Times New Roman" w:eastAsia="SimSun" w:hAnsi="Times New Roman" w:cs="Times New Roman"/>
          <w:bCs/>
          <w:sz w:val="28"/>
          <w:szCs w:val="28"/>
        </w:rPr>
        <w:t xml:space="preserve">nt </w:t>
      </w:r>
      <w:r w:rsidR="00361B00">
        <w:rPr>
          <w:rFonts w:ascii="Times New Roman" w:hAnsi="Times New Roman" w:cs="Times New Roman"/>
          <w:bCs/>
          <w:sz w:val="28"/>
        </w:rPr>
        <w:t>de novo assembly</w:t>
      </w:r>
    </w:p>
    <w:tbl>
      <w:tblPr>
        <w:tblW w:w="4973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879"/>
        <w:gridCol w:w="1554"/>
        <w:gridCol w:w="2273"/>
        <w:gridCol w:w="2574"/>
        <w:gridCol w:w="1819"/>
        <w:gridCol w:w="1210"/>
        <w:gridCol w:w="1379"/>
        <w:gridCol w:w="1364"/>
        <w:gridCol w:w="1442"/>
      </w:tblGrid>
      <w:tr w:rsidR="00B66DA0">
        <w:trPr>
          <w:trHeight w:val="23"/>
        </w:trPr>
        <w:tc>
          <w:tcPr>
            <w:tcW w:w="186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No.</w:t>
            </w:r>
          </w:p>
        </w:tc>
        <w:tc>
          <w:tcPr>
            <w:tcW w:w="292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Country</w:t>
            </w:r>
          </w:p>
        </w:tc>
        <w:tc>
          <w:tcPr>
            <w:tcW w:w="516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Province/ State</w:t>
            </w:r>
          </w:p>
        </w:tc>
        <w:tc>
          <w:tcPr>
            <w:tcW w:w="755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Region</w:t>
            </w:r>
          </w:p>
        </w:tc>
        <w:tc>
          <w:tcPr>
            <w:tcW w:w="855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Host plant</w:t>
            </w:r>
          </w:p>
        </w:tc>
        <w:tc>
          <w:tcPr>
            <w:tcW w:w="604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Sequencing method</w:t>
            </w:r>
          </w:p>
        </w:tc>
        <w:tc>
          <w:tcPr>
            <w:tcW w:w="402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Elevation(m)</w:t>
            </w:r>
          </w:p>
        </w:tc>
        <w:tc>
          <w:tcPr>
            <w:tcW w:w="138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gram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Longitude(</w:t>
            </w:r>
            <w:proofErr w:type="gramEnd"/>
            <w:r>
              <w:rPr>
                <w:rFonts w:ascii="Times New Roman" w:eastAsia="MS Mincho" w:hAnsi="MS Mincho" w:cs="Times New Roman"/>
                <w:kern w:val="0"/>
                <w:sz w:val="16"/>
                <w:szCs w:val="16"/>
              </w:rPr>
              <w:t>∘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453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Latitude (</w:t>
            </w:r>
            <w:r>
              <w:rPr>
                <w:rFonts w:ascii="Times New Roman" w:eastAsia="MS Mincho" w:hAnsi="MS Mincho" w:cs="Times New Roman"/>
                <w:kern w:val="0"/>
                <w:sz w:val="16"/>
                <w:szCs w:val="16"/>
              </w:rPr>
              <w:t>∘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479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References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A1</w:t>
            </w:r>
          </w:p>
        </w:tc>
        <w:tc>
          <w:tcPr>
            <w:tcW w:w="292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China</w:t>
            </w:r>
          </w:p>
        </w:tc>
        <w:tc>
          <w:tcPr>
            <w:tcW w:w="516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Guangdong</w:t>
            </w:r>
          </w:p>
        </w:tc>
        <w:tc>
          <w:tcPr>
            <w:tcW w:w="755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Guangzhou (Tianhe)</w:t>
            </w:r>
          </w:p>
        </w:tc>
        <w:tc>
          <w:tcPr>
            <w:tcW w:w="855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Citrus reticulata</w:t>
            </w:r>
          </w:p>
        </w:tc>
        <w:tc>
          <w:tcPr>
            <w:tcW w:w="604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25</w:t>
            </w:r>
          </w:p>
        </w:tc>
        <w:tc>
          <w:tcPr>
            <w:tcW w:w="138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113.3619</w:t>
            </w:r>
          </w:p>
        </w:tc>
        <w:tc>
          <w:tcPr>
            <w:tcW w:w="453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23.1246</w:t>
            </w:r>
          </w:p>
        </w:tc>
        <w:tc>
          <w:tcPr>
            <w:tcW w:w="479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al.(2016)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A2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Guangzhou 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Conghua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 reticulata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42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113.5864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23.5483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A3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Foshan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Murraya paniculata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113.1219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23.0218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A4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Huizhou 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Huicheng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 reticulata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21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114.4167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23.1107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A5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Huizhou(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Boluo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 reticulata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114.4568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23.4896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A6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Jieyang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Rongcheng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116.3726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23.5497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A7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Jieyang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Jiedong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116.4015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23.5753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A8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Chaozhou(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Chaoan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116.6304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23.4554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A9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Chaozhou(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Xiangqiao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116.6229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23.6566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A10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Shantou(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Nan'ao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125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117.0234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23.4218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A11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Shaoguan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(Zhenjiang)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 reticulata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57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113.6075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24.8139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A12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Shaoguan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Renhua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 reticulata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147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113.7622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25.0433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A13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Yunfu</w:t>
            </w:r>
            <w:proofErr w:type="spellEnd"/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44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112.2303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22.9199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A14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Yunan</w:t>
            </w:r>
            <w:proofErr w:type="spellEnd"/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173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111.5352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23.2346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A15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Meizhou(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Meixian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 maxima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131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116.1219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24.2888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A16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Meizhou(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Fengshun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273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116.1822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23.7394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A17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Heyuan</w:t>
            </w:r>
            <w:proofErr w:type="spellEnd"/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165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114.7006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23.7436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A18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Jiangmen(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Xinhui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sinensis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113.0322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22.4587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A19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Zhaoqing</w:t>
            </w:r>
            <w:proofErr w:type="spellEnd"/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medica</w:t>
            </w:r>
            <w:proofErr w:type="spellEnd"/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22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112.4652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23.0469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90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A20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Qingyuan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 reticulata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238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113.0561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23.6820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A21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Maoming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 maxima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11.6395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21.06639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A22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Yangjiang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Yangchunmashui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 reticulata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111.6389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22.1199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A23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Zhanjiang(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Lianjiang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×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aurantium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‘sweet orange’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43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110.2862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21.6096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A24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Jiangxi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Fuzhou(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Nanfeng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122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116.5070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27.1279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A25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Pingxiang</w:t>
            </w:r>
            <w:proofErr w:type="spellEnd"/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sinensis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251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113.8438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27.04879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A26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Ganzhou(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Xinfeng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sinensis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234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114.9289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25.28750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A27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Guangchang</w:t>
            </w:r>
            <w:proofErr w:type="spellEnd"/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reticulata 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128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116.3258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26.8373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3"/>
        </w:trPr>
        <w:tc>
          <w:tcPr>
            <w:tcW w:w="1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A28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Ji’an</w:t>
            </w:r>
            <w:proofErr w:type="spellEnd"/>
          </w:p>
        </w:tc>
        <w:tc>
          <w:tcPr>
            <w:tcW w:w="8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reticulata 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100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114.2437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26.9651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</w:tbl>
    <w:p w:rsidR="00B66DA0" w:rsidRDefault="00B66DA0">
      <w:pPr>
        <w:jc w:val="right"/>
        <w:rPr>
          <w:rFonts w:ascii="Times New Roman" w:hAnsi="Times New Roman" w:cs="Times New Roman"/>
        </w:rPr>
      </w:pPr>
    </w:p>
    <w:p w:rsidR="00B66DA0" w:rsidRDefault="00B66DA0">
      <w:pPr>
        <w:jc w:val="right"/>
        <w:rPr>
          <w:rFonts w:ascii="Times New Roman" w:hAnsi="Times New Roman" w:cs="Times New Roman"/>
        </w:rPr>
      </w:pPr>
    </w:p>
    <w:p w:rsidR="00B66DA0" w:rsidRDefault="00501B7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TABLE S</w:t>
      </w:r>
      <w:proofErr w:type="gramStart"/>
      <w:r>
        <w:rPr>
          <w:rFonts w:ascii="Times New Roman" w:hAnsi="Times New Roman" w:cs="Times New Roman" w:hint="eastAsia"/>
        </w:rPr>
        <w:t>1  Continued</w:t>
      </w:r>
      <w:proofErr w:type="gramEnd"/>
      <w:r>
        <w:rPr>
          <w:rFonts w:ascii="Times New Roman" w:hAnsi="Times New Roman" w:cs="Times New Roman" w:hint="eastAsia"/>
        </w:rPr>
        <w:t xml:space="preserve"> from previous page</w:t>
      </w:r>
    </w:p>
    <w:tbl>
      <w:tblPr>
        <w:tblW w:w="4999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973"/>
        <w:gridCol w:w="1825"/>
        <w:gridCol w:w="1832"/>
        <w:gridCol w:w="2588"/>
        <w:gridCol w:w="1811"/>
        <w:gridCol w:w="1235"/>
        <w:gridCol w:w="1374"/>
        <w:gridCol w:w="1374"/>
        <w:gridCol w:w="1449"/>
      </w:tblGrid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A29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Guangxi</w:t>
            </w: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Guilin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reticulata 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225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110.3284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25.2746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A30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Qinzhou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reticulata 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50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109.5314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22.2514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A31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Wuzhou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reticulata 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138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111.1376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23.0595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A32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Nanning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reticulata 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79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108.2874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22.7957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A33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Yulin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reticulata 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85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110.1818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22.6371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A34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Fujian</w:t>
            </w: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Quanzhou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522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114.2437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26.9651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A35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Fuzhou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43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119.2397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26.0849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A36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Xiamen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118.0894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24.4795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A37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Hainan</w:t>
            </w: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Chengmai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×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aurantium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‘sweet orange’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65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110.0048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19.738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A38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Haikou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×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aurantium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‘sweet orange’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15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110.1973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19.5703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A39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Taiwan</w:t>
            </w: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Nantou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545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120.6700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23.9196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A40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Xinzhu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29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120.9922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24.8086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A41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Hunan</w:t>
            </w: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Yongxing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×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aurantium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‘sweet orange’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172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100.6203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36.2866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A42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Yizhang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×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aurantium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‘sweet orange’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171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112.9488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25.3937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A43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Zhejiang</w:t>
            </w: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Wenzhou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reticulata 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26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120.5692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28.0256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A44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Taizhou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 reticulata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121.5186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28.7692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A45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Yunnan</w:t>
            </w: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Mangshi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limon</w:t>
            </w:r>
            <w:proofErr w:type="spellEnd"/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976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98.3331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24.2018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A46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Ruili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1253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97.8543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24.0116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A47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Baoshan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M. paniculata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1619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98.8773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24.9241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A48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Binchuan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reticulata 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1455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100.5837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25.8234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A49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Jianshui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×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aurantium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‘sweet orange’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1293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111.5212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23.2385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A50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Guizhou</w:t>
            </w: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Ceheng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×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aurantium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‘sweet orange’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1002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105.8117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24.9836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A51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Wangmo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×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aurantium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‘sweet orange’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1033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106.0274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25.2044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A52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Sichuan</w:t>
            </w: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Leibo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reticulata 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1174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103.5645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28.2657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This study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A53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Miyi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reticulata 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1099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102.1654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27.0102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A54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Ningnan</w:t>
            </w:r>
            <w:proofErr w:type="spellEnd"/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×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aurantium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‘sweet orange’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cPCR</w:t>
            </w:r>
            <w:proofErr w:type="spellEnd"/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1191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102.7574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27.0573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A55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America</w:t>
            </w: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California</w:t>
            </w: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San Gabriel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C. japonica 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– –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– –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– –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  <w:tr w:rsidR="00B66DA0">
        <w:trPr>
          <w:trHeight w:val="283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A56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B66D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Florida</w:t>
            </w:r>
          </w:p>
        </w:tc>
        <w:tc>
          <w:tcPr>
            <w:tcW w:w="18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Immokalee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C.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×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aurantium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‘sweet orange’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NGS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– –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– –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B66DA0" w:rsidRDefault="00501B7F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– –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66DA0" w:rsidRDefault="00501B7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Wu et al.(2018)</w:t>
            </w:r>
          </w:p>
        </w:tc>
      </w:tr>
    </w:tbl>
    <w:tbl>
      <w:tblPr>
        <w:tblStyle w:val="TableGrid"/>
        <w:tblpPr w:leftFromText="180" w:rightFromText="180" w:vertAnchor="text" w:tblpX="16379" w:tblpY="-19690"/>
        <w:tblOverlap w:val="never"/>
        <w:tblW w:w="314" w:type="pct"/>
        <w:tblLayout w:type="fixed"/>
        <w:tblLook w:val="04A0" w:firstRow="1" w:lastRow="0" w:firstColumn="1" w:lastColumn="0" w:noHBand="0" w:noVBand="1"/>
      </w:tblPr>
      <w:tblGrid>
        <w:gridCol w:w="950"/>
      </w:tblGrid>
      <w:tr w:rsidR="00B66DA0">
        <w:trPr>
          <w:trHeight w:val="40"/>
        </w:trPr>
        <w:tc>
          <w:tcPr>
            <w:tcW w:w="5000" w:type="pct"/>
          </w:tcPr>
          <w:p w:rsidR="00B66DA0" w:rsidRDefault="00B66DA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B66DA0" w:rsidRDefault="00B66DA0">
      <w:pPr>
        <w:rPr>
          <w:rFonts w:ascii="Times New Roman" w:hAnsi="Times New Roman" w:cs="Times New Roman"/>
        </w:rPr>
      </w:pPr>
    </w:p>
    <w:p w:rsidR="00B66DA0" w:rsidRDefault="00B66DA0">
      <w:pPr>
        <w:rPr>
          <w:rFonts w:ascii="Times New Roman" w:hAnsi="Times New Roman" w:cs="Times New Roman"/>
        </w:rPr>
        <w:sectPr w:rsidR="00B66DA0">
          <w:pgSz w:w="16838" w:h="11906" w:orient="landscape"/>
          <w:pgMar w:top="737" w:right="851" w:bottom="737" w:left="851" w:header="851" w:footer="992" w:gutter="0"/>
          <w:cols w:space="425"/>
          <w:docGrid w:type="lines" w:linePitch="312"/>
        </w:sectPr>
      </w:pPr>
    </w:p>
    <w:p w:rsidR="00B66DA0" w:rsidRDefault="00501B7F">
      <w:pPr>
        <w:spacing w:line="192" w:lineRule="auto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T</w:t>
      </w:r>
      <w:r>
        <w:rPr>
          <w:rFonts w:ascii="Times New Roman" w:hAnsi="Times New Roman" w:cs="Times New Roman" w:hint="eastAsia"/>
          <w:b/>
          <w:sz w:val="28"/>
        </w:rPr>
        <w:t>ABLE</w:t>
      </w:r>
      <w:r>
        <w:rPr>
          <w:rFonts w:ascii="Times New Roman" w:hAnsi="Times New Roman" w:cs="Times New Roman"/>
          <w:b/>
          <w:sz w:val="28"/>
        </w:rPr>
        <w:t xml:space="preserve"> S</w:t>
      </w:r>
      <w:r>
        <w:rPr>
          <w:rFonts w:ascii="Times New Roman" w:hAnsi="Times New Roman" w:cs="Times New Roman" w:hint="eastAsia"/>
          <w:b/>
          <w:sz w:val="28"/>
        </w:rPr>
        <w:t xml:space="preserve">2 </w:t>
      </w:r>
      <w:r>
        <w:rPr>
          <w:rFonts w:ascii="Times New Roman" w:hAnsi="Times New Roman" w:cs="Times New Roman"/>
          <w:bCs/>
          <w:sz w:val="28"/>
        </w:rPr>
        <w:t>Mitochondrial</w:t>
      </w:r>
      <w:r>
        <w:rPr>
          <w:rFonts w:ascii="Times New Roman" w:hAnsi="Times New Roman" w:cs="Times New Roman" w:hint="eastAsia"/>
          <w:bCs/>
          <w:sz w:val="28"/>
        </w:rPr>
        <w:t xml:space="preserve"> and endosymbi</w:t>
      </w:r>
      <w:r w:rsidR="00073056">
        <w:rPr>
          <w:rFonts w:ascii="Times New Roman" w:hAnsi="Times New Roman" w:cs="Times New Roman"/>
          <w:bCs/>
          <w:sz w:val="28"/>
        </w:rPr>
        <w:t>o</w:t>
      </w:r>
      <w:r>
        <w:rPr>
          <w:rFonts w:ascii="Times New Roman" w:hAnsi="Times New Roman" w:cs="Times New Roman" w:hint="eastAsia"/>
          <w:bCs/>
          <w:sz w:val="28"/>
        </w:rPr>
        <w:t>nt g</w:t>
      </w:r>
      <w:r>
        <w:rPr>
          <w:rFonts w:ascii="Times New Roman" w:hAnsi="Times New Roman" w:cs="Times New Roman"/>
          <w:bCs/>
          <w:sz w:val="28"/>
        </w:rPr>
        <w:t>enome</w:t>
      </w:r>
      <w:r>
        <w:rPr>
          <w:rFonts w:ascii="Times New Roman" w:hAnsi="Times New Roman" w:cs="Times New Roman" w:hint="eastAsia"/>
          <w:bCs/>
          <w:sz w:val="28"/>
        </w:rPr>
        <w:t xml:space="preserve"> information of </w:t>
      </w:r>
      <w:r>
        <w:rPr>
          <w:rFonts w:ascii="Times New Roman" w:hAnsi="Times New Roman" w:cs="Times New Roman"/>
          <w:bCs/>
          <w:sz w:val="28"/>
        </w:rPr>
        <w:t>34</w:t>
      </w:r>
      <w:r>
        <w:rPr>
          <w:rFonts w:ascii="Times New Roman" w:hAnsi="Times New Roman" w:cs="Times New Roman" w:hint="eastAsia"/>
          <w:bCs/>
          <w:sz w:val="28"/>
        </w:rPr>
        <w:t xml:space="preserve"> samples </w:t>
      </w:r>
      <w:r w:rsidR="00073056">
        <w:rPr>
          <w:rFonts w:ascii="Times New Roman" w:hAnsi="Times New Roman" w:cs="Times New Roman"/>
          <w:bCs/>
          <w:sz w:val="28"/>
        </w:rPr>
        <w:t xml:space="preserve">of </w:t>
      </w:r>
      <w:r w:rsidR="00073056" w:rsidRPr="00073056">
        <w:rPr>
          <w:rFonts w:ascii="Times New Roman" w:hAnsi="Times New Roman" w:cs="Times New Roman"/>
          <w:bCs/>
          <w:i/>
          <w:iCs/>
          <w:sz w:val="28"/>
        </w:rPr>
        <w:t>Diaphorina citri</w:t>
      </w:r>
      <w:r w:rsidR="00073056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073056">
        <w:rPr>
          <w:rFonts w:ascii="Times New Roman" w:hAnsi="Times New Roman" w:cs="Times New Roman"/>
          <w:bCs/>
          <w:sz w:val="28"/>
        </w:rPr>
        <w:t>psillids</w:t>
      </w:r>
      <w:proofErr w:type="spellEnd"/>
      <w:r w:rsidR="00073056">
        <w:rPr>
          <w:rFonts w:ascii="Times New Roman" w:hAnsi="Times New Roman" w:cs="Times New Roman"/>
          <w:bCs/>
          <w:sz w:val="28"/>
        </w:rPr>
        <w:t xml:space="preserve"> from China </w:t>
      </w:r>
      <w:r>
        <w:rPr>
          <w:rFonts w:ascii="Times New Roman" w:hAnsi="Times New Roman" w:cs="Times New Roman" w:hint="eastAsia"/>
          <w:bCs/>
          <w:sz w:val="28"/>
        </w:rPr>
        <w:t xml:space="preserve">sequenced by Next </w:t>
      </w:r>
      <w:r w:rsidR="00C24761">
        <w:rPr>
          <w:rFonts w:ascii="Times New Roman" w:hAnsi="Times New Roman" w:cs="Times New Roman"/>
          <w:bCs/>
          <w:sz w:val="28"/>
        </w:rPr>
        <w:t>G</w:t>
      </w:r>
      <w:r>
        <w:rPr>
          <w:rFonts w:ascii="Times New Roman" w:hAnsi="Times New Roman" w:cs="Times New Roman" w:hint="eastAsia"/>
          <w:bCs/>
          <w:sz w:val="28"/>
        </w:rPr>
        <w:t xml:space="preserve">eneration </w:t>
      </w:r>
      <w:r w:rsidR="00C24761">
        <w:rPr>
          <w:rFonts w:ascii="Times New Roman" w:hAnsi="Times New Roman" w:cs="Times New Roman"/>
          <w:bCs/>
          <w:sz w:val="28"/>
        </w:rPr>
        <w:t>S</w:t>
      </w:r>
      <w:r>
        <w:rPr>
          <w:rFonts w:ascii="Times New Roman" w:hAnsi="Times New Roman" w:cs="Times New Roman" w:hint="eastAsia"/>
          <w:bCs/>
          <w:sz w:val="28"/>
        </w:rPr>
        <w:t>equencing (NGS)</w:t>
      </w:r>
    </w:p>
    <w:tbl>
      <w:tblPr>
        <w:tblpPr w:leftFromText="180" w:rightFromText="180" w:vertAnchor="text" w:tblpXSpec="center" w:tblpY="1"/>
        <w:tblOverlap w:val="never"/>
        <w:tblW w:w="4998" w:type="pct"/>
        <w:tblLook w:val="04A0" w:firstRow="1" w:lastRow="0" w:firstColumn="1" w:lastColumn="0" w:noHBand="0" w:noVBand="1"/>
      </w:tblPr>
      <w:tblGrid>
        <w:gridCol w:w="625"/>
        <w:gridCol w:w="767"/>
        <w:gridCol w:w="963"/>
        <w:gridCol w:w="1638"/>
        <w:gridCol w:w="1351"/>
        <w:gridCol w:w="1388"/>
        <w:gridCol w:w="1483"/>
        <w:gridCol w:w="1330"/>
        <w:gridCol w:w="883"/>
      </w:tblGrid>
      <w:tr w:rsidR="00B66DA0" w:rsidTr="00501B7F">
        <w:trPr>
          <w:trHeight w:val="407"/>
        </w:trPr>
        <w:tc>
          <w:tcPr>
            <w:tcW w:w="302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B66DA0" w:rsidRDefault="00501B7F">
            <w:pPr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No.</w:t>
            </w:r>
          </w:p>
        </w:tc>
        <w:tc>
          <w:tcPr>
            <w:tcW w:w="366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B66DA0" w:rsidRDefault="00501B7F">
            <w:pPr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Country</w:t>
            </w:r>
          </w:p>
        </w:tc>
        <w:tc>
          <w:tcPr>
            <w:tcW w:w="452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B66DA0" w:rsidRDefault="00501B7F">
            <w:pPr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Province/ State</w:t>
            </w:r>
          </w:p>
        </w:tc>
        <w:tc>
          <w:tcPr>
            <w:tcW w:w="792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B66DA0" w:rsidRDefault="00501B7F">
            <w:pPr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Region</w:t>
            </w:r>
          </w:p>
        </w:tc>
        <w:tc>
          <w:tcPr>
            <w:tcW w:w="2673" w:type="pct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Size(bp) and coverage(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x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) of each genome </w:t>
            </w:r>
          </w:p>
        </w:tc>
        <w:tc>
          <w:tcPr>
            <w:tcW w:w="415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Notes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  <w:vMerge/>
            <w:tcBorders>
              <w:bottom w:val="single" w:sz="8" w:space="0" w:color="auto"/>
            </w:tcBorders>
            <w:shd w:val="clear" w:color="auto" w:fill="auto"/>
          </w:tcPr>
          <w:p w:rsidR="00B66DA0" w:rsidRDefault="00B66DA0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bottom w:val="single" w:sz="8" w:space="0" w:color="auto"/>
            </w:tcBorders>
            <w:shd w:val="clear" w:color="auto" w:fill="auto"/>
          </w:tcPr>
          <w:p w:rsidR="00B66DA0" w:rsidRDefault="00B66DA0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vMerge/>
            <w:tcBorders>
              <w:bottom w:val="single" w:sz="8" w:space="0" w:color="auto"/>
            </w:tcBorders>
            <w:shd w:val="clear" w:color="auto" w:fill="auto"/>
          </w:tcPr>
          <w:p w:rsidR="00B66DA0" w:rsidRDefault="00B66DA0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bottom w:val="single" w:sz="8" w:space="0" w:color="auto"/>
            </w:tcBorders>
            <w:shd w:val="clear" w:color="auto" w:fill="auto"/>
          </w:tcPr>
          <w:p w:rsidR="00B66DA0" w:rsidRDefault="00B66DA0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Mitogenome</w:t>
            </w:r>
          </w:p>
        </w:tc>
        <w:tc>
          <w:tcPr>
            <w:tcW w:w="65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Cr</w:t>
            </w:r>
            <w:proofErr w:type="spellEnd"/>
          </w:p>
        </w:tc>
        <w:tc>
          <w:tcPr>
            <w:tcW w:w="71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Ca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Pa</w:t>
            </w:r>
            <w:proofErr w:type="spellEnd"/>
          </w:p>
        </w:tc>
        <w:tc>
          <w:tcPr>
            <w:tcW w:w="64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Ca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Pa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plasmid</w:t>
            </w:r>
          </w:p>
        </w:tc>
        <w:tc>
          <w:tcPr>
            <w:tcW w:w="415" w:type="pct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66DA0" w:rsidRDefault="00B66DA0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66DA0" w:rsidTr="00501B7F">
        <w:trPr>
          <w:trHeight w:val="269"/>
        </w:trPr>
        <w:tc>
          <w:tcPr>
            <w:tcW w:w="302" w:type="pct"/>
            <w:tcBorders>
              <w:top w:val="single" w:sz="8" w:space="0" w:color="auto"/>
            </w:tcBorders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B1</w:t>
            </w:r>
          </w:p>
        </w:tc>
        <w:tc>
          <w:tcPr>
            <w:tcW w:w="366" w:type="pct"/>
            <w:tcBorders>
              <w:top w:val="single" w:sz="8" w:space="0" w:color="auto"/>
            </w:tcBorders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452" w:type="pct"/>
            <w:tcBorders>
              <w:top w:val="single" w:sz="8" w:space="0" w:color="auto"/>
            </w:tcBorders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Guangdong</w:t>
            </w:r>
          </w:p>
        </w:tc>
        <w:tc>
          <w:tcPr>
            <w:tcW w:w="792" w:type="pct"/>
            <w:tcBorders>
              <w:top w:val="single" w:sz="8" w:space="0" w:color="auto"/>
            </w:tcBorders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Guangzhou (Tianhe)</w:t>
            </w:r>
          </w:p>
        </w:tc>
        <w:tc>
          <w:tcPr>
            <w:tcW w:w="656" w:type="pct"/>
            <w:tcBorders>
              <w:top w:val="single" w:sz="8" w:space="0" w:color="auto"/>
            </w:tcBorders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14,996; 4,001</w:t>
            </w:r>
          </w:p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Wu et al.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57" w:type="pct"/>
            <w:tcBorders>
              <w:top w:val="single" w:sz="8" w:space="0" w:color="auto"/>
            </w:tcBorders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174,018; 65.05</w:t>
            </w:r>
          </w:p>
        </w:tc>
        <w:tc>
          <w:tcPr>
            <w:tcW w:w="717" w:type="pct"/>
            <w:tcBorders>
              <w:top w:val="single" w:sz="8" w:space="0" w:color="auto"/>
            </w:tcBorders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457,569; 474.75</w:t>
            </w:r>
          </w:p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Wu et al.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5)</w:t>
            </w:r>
          </w:p>
        </w:tc>
        <w:tc>
          <w:tcPr>
            <w:tcW w:w="643" w:type="pct"/>
            <w:tcBorders>
              <w:top w:val="single" w:sz="8" w:space="0" w:color="auto"/>
            </w:tcBorders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1,988.47</w:t>
            </w:r>
          </w:p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Wu et al.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5)</w:t>
            </w:r>
          </w:p>
        </w:tc>
        <w:tc>
          <w:tcPr>
            <w:tcW w:w="415" w:type="pct"/>
            <w:tcBorders>
              <w:top w:val="single" w:sz="8" w:space="0" w:color="auto"/>
            </w:tcBorders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References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B2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B66DA0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Guangzhou 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Conghua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) 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14,978; 97,058.36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174,018; 85.64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457,571; 207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5,460; 1,323.23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B3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B66DA0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Foshan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14,992; 3,984.56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174,020; 181.81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457,568; 1,468.34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726.52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B4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Huizhou (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Huicheng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14,995; 419.32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174,020; 32.34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457,569; 595.97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1,314.73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B5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Jieyang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Jiedong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14,995; 6,103.18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174,018; 135.99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457,563; 108.76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5,459; 349.53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B6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Chaozhou(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Xiangqiao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14,999; 3,984.14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174,021; 68.59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457,573; 141.20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161.30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B7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Shantou(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Nanao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14,979; 67,253.18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174,013; 49.97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457,568; 43.81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534.70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B8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Shaoguan</w:t>
            </w:r>
            <w:proofErr w:type="spellEnd"/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14,994; 5,336.23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174,021; 496.67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457,574; 12.11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22.13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B9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B66DA0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Yunfu</w:t>
            </w:r>
            <w:proofErr w:type="spellEnd"/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14,999; 263.45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174,019; 32.68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457,570; 39.06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56.96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B10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B66DA0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Yunan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14,989; 668.72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174,020; 68.12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457,570; 16.83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5,459; 34.39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B11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B66DA0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Meizhou(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Meixian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14,996; 2,961.91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174,018; 71.25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457,572; 137.26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147.44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B12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B66DA0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Meizhou(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Fengshun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14,979; 25,647.03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174,024; 696.50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457,564; 211.43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5,460; 668.33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B13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B66DA0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Heyuan</w:t>
            </w:r>
            <w:proofErr w:type="spellEnd"/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14,993; 5,484.48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174,020; 275.03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457,570; 96.57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130.17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B14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Jiangmen(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Xinhui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14,985; 395.30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174,020; 3,889.82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457,574; 345.12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433.91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B15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Zhaoqing</w:t>
            </w:r>
            <w:proofErr w:type="spellEnd"/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14,979; 77,811.00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174,019; 28.40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457,572; 43.02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293.93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69"/>
        </w:trPr>
        <w:tc>
          <w:tcPr>
            <w:tcW w:w="30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B16</w:t>
            </w:r>
          </w:p>
        </w:tc>
        <w:tc>
          <w:tcPr>
            <w:tcW w:w="36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2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Qingyuan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14,940; 455.88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174,023; 1.61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457,568; 1.88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14.19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B17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Maoming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14,984; 2,921.81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174,021; 2,366.60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457,571; 463.17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1,644.02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B18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Zhanjiang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14,990; 1,201.62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174,022; 19.65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457,571; 195.56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326.52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B19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Jiangxi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Fuzhou(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Nanfeng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14,995; 2,214.02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174,027; 1.32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457,570; 10.67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51.14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B20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Pingxiang</w:t>
            </w:r>
            <w:proofErr w:type="spellEnd"/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14,978; 2,550.25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174,016; 11.58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457,572; 39.91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76.08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B21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Ganzhou(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Xinfeng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14,979; 2,608.17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174,022; 441.92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457,574; 25.46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166.03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B22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Guangxi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Guilin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14,978; 3990.79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174,017; 4.13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457,574; 5.95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9.83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B23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Qinzhou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14,796; 7,153.58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174,018; 41.30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457,568; 75.21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474.31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B24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Wuzhou</w:t>
            </w:r>
            <w:proofErr w:type="spellEnd"/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14,993; 3,908.70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174,016; 434.19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457,568; 983.61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4,867.09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B25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Fujian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Quanzhou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14,993; 2,548.41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174,019; 53.71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457,567; 132.37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5,457; 183.60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B26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Hainan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Chengmai</w:t>
            </w:r>
            <w:proofErr w:type="spellEnd"/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14,980; 2,302.39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174,020; 186.28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457,569; 73.80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261.02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B27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Taiwan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Nantou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14,978; 1,004.26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174,021; 29.33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457,570; 74.57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5,459; 2,408.05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B28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Hunan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Yongxing</w:t>
            </w:r>
            <w:proofErr w:type="spellEnd"/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14,979; 2,513.92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174,021; 9.55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457,571; 304.05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1,305.53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B29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Zhejiang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Wenzhou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14,978; 56.13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174,025; 7.84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457,571; 8.34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5,459; 104.22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B30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Yunnan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Mangshi</w:t>
            </w:r>
            <w:proofErr w:type="spellEnd"/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14,994; 2.128.42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174,022; 2.19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457,574; 107.22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5,462; 413.47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B31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Guizhou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Ceheng</w:t>
            </w:r>
            <w:proofErr w:type="spellEnd"/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14,978; 6,620.06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174,022; 2.77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457,569; 4.48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19.42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B32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Sichuan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Leibo</w:t>
            </w:r>
            <w:proofErr w:type="spellEnd"/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14,980; 6,619.22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174,021; 17.95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457,569; 52.98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5,459; 748.43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Detection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B33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America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California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San Gabriel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14,994; 760.08</w:t>
            </w:r>
          </w:p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Wu et al.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7)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174,022; 58.71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457,569; 224.19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5,458; 298.31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Outgroups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B34</w:t>
            </w:r>
          </w:p>
        </w:tc>
        <w:tc>
          <w:tcPr>
            <w:tcW w:w="366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Florida</w:t>
            </w:r>
          </w:p>
        </w:tc>
        <w:tc>
          <w:tcPr>
            <w:tcW w:w="792" w:type="pct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Immokalee</w:t>
            </w:r>
          </w:p>
        </w:tc>
        <w:tc>
          <w:tcPr>
            <w:tcW w:w="656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14,996; 1,985.18</w:t>
            </w:r>
          </w:p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Wu et al.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7)</w:t>
            </w:r>
          </w:p>
        </w:tc>
        <w:tc>
          <w:tcPr>
            <w:tcW w:w="65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174,025; 1.52</w:t>
            </w:r>
          </w:p>
        </w:tc>
        <w:tc>
          <w:tcPr>
            <w:tcW w:w="717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457,579; 19.60</w:t>
            </w:r>
          </w:p>
        </w:tc>
        <w:tc>
          <w:tcPr>
            <w:tcW w:w="643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5,459; 42.55</w:t>
            </w:r>
          </w:p>
        </w:tc>
        <w:tc>
          <w:tcPr>
            <w:tcW w:w="415" w:type="pct"/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Outgroups</w:t>
            </w:r>
          </w:p>
        </w:tc>
      </w:tr>
      <w:tr w:rsidR="00B66DA0" w:rsidTr="00501B7F">
        <w:trPr>
          <w:trHeight w:val="283"/>
        </w:trPr>
        <w:tc>
          <w:tcPr>
            <w:tcW w:w="302" w:type="pct"/>
            <w:tcBorders>
              <w:bottom w:val="single" w:sz="8" w:space="0" w:color="auto"/>
            </w:tcBorders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Range</w:t>
            </w:r>
          </w:p>
        </w:tc>
        <w:tc>
          <w:tcPr>
            <w:tcW w:w="366" w:type="pct"/>
            <w:tcBorders>
              <w:bottom w:val="single" w:sz="8" w:space="0" w:color="auto"/>
            </w:tcBorders>
          </w:tcPr>
          <w:p w:rsidR="00B66DA0" w:rsidRDefault="00B66DA0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bottom w:val="single" w:sz="8" w:space="0" w:color="auto"/>
            </w:tcBorders>
          </w:tcPr>
          <w:p w:rsidR="00B66DA0" w:rsidRDefault="00B66DA0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2" w:type="pct"/>
            <w:tcBorders>
              <w:bottom w:val="single" w:sz="8" w:space="0" w:color="auto"/>
            </w:tcBorders>
          </w:tcPr>
          <w:p w:rsidR="00B66DA0" w:rsidRDefault="00B66DA0">
            <w:pPr>
              <w:widowControl/>
              <w:spacing w:line="192" w:lineRule="auto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6" w:type="pct"/>
            <w:tcBorders>
              <w:bottom w:val="single" w:sz="8" w:space="0" w:color="auto"/>
            </w:tcBorders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6"/>
                <w:szCs w:val="16"/>
              </w:rPr>
              <w:t>14,940~14,999; 56.13~97,058.36</w:t>
            </w:r>
          </w:p>
        </w:tc>
        <w:tc>
          <w:tcPr>
            <w:tcW w:w="657" w:type="pct"/>
            <w:tcBorders>
              <w:bottom w:val="single" w:sz="8" w:space="0" w:color="auto"/>
            </w:tcBorders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174,013~174,025; 1.32~3,889.82</w:t>
            </w:r>
          </w:p>
        </w:tc>
        <w:tc>
          <w:tcPr>
            <w:tcW w:w="717" w:type="pct"/>
            <w:tcBorders>
              <w:bottom w:val="single" w:sz="8" w:space="0" w:color="auto"/>
            </w:tcBorders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457,563~457,579; 1.88~1,468.34</w:t>
            </w:r>
          </w:p>
        </w:tc>
        <w:tc>
          <w:tcPr>
            <w:tcW w:w="643" w:type="pct"/>
            <w:tcBorders>
              <w:bottom w:val="single" w:sz="8" w:space="0" w:color="auto"/>
            </w:tcBorders>
            <w:shd w:val="clear" w:color="auto" w:fill="auto"/>
          </w:tcPr>
          <w:p w:rsidR="00B66DA0" w:rsidRDefault="00501B7F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5,457~5,462; 9.83~4,867.09</w:t>
            </w:r>
          </w:p>
        </w:tc>
        <w:tc>
          <w:tcPr>
            <w:tcW w:w="415" w:type="pct"/>
            <w:tcBorders>
              <w:bottom w:val="single" w:sz="8" w:space="0" w:color="auto"/>
            </w:tcBorders>
            <w:shd w:val="clear" w:color="auto" w:fill="auto"/>
          </w:tcPr>
          <w:p w:rsidR="00B66DA0" w:rsidRDefault="00B66DA0">
            <w:pPr>
              <w:widowControl/>
              <w:spacing w:line="192" w:lineRule="auto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:rsidR="00B66DA0" w:rsidRDefault="00501B7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Note: </w:t>
      </w:r>
      <w:proofErr w:type="spellStart"/>
      <w:r>
        <w:rPr>
          <w:rFonts w:ascii="Times New Roman" w:eastAsia="SimSun" w:hAnsi="Times New Roman" w:cs="Times New Roman"/>
          <w:i/>
          <w:sz w:val="20"/>
          <w:szCs w:val="20"/>
        </w:rPr>
        <w:t>Ca</w:t>
      </w:r>
      <w:r>
        <w:rPr>
          <w:rFonts w:ascii="Times New Roman" w:eastAsia="SimSun" w:hAnsi="Times New Roman" w:cs="Times New Roman"/>
          <w:sz w:val="20"/>
          <w:szCs w:val="20"/>
        </w:rPr>
        <w:t>Cr</w:t>
      </w:r>
      <w:proofErr w:type="spellEnd"/>
      <w:proofErr w:type="gramStart"/>
      <w:r>
        <w:rPr>
          <w:rFonts w:ascii="Times New Roman" w:eastAsia="SimSun" w:hAnsi="Times New Roman" w:cs="Times New Roman" w:hint="eastAsia"/>
          <w:sz w:val="20"/>
          <w:szCs w:val="20"/>
        </w:rPr>
        <w:t>-</w:t>
      </w:r>
      <w:r>
        <w:rPr>
          <w:rFonts w:ascii="Times New Roman" w:eastAsia="SimSun" w:hAnsi="Times New Roman" w:cs="Times New Roman"/>
          <w:sz w:val="20"/>
          <w:szCs w:val="20"/>
        </w:rPr>
        <w:t>“</w:t>
      </w:r>
      <w:proofErr w:type="spellStart"/>
      <w:proofErr w:type="gramEnd"/>
      <w:r>
        <w:rPr>
          <w:rFonts w:ascii="Times New Roman" w:eastAsia="SimSun" w:hAnsi="Times New Roman" w:cs="Times New Roman"/>
          <w:i/>
          <w:sz w:val="20"/>
          <w:szCs w:val="20"/>
        </w:rPr>
        <w:t>Ca</w:t>
      </w:r>
      <w:r>
        <w:rPr>
          <w:rFonts w:ascii="Times New Roman" w:eastAsia="SimSun" w:hAnsi="Times New Roman" w:cs="Times New Roman" w:hint="eastAsia"/>
          <w:i/>
          <w:sz w:val="20"/>
          <w:szCs w:val="20"/>
        </w:rPr>
        <w:t>ndidatus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Carsonella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ruddii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>”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  <w:i/>
          <w:iCs/>
        </w:rPr>
        <w:t>Ca</w:t>
      </w:r>
      <w:r>
        <w:rPr>
          <w:rFonts w:ascii="Times New Roman" w:hAnsi="Times New Roman" w:cs="Times New Roman" w:hint="eastAsia"/>
        </w:rPr>
        <w:t>Pa</w:t>
      </w:r>
      <w:proofErr w:type="spellEnd"/>
      <w:r>
        <w:rPr>
          <w:rFonts w:ascii="Times New Roman" w:hAnsi="Times New Roman" w:cs="Times New Roman" w:hint="eastAsia"/>
        </w:rPr>
        <w:t>-</w:t>
      </w:r>
      <w:r>
        <w:rPr>
          <w:rFonts w:ascii="Times New Roman" w:eastAsia="SimSun" w:hAnsi="Times New Roman" w:cs="Times New Roman"/>
          <w:sz w:val="20"/>
          <w:szCs w:val="20"/>
        </w:rPr>
        <w:t>“</w:t>
      </w:r>
      <w:r>
        <w:rPr>
          <w:rFonts w:ascii="Times New Roman" w:eastAsia="SimSun" w:hAnsi="Times New Roman" w:cs="Times New Roman"/>
          <w:i/>
          <w:sz w:val="20"/>
          <w:szCs w:val="20"/>
        </w:rPr>
        <w:t>Ca.</w:t>
      </w:r>
      <w:r>
        <w:rPr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Profftella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 xml:space="preserve"> armature”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. The citation in parentheses in the table represents </w:t>
      </w:r>
      <w:r w:rsidR="00C24761">
        <w:rPr>
          <w:rFonts w:ascii="Times New Roman" w:eastAsia="SimSun" w:hAnsi="Times New Roman" w:cs="Times New Roman"/>
          <w:sz w:val="20"/>
          <w:szCs w:val="20"/>
        </w:rPr>
        <w:t>a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genome that </w:t>
      </w:r>
      <w:r w:rsidR="00C24761">
        <w:rPr>
          <w:rFonts w:ascii="Times New Roman" w:eastAsia="SimSun" w:hAnsi="Times New Roman" w:cs="Times New Roman"/>
          <w:sz w:val="20"/>
          <w:szCs w:val="20"/>
        </w:rPr>
        <w:t>was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published in relevant literature, while the remaining entries are newly added samples.</w:t>
      </w:r>
      <w:r>
        <w:rPr>
          <w:rFonts w:ascii="Times New Roman" w:hAnsi="Times New Roman" w:cs="Times New Roman"/>
        </w:rPr>
        <w:br w:type="page"/>
      </w:r>
    </w:p>
    <w:p w:rsidR="00B66DA0" w:rsidRDefault="00501B7F">
      <w:pPr>
        <w:spacing w:line="360" w:lineRule="auto"/>
      </w:pPr>
      <w:r>
        <w:rPr>
          <w:noProof/>
        </w:rPr>
        <w:lastRenderedPageBreak/>
        <w:drawing>
          <wp:inline distT="0" distB="0" distL="114300" distR="114300">
            <wp:extent cx="6619875" cy="6365875"/>
            <wp:effectExtent l="0" t="0" r="9525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636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A0" w:rsidRDefault="00501B7F">
      <w:pPr>
        <w:spacing w:line="360" w:lineRule="auto"/>
      </w:pPr>
      <w:r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C24761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S1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Phylogenetic analyses of </w:t>
      </w:r>
      <w:r>
        <w:rPr>
          <w:rFonts w:ascii="Times New Roman" w:hAnsi="Times New Roman" w:cs="Times New Roman"/>
          <w:i/>
          <w:sz w:val="20"/>
          <w:szCs w:val="20"/>
        </w:rPr>
        <w:t>Diaphorina citri</w:t>
      </w:r>
      <w:r>
        <w:rPr>
          <w:rFonts w:ascii="Times New Roman" w:hAnsi="Times New Roman" w:cs="Times New Roman"/>
          <w:sz w:val="20"/>
          <w:szCs w:val="20"/>
        </w:rPr>
        <w:t xml:space="preserve"> mitogenome sequences based on </w:t>
      </w:r>
      <w:r>
        <w:rPr>
          <w:rFonts w:ascii="Times New Roman" w:hAnsi="Times New Roman" w:cs="Times New Roman"/>
          <w:i/>
          <w:sz w:val="20"/>
          <w:szCs w:val="20"/>
        </w:rPr>
        <w:t>cox1</w:t>
      </w:r>
      <w:r>
        <w:rPr>
          <w:rFonts w:ascii="Times New Roman" w:hAnsi="Times New Roman" w:cs="Times New Roman"/>
          <w:sz w:val="20"/>
          <w:szCs w:val="20"/>
        </w:rPr>
        <w:t xml:space="preserve"> gene. Numbers at the nodes are bootstrap values from maximum likelihood /posterior probabilities from Bayesian inference analysis. Accessions from China are presented in red. </w:t>
      </w:r>
      <w:r>
        <w:rPr>
          <w:rFonts w:ascii="Times New Roman" w:hAnsi="Times New Roman" w:cs="Times New Roman" w:hint="eastAsia"/>
          <w:sz w:val="20"/>
          <w:szCs w:val="20"/>
        </w:rPr>
        <w:t xml:space="preserve">Samples were identified by Mitochondrial Group (MG) subgroups matching Figure 3: MG1-1: deep red. MG1-2: blue, MG1-3: orange, MG1-4: green, MG1-5: light red, MG2-1: purple, MG2-2: magenta, MG3: black. </w:t>
      </w:r>
      <w:r>
        <w:rPr>
          <w:rFonts w:ascii="Times New Roman" w:hAnsi="Times New Roman" w:cs="Times New Roman"/>
          <w:sz w:val="20"/>
          <w:szCs w:val="20"/>
        </w:rPr>
        <w:t xml:space="preserve">Host plants </w:t>
      </w:r>
      <w:bookmarkStart w:id="0" w:name="OLE_LINK1"/>
      <w:bookmarkStart w:id="1" w:name="OLE_LINK2"/>
      <w:r>
        <w:rPr>
          <w:rFonts w:ascii="Times New Roman" w:hAnsi="Times New Roman" w:cs="Times New Roman" w:hint="eastAsia"/>
          <w:sz w:val="20"/>
          <w:szCs w:val="20"/>
        </w:rPr>
        <w:t>symbol</w:t>
      </w:r>
      <w:bookmarkEnd w:id="0"/>
      <w:bookmarkEnd w:id="1"/>
      <w:r>
        <w:rPr>
          <w:rFonts w:ascii="Times New Roman" w:hAnsi="Times New Roman" w:cs="Times New Roman"/>
          <w:sz w:val="20"/>
          <w:szCs w:val="20"/>
        </w:rPr>
        <w:t xml:space="preserve">s: </w:t>
      </w:r>
      <w:r>
        <w:rPr>
          <w:rFonts w:ascii="Cambria Math" w:hAnsi="Cambria Math" w:cs="Cambria Math"/>
          <w:sz w:val="20"/>
          <w:szCs w:val="20"/>
        </w:rPr>
        <w:t>①</w:t>
      </w:r>
      <w:r>
        <w:rPr>
          <w:rFonts w:ascii="Times New Roman" w:hAnsi="Times New Roman" w:cs="Times New Roman"/>
          <w:i/>
          <w:sz w:val="20"/>
          <w:szCs w:val="20"/>
        </w:rPr>
        <w:t>Citrus reticulata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Cambria Math" w:hAnsi="Cambria Math" w:cs="Cambria Math"/>
          <w:sz w:val="20"/>
          <w:szCs w:val="20"/>
        </w:rPr>
        <w:t>②</w:t>
      </w:r>
      <w:r>
        <w:rPr>
          <w:rFonts w:ascii="Times New Roman" w:hAnsi="Times New Roman" w:cs="Times New Roman"/>
          <w:i/>
          <w:sz w:val="20"/>
          <w:szCs w:val="20"/>
        </w:rPr>
        <w:t>Murraya paniculata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Cambria Math" w:hAnsi="Cambria Math" w:cs="Cambria Math"/>
          <w:sz w:val="20"/>
          <w:szCs w:val="20"/>
        </w:rPr>
        <w:t>③</w:t>
      </w:r>
      <w:r>
        <w:rPr>
          <w:rFonts w:ascii="Times New Roman" w:hAnsi="Times New Roman" w:cs="Times New Roman"/>
          <w:i/>
          <w:sz w:val="20"/>
          <w:szCs w:val="20"/>
        </w:rPr>
        <w:t>C. maxima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Cambria Math" w:hAnsi="Cambria Math" w:cs="Cambria Math"/>
          <w:sz w:val="20"/>
          <w:szCs w:val="20"/>
        </w:rPr>
        <w:t>④</w:t>
      </w:r>
      <w:r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sinensis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Cambria Math" w:hAnsi="Cambria Math" w:cs="Cambria Math"/>
          <w:sz w:val="20"/>
          <w:szCs w:val="20"/>
        </w:rPr>
        <w:t>⑤</w:t>
      </w:r>
      <w:r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medica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Cambria Math" w:hAnsi="Cambria Math" w:cs="Cambria Math"/>
          <w:sz w:val="20"/>
          <w:szCs w:val="20"/>
        </w:rPr>
        <w:t>⑥</w:t>
      </w:r>
      <w:r>
        <w:rPr>
          <w:rFonts w:ascii="Times New Roman" w:hAnsi="Times New Roman" w:cs="Times New Roman"/>
          <w:i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. ×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aurantium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‘sweet orange’, </w:t>
      </w:r>
      <w:r>
        <w:rPr>
          <w:rFonts w:ascii="Cambria Math" w:hAnsi="Cambria Math" w:cs="Cambria Math"/>
          <w:sz w:val="20"/>
          <w:szCs w:val="20"/>
        </w:rPr>
        <w:t>⑦</w:t>
      </w:r>
      <w:r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limon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Cambria Math" w:hAnsi="Cambria Math" w:cs="Cambria Math"/>
          <w:sz w:val="20"/>
          <w:szCs w:val="20"/>
        </w:rPr>
        <w:t>⑧</w:t>
      </w:r>
      <w:r>
        <w:rPr>
          <w:rFonts w:ascii="Times New Roman" w:hAnsi="Times New Roman" w:cs="Times New Roman"/>
          <w:i/>
          <w:sz w:val="20"/>
          <w:szCs w:val="20"/>
        </w:rPr>
        <w:t>C. japonica</w:t>
      </w:r>
    </w:p>
    <w:p w:rsidR="00B66DA0" w:rsidRDefault="00501B7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66DA0" w:rsidRDefault="00B66DA0">
      <w:pPr>
        <w:spacing w:line="360" w:lineRule="auto"/>
        <w:sectPr w:rsidR="00B66DA0">
          <w:pgSz w:w="11906" w:h="16838"/>
          <w:pgMar w:top="851" w:right="737" w:bottom="851" w:left="737" w:header="851" w:footer="992" w:gutter="0"/>
          <w:cols w:space="425"/>
          <w:docGrid w:type="linesAndChars" w:linePitch="312"/>
        </w:sectPr>
      </w:pPr>
    </w:p>
    <w:p w:rsidR="00B66DA0" w:rsidRDefault="00501B7F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9206230" cy="5307330"/>
            <wp:effectExtent l="0" t="0" r="127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06230" cy="530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DA0" w:rsidRPr="00C24761" w:rsidRDefault="00501B7F" w:rsidP="00C24761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B66DA0" w:rsidRPr="00C24761">
          <w:pgSz w:w="16838" w:h="11906" w:orient="landscape"/>
          <w:pgMar w:top="737" w:right="851" w:bottom="737" w:left="851" w:header="851" w:footer="992" w:gutter="0"/>
          <w:cols w:space="0"/>
          <w:docGrid w:type="linesAndChars" w:linePitch="316"/>
        </w:sectPr>
      </w:pPr>
      <w:r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C24761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S2</w:t>
      </w:r>
      <w:r>
        <w:rPr>
          <w:rFonts w:ascii="Times New Roman" w:hAnsi="Times New Roman" w:cs="Times New Roman"/>
          <w:sz w:val="20"/>
          <w:szCs w:val="20"/>
        </w:rPr>
        <w:t xml:space="preserve"> Phylogenetic analyses of </w:t>
      </w:r>
      <w:r>
        <w:rPr>
          <w:rFonts w:ascii="Times New Roman" w:hAnsi="Times New Roman" w:cs="Times New Roman"/>
          <w:i/>
          <w:sz w:val="20"/>
          <w:szCs w:val="20"/>
        </w:rPr>
        <w:t>Diaphorina citri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</w:rPr>
        <w:t>“</w:t>
      </w:r>
      <w:proofErr w:type="spellStart"/>
      <w:r>
        <w:rPr>
          <w:rFonts w:ascii="Times New Roman" w:eastAsia="SimSun" w:hAnsi="Times New Roman" w:cs="Times New Roman"/>
          <w:i/>
          <w:sz w:val="20"/>
          <w:szCs w:val="20"/>
        </w:rPr>
        <w:t>Ca</w:t>
      </w:r>
      <w:r>
        <w:rPr>
          <w:rFonts w:ascii="Times New Roman" w:eastAsia="SimSun" w:hAnsi="Times New Roman" w:cs="Times New Roman" w:hint="eastAsia"/>
          <w:i/>
          <w:sz w:val="20"/>
          <w:szCs w:val="20"/>
        </w:rPr>
        <w:t>ndidatus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Carsonella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ruddii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 xml:space="preserve">” </w:t>
      </w:r>
      <w:r>
        <w:rPr>
          <w:rFonts w:ascii="Times New Roman" w:hAnsi="Times New Roman" w:cs="Times New Roman"/>
          <w:sz w:val="20"/>
          <w:szCs w:val="20"/>
        </w:rPr>
        <w:t xml:space="preserve">sequences based on the 16SrDNA gene. Numbers at the nodes are bootstrap values from maximum likelihood/ posterior probabilities from Bayesian inference analysis. </w:t>
      </w:r>
      <w:r>
        <w:rPr>
          <w:rFonts w:ascii="Times New Roman" w:eastAsia="Times New Roman" w:hAnsi="Times New Roman" w:cs="Times New Roman"/>
          <w:sz w:val="20"/>
          <w:szCs w:val="20"/>
        </w:rPr>
        <w:t>Samples were identified by Mitochondrial Group (MG) subgroups matching Figure 3</w:t>
      </w:r>
      <w:r>
        <w:rPr>
          <w:rFonts w:ascii="Times New Roman" w:eastAsia="SimSun" w:hAnsi="Times New Roman" w:cs="Times New Roman" w:hint="eastAsia"/>
          <w:sz w:val="20"/>
          <w:szCs w:val="20"/>
        </w:rPr>
        <w:t>: MG1-1</w:t>
      </w:r>
      <w:r>
        <w:rPr>
          <w:rFonts w:ascii="Times New Roman" w:eastAsia="SimSun" w:hAnsi="Times New Roman" w:cs="Times New Roman"/>
          <w:sz w:val="20"/>
          <w:szCs w:val="20"/>
        </w:rPr>
        <w:t>: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deep red</w:t>
      </w:r>
      <w:r>
        <w:rPr>
          <w:rFonts w:ascii="Times New Roman" w:eastAsia="SimSun" w:hAnsi="Times New Roman" w:cs="Times New Roman"/>
          <w:sz w:val="20"/>
          <w:szCs w:val="20"/>
        </w:rPr>
        <w:t>.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MG1-2</w:t>
      </w:r>
      <w:r>
        <w:rPr>
          <w:rFonts w:ascii="Times New Roman" w:eastAsia="SimSun" w:hAnsi="Times New Roman" w:cs="Times New Roman"/>
          <w:sz w:val="20"/>
          <w:szCs w:val="20"/>
        </w:rPr>
        <w:t>: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blue</w:t>
      </w:r>
      <w:r>
        <w:rPr>
          <w:rFonts w:ascii="Times New Roman" w:eastAsia="SimSun" w:hAnsi="Times New Roman" w:cs="Times New Roman"/>
          <w:sz w:val="20"/>
          <w:szCs w:val="20"/>
        </w:rPr>
        <w:t>,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MG1-3</w:t>
      </w:r>
      <w:r>
        <w:rPr>
          <w:rFonts w:ascii="Times New Roman" w:eastAsia="SimSun" w:hAnsi="Times New Roman" w:cs="Times New Roman"/>
          <w:sz w:val="20"/>
          <w:szCs w:val="20"/>
        </w:rPr>
        <w:t>: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orange</w:t>
      </w:r>
      <w:r>
        <w:rPr>
          <w:rFonts w:ascii="Times New Roman" w:eastAsia="SimSun" w:hAnsi="Times New Roman" w:cs="Times New Roman"/>
          <w:sz w:val="20"/>
          <w:szCs w:val="20"/>
        </w:rPr>
        <w:t>,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MG1-4</w:t>
      </w:r>
      <w:r>
        <w:rPr>
          <w:rFonts w:ascii="Times New Roman" w:eastAsia="SimSun" w:hAnsi="Times New Roman" w:cs="Times New Roman"/>
          <w:sz w:val="20"/>
          <w:szCs w:val="20"/>
        </w:rPr>
        <w:t>: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green</w:t>
      </w:r>
      <w:r>
        <w:rPr>
          <w:rFonts w:ascii="Times New Roman" w:eastAsia="SimSun" w:hAnsi="Times New Roman" w:cs="Times New Roman"/>
          <w:sz w:val="20"/>
          <w:szCs w:val="20"/>
        </w:rPr>
        <w:t>,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MG1-5</w:t>
      </w:r>
      <w:r>
        <w:rPr>
          <w:rFonts w:ascii="Times New Roman" w:eastAsia="SimSun" w:hAnsi="Times New Roman" w:cs="Times New Roman"/>
          <w:sz w:val="20"/>
          <w:szCs w:val="20"/>
        </w:rPr>
        <w:t>: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light red</w:t>
      </w:r>
      <w:r>
        <w:rPr>
          <w:rFonts w:ascii="Times New Roman" w:eastAsia="SimSun" w:hAnsi="Times New Roman" w:cs="Times New Roman"/>
          <w:sz w:val="20"/>
          <w:szCs w:val="20"/>
        </w:rPr>
        <w:t>,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MG2-1</w:t>
      </w:r>
      <w:r>
        <w:rPr>
          <w:rFonts w:ascii="Times New Roman" w:eastAsia="SimSun" w:hAnsi="Times New Roman" w:cs="Times New Roman"/>
          <w:sz w:val="20"/>
          <w:szCs w:val="20"/>
        </w:rPr>
        <w:t>: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purple</w:t>
      </w:r>
      <w:r>
        <w:rPr>
          <w:rFonts w:ascii="Times New Roman" w:eastAsia="SimSun" w:hAnsi="Times New Roman" w:cs="Times New Roman"/>
          <w:sz w:val="20"/>
          <w:szCs w:val="20"/>
        </w:rPr>
        <w:t>,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MG2-2</w:t>
      </w:r>
      <w:r>
        <w:rPr>
          <w:rFonts w:ascii="Times New Roman" w:eastAsia="SimSun" w:hAnsi="Times New Roman" w:cs="Times New Roman"/>
          <w:sz w:val="20"/>
          <w:szCs w:val="20"/>
        </w:rPr>
        <w:t>: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magenta</w:t>
      </w:r>
      <w:r>
        <w:rPr>
          <w:rFonts w:ascii="Times New Roman" w:eastAsia="SimSun" w:hAnsi="Times New Roman" w:cs="Times New Roman"/>
          <w:sz w:val="20"/>
          <w:szCs w:val="20"/>
        </w:rPr>
        <w:t>,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MG3</w:t>
      </w:r>
      <w:r>
        <w:rPr>
          <w:rFonts w:ascii="Times New Roman" w:eastAsia="SimSun" w:hAnsi="Times New Roman" w:cs="Times New Roman"/>
          <w:sz w:val="20"/>
          <w:szCs w:val="20"/>
        </w:rPr>
        <w:t>: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black. </w:t>
      </w:r>
      <w:r>
        <w:rPr>
          <w:rFonts w:ascii="Times New Roman" w:hAnsi="Times New Roman" w:cs="Times New Roman"/>
          <w:sz w:val="20"/>
          <w:szCs w:val="20"/>
        </w:rPr>
        <w:t xml:space="preserve">Host plants </w:t>
      </w:r>
      <w:r>
        <w:rPr>
          <w:rFonts w:ascii="Times New Roman" w:hAnsi="Times New Roman" w:cs="Times New Roman" w:hint="eastAsia"/>
          <w:sz w:val="20"/>
          <w:szCs w:val="20"/>
        </w:rPr>
        <w:t>symbol</w:t>
      </w:r>
      <w:r>
        <w:rPr>
          <w:rFonts w:ascii="Times New Roman" w:hAnsi="Times New Roman" w:cs="Times New Roman"/>
          <w:sz w:val="20"/>
          <w:szCs w:val="20"/>
        </w:rPr>
        <w:t xml:space="preserve">s: </w:t>
      </w:r>
      <w:r>
        <w:rPr>
          <w:rFonts w:ascii="Cambria Math" w:hAnsi="Cambria Math" w:cs="Cambria Math"/>
          <w:sz w:val="20"/>
          <w:szCs w:val="20"/>
        </w:rPr>
        <w:t>①</w:t>
      </w:r>
      <w:r>
        <w:rPr>
          <w:rFonts w:ascii="Times New Roman" w:hAnsi="Times New Roman" w:cs="Times New Roman"/>
          <w:i/>
          <w:sz w:val="20"/>
          <w:szCs w:val="20"/>
        </w:rPr>
        <w:t>Citrus reticulata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Cambria Math" w:hAnsi="Cambria Math" w:cs="Cambria Math"/>
          <w:sz w:val="20"/>
          <w:szCs w:val="20"/>
        </w:rPr>
        <w:t>②</w:t>
      </w:r>
      <w:r>
        <w:rPr>
          <w:rFonts w:ascii="Times New Roman" w:hAnsi="Times New Roman" w:cs="Times New Roman"/>
          <w:i/>
          <w:sz w:val="20"/>
          <w:szCs w:val="20"/>
        </w:rPr>
        <w:t>Murraya paniculata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Cambria Math" w:hAnsi="Cambria Math" w:cs="Cambria Math"/>
          <w:sz w:val="20"/>
          <w:szCs w:val="20"/>
        </w:rPr>
        <w:t>③</w:t>
      </w:r>
      <w:r>
        <w:rPr>
          <w:rFonts w:ascii="Times New Roman" w:hAnsi="Times New Roman" w:cs="Times New Roman"/>
          <w:i/>
          <w:sz w:val="20"/>
          <w:szCs w:val="20"/>
        </w:rPr>
        <w:t>C. maxima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Cambria Math" w:hAnsi="Cambria Math" w:cs="Cambria Math"/>
          <w:sz w:val="20"/>
          <w:szCs w:val="20"/>
        </w:rPr>
        <w:t>④</w:t>
      </w:r>
      <w:r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sinensis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Cambria Math" w:hAnsi="Cambria Math" w:cs="Cambria Math"/>
          <w:sz w:val="20"/>
          <w:szCs w:val="20"/>
        </w:rPr>
        <w:t>⑤</w:t>
      </w:r>
      <w:r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medica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Cambria Math" w:hAnsi="Cambria Math" w:cs="Cambria Math"/>
          <w:sz w:val="20"/>
          <w:szCs w:val="20"/>
        </w:rPr>
        <w:t>⑥</w:t>
      </w:r>
      <w:r>
        <w:rPr>
          <w:rFonts w:ascii="Times New Roman" w:hAnsi="Times New Roman" w:cs="Times New Roman"/>
          <w:i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. ×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aurantium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‘sweet orange</w:t>
      </w:r>
      <w:proofErr w:type="gramStart"/>
      <w:r>
        <w:rPr>
          <w:rFonts w:ascii="Times New Roman" w:hAnsi="Times New Roman" w:cs="Times New Roman"/>
          <w:sz w:val="20"/>
          <w:szCs w:val="20"/>
        </w:rPr>
        <w:t>’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Cambria Math" w:hAnsi="Cambria Math" w:cs="Cambria Math"/>
          <w:sz w:val="20"/>
          <w:szCs w:val="20"/>
        </w:rPr>
        <w:t>⑦</w:t>
      </w:r>
      <w:r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limon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Cambria Math" w:hAnsi="Cambria Math" w:cs="Cambria Math"/>
          <w:sz w:val="20"/>
          <w:szCs w:val="20"/>
        </w:rPr>
        <w:t>⑧</w:t>
      </w:r>
      <w:r>
        <w:rPr>
          <w:rFonts w:ascii="Times New Roman" w:hAnsi="Times New Roman" w:cs="Times New Roman"/>
          <w:i/>
          <w:sz w:val="20"/>
          <w:szCs w:val="20"/>
        </w:rPr>
        <w:t>C. japonica</w:t>
      </w:r>
    </w:p>
    <w:p w:rsidR="00B66DA0" w:rsidRDefault="00501B7F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114300" distR="114300">
            <wp:extent cx="6616065" cy="7925435"/>
            <wp:effectExtent l="0" t="0" r="635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6065" cy="792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A0" w:rsidRDefault="00501B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 w:hint="eastAsia"/>
          <w:b/>
          <w:bCs/>
        </w:rPr>
        <w:t>ig</w:t>
      </w:r>
      <w:r w:rsidR="00C2476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S3</w:t>
      </w:r>
      <w:r>
        <w:rPr>
          <w:rFonts w:ascii="Times New Roman" w:hAnsi="Times New Roman" w:cs="Times New Roman"/>
        </w:rPr>
        <w:t xml:space="preserve"> Heatmap table of numbers of single nucleotide polymorphisms (SNPs) and gaps among the sampled genomes from China belonging to 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i/>
        </w:rPr>
        <w:t xml:space="preserve">Diaphorina citri </w:t>
      </w:r>
      <w:r>
        <w:rPr>
          <w:rFonts w:ascii="Times New Roman" w:hAnsi="Times New Roman" w:cs="Times New Roman"/>
        </w:rPr>
        <w:t xml:space="preserve">mitogenome, (ii) </w:t>
      </w:r>
      <w:r>
        <w:rPr>
          <w:rFonts w:ascii="Times New Roman" w:eastAsia="SimSun" w:hAnsi="Times New Roman" w:cs="Times New Roman"/>
          <w:sz w:val="20"/>
          <w:szCs w:val="20"/>
        </w:rPr>
        <w:t>“</w:t>
      </w:r>
      <w:proofErr w:type="spellStart"/>
      <w:r>
        <w:rPr>
          <w:rFonts w:ascii="Times New Roman" w:eastAsia="SimSun" w:hAnsi="Times New Roman" w:cs="Times New Roman"/>
          <w:i/>
          <w:sz w:val="20"/>
          <w:szCs w:val="20"/>
        </w:rPr>
        <w:t>Ca</w:t>
      </w:r>
      <w:r>
        <w:rPr>
          <w:rFonts w:ascii="Times New Roman" w:eastAsia="SimSun" w:hAnsi="Times New Roman" w:cs="Times New Roman" w:hint="eastAsia"/>
          <w:i/>
          <w:sz w:val="20"/>
          <w:szCs w:val="20"/>
        </w:rPr>
        <w:t>ndidatus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Carsonella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ruddii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>” (</w:t>
      </w:r>
      <w:proofErr w:type="spellStart"/>
      <w:r>
        <w:rPr>
          <w:rFonts w:ascii="Times New Roman" w:eastAsia="SimSun" w:hAnsi="Times New Roman" w:cs="Times New Roman"/>
          <w:i/>
          <w:sz w:val="20"/>
          <w:szCs w:val="20"/>
        </w:rPr>
        <w:t>Ca</w:t>
      </w:r>
      <w:r>
        <w:rPr>
          <w:rFonts w:ascii="Times New Roman" w:eastAsia="SimSun" w:hAnsi="Times New Roman" w:cs="Times New Roman"/>
          <w:sz w:val="20"/>
          <w:szCs w:val="20"/>
        </w:rPr>
        <w:t>Cr</w:t>
      </w:r>
      <w:proofErr w:type="spellEnd"/>
      <w:proofErr w:type="gramStart"/>
      <w:r>
        <w:rPr>
          <w:rFonts w:ascii="Times New Roman" w:hAnsi="Times New Roman" w:cs="Times New Roman"/>
        </w:rPr>
        <w:t>) ,</w:t>
      </w:r>
      <w:proofErr w:type="gramEnd"/>
      <w:r>
        <w:rPr>
          <w:rFonts w:ascii="Times New Roman" w:hAnsi="Times New Roman" w:cs="Times New Roman"/>
        </w:rPr>
        <w:t xml:space="preserve"> (iii) </w:t>
      </w:r>
      <w:r>
        <w:rPr>
          <w:rFonts w:ascii="Times New Roman" w:eastAsia="SimSun" w:hAnsi="Times New Roman" w:cs="Times New Roman"/>
          <w:sz w:val="20"/>
          <w:szCs w:val="20"/>
        </w:rPr>
        <w:t>“</w:t>
      </w:r>
      <w:r>
        <w:rPr>
          <w:rFonts w:ascii="Times New Roman" w:eastAsia="SimSun" w:hAnsi="Times New Roman" w:cs="Times New Roman"/>
          <w:i/>
          <w:sz w:val="20"/>
          <w:szCs w:val="20"/>
        </w:rPr>
        <w:t>Ca.</w:t>
      </w:r>
      <w:r>
        <w:rPr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Profftella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 xml:space="preserve"> armature” (</w:t>
      </w:r>
      <w:proofErr w:type="spellStart"/>
      <w:r>
        <w:rPr>
          <w:rFonts w:ascii="Times New Roman" w:eastAsia="SimSun" w:hAnsi="Times New Roman" w:cs="Times New Roman"/>
          <w:i/>
          <w:sz w:val="20"/>
          <w:szCs w:val="20"/>
        </w:rPr>
        <w:t>Ca</w:t>
      </w:r>
      <w:r>
        <w:rPr>
          <w:rFonts w:ascii="Times New Roman" w:eastAsia="SimSun" w:hAnsi="Times New Roman" w:cs="Times New Roman"/>
          <w:sz w:val="20"/>
          <w:szCs w:val="20"/>
        </w:rPr>
        <w:t>Pa</w:t>
      </w:r>
      <w:proofErr w:type="spellEnd"/>
      <w:r>
        <w:rPr>
          <w:rFonts w:ascii="Times New Roman" w:hAnsi="Times New Roman" w:cs="Times New Roman"/>
        </w:rPr>
        <w:t xml:space="preserve">) and (iv) </w:t>
      </w:r>
      <w:proofErr w:type="spellStart"/>
      <w:r>
        <w:rPr>
          <w:rFonts w:ascii="Times New Roman" w:hAnsi="Times New Roman" w:cs="Times New Roman"/>
          <w:i/>
        </w:rPr>
        <w:t>Ca</w:t>
      </w:r>
      <w:r>
        <w:rPr>
          <w:rFonts w:ascii="Times New Roman" w:hAnsi="Times New Roman" w:cs="Times New Roman"/>
        </w:rPr>
        <w:t>Pa</w:t>
      </w:r>
      <w:proofErr w:type="spellEnd"/>
      <w:r>
        <w:rPr>
          <w:rFonts w:ascii="Times New Roman" w:hAnsi="Times New Roman" w:cs="Times New Roman"/>
        </w:rPr>
        <w:t xml:space="preserve"> associated plasmids. The numbers were established based on respective reference sequences from NCBI: 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 NC_030214, (ii) CP012411, (iii) CP012591, and (iv) CP012592. Numbers in red indicate values for the samples used as reference, numbers in blue indicate samples from outside of China (used as outgroups in phylogenies of Figs. 5 &amp; 6). Samples details are given in Table S1 and Table S2</w:t>
      </w:r>
      <w:bookmarkStart w:id="2" w:name="_GoBack"/>
      <w:bookmarkEnd w:id="2"/>
    </w:p>
    <w:p w:rsidR="00B66DA0" w:rsidRDefault="00B66DA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B66DA0">
      <w:pgSz w:w="11906" w:h="16838"/>
      <w:pgMar w:top="850" w:right="737" w:bottom="850" w:left="737" w:header="851" w:footer="992" w:gutter="0"/>
      <w:cols w:space="0"/>
      <w:docGrid w:type="linesAndChars" w:linePitch="316" w:charSpace="5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3"/>
  <w:proofState w:spelling="clean" w:grammar="clean"/>
  <w:defaultTabStop w:val="420"/>
  <w:drawingGridHorizontalSpacing w:val="106"/>
  <w:drawingGridVerticalSpacing w:val="158"/>
  <w:displayHorizont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JkNmQ0YmVkNTUxODQ3YmNlNmQxOTEwNWM5YzFlNTUifQ=="/>
  </w:docVars>
  <w:rsids>
    <w:rsidRoot w:val="00172A27"/>
    <w:rsid w:val="000025F6"/>
    <w:rsid w:val="000168A8"/>
    <w:rsid w:val="00035F94"/>
    <w:rsid w:val="00073056"/>
    <w:rsid w:val="000916FC"/>
    <w:rsid w:val="00111047"/>
    <w:rsid w:val="001254F4"/>
    <w:rsid w:val="00131678"/>
    <w:rsid w:val="00131F82"/>
    <w:rsid w:val="0015311E"/>
    <w:rsid w:val="0015480B"/>
    <w:rsid w:val="00154986"/>
    <w:rsid w:val="00172A27"/>
    <w:rsid w:val="00252F78"/>
    <w:rsid w:val="00273075"/>
    <w:rsid w:val="00273F43"/>
    <w:rsid w:val="00292760"/>
    <w:rsid w:val="002B1C15"/>
    <w:rsid w:val="002B2572"/>
    <w:rsid w:val="002D2216"/>
    <w:rsid w:val="00306242"/>
    <w:rsid w:val="00311B10"/>
    <w:rsid w:val="00320E93"/>
    <w:rsid w:val="00344827"/>
    <w:rsid w:val="0036047B"/>
    <w:rsid w:val="00361B00"/>
    <w:rsid w:val="00364DA4"/>
    <w:rsid w:val="003B4BC1"/>
    <w:rsid w:val="003C0C72"/>
    <w:rsid w:val="00410DF2"/>
    <w:rsid w:val="0042025B"/>
    <w:rsid w:val="004658DB"/>
    <w:rsid w:val="004671ED"/>
    <w:rsid w:val="004B1B9C"/>
    <w:rsid w:val="004B7B46"/>
    <w:rsid w:val="004D41A4"/>
    <w:rsid w:val="004F6562"/>
    <w:rsid w:val="005001AB"/>
    <w:rsid w:val="00501B7F"/>
    <w:rsid w:val="00501D7D"/>
    <w:rsid w:val="00542199"/>
    <w:rsid w:val="00545B5E"/>
    <w:rsid w:val="00550ABC"/>
    <w:rsid w:val="00571D0E"/>
    <w:rsid w:val="0057630B"/>
    <w:rsid w:val="005A0809"/>
    <w:rsid w:val="005A5877"/>
    <w:rsid w:val="005D002C"/>
    <w:rsid w:val="005E11D7"/>
    <w:rsid w:val="00632AC0"/>
    <w:rsid w:val="006425C5"/>
    <w:rsid w:val="006727E7"/>
    <w:rsid w:val="006A5E8F"/>
    <w:rsid w:val="006D3986"/>
    <w:rsid w:val="006E61A4"/>
    <w:rsid w:val="0074532F"/>
    <w:rsid w:val="00776AFD"/>
    <w:rsid w:val="00776DFF"/>
    <w:rsid w:val="007912CE"/>
    <w:rsid w:val="00791411"/>
    <w:rsid w:val="00794265"/>
    <w:rsid w:val="007951A3"/>
    <w:rsid w:val="007B107C"/>
    <w:rsid w:val="007C3AAA"/>
    <w:rsid w:val="007E4887"/>
    <w:rsid w:val="007F33A1"/>
    <w:rsid w:val="008275EC"/>
    <w:rsid w:val="00880912"/>
    <w:rsid w:val="0089564C"/>
    <w:rsid w:val="008B67B1"/>
    <w:rsid w:val="008E7690"/>
    <w:rsid w:val="00943E71"/>
    <w:rsid w:val="00965BEB"/>
    <w:rsid w:val="00995803"/>
    <w:rsid w:val="009A73C5"/>
    <w:rsid w:val="009D38F8"/>
    <w:rsid w:val="00A25816"/>
    <w:rsid w:val="00A55572"/>
    <w:rsid w:val="00A833C0"/>
    <w:rsid w:val="00AB5019"/>
    <w:rsid w:val="00AF48B5"/>
    <w:rsid w:val="00B27E68"/>
    <w:rsid w:val="00B44602"/>
    <w:rsid w:val="00B6009D"/>
    <w:rsid w:val="00B66DA0"/>
    <w:rsid w:val="00B86DF0"/>
    <w:rsid w:val="00BC5DCB"/>
    <w:rsid w:val="00BD67DE"/>
    <w:rsid w:val="00C1745D"/>
    <w:rsid w:val="00C24761"/>
    <w:rsid w:val="00C81D38"/>
    <w:rsid w:val="00CA115A"/>
    <w:rsid w:val="00CA6F41"/>
    <w:rsid w:val="00CD6B0C"/>
    <w:rsid w:val="00CF01F5"/>
    <w:rsid w:val="00D50A55"/>
    <w:rsid w:val="00D5391A"/>
    <w:rsid w:val="00D7629D"/>
    <w:rsid w:val="00DA327F"/>
    <w:rsid w:val="00DB57B6"/>
    <w:rsid w:val="00DE5083"/>
    <w:rsid w:val="00DF70B2"/>
    <w:rsid w:val="00E0603F"/>
    <w:rsid w:val="00E07F6D"/>
    <w:rsid w:val="00E31D28"/>
    <w:rsid w:val="00E47DF5"/>
    <w:rsid w:val="00E638D5"/>
    <w:rsid w:val="00E64ABC"/>
    <w:rsid w:val="00E6522C"/>
    <w:rsid w:val="00E9665C"/>
    <w:rsid w:val="00EF46D2"/>
    <w:rsid w:val="00F04743"/>
    <w:rsid w:val="00F44CD9"/>
    <w:rsid w:val="00F7191A"/>
    <w:rsid w:val="00F733FD"/>
    <w:rsid w:val="00FA0170"/>
    <w:rsid w:val="00FB0665"/>
    <w:rsid w:val="00FF0208"/>
    <w:rsid w:val="119A4C66"/>
    <w:rsid w:val="1890511D"/>
    <w:rsid w:val="217D078A"/>
    <w:rsid w:val="2918032C"/>
    <w:rsid w:val="2EA41095"/>
    <w:rsid w:val="37BB1124"/>
    <w:rsid w:val="3BDA6DFE"/>
    <w:rsid w:val="56295A3B"/>
    <w:rsid w:val="58F950B1"/>
    <w:rsid w:val="59162964"/>
    <w:rsid w:val="5ACE1356"/>
    <w:rsid w:val="64BD766E"/>
    <w:rsid w:val="78C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77D22"/>
  <w15:docId w15:val="{CAD03B22-BFBD-4052-ADE9-6CF26463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Eduardo Fox</cp:lastModifiedBy>
  <cp:revision>3</cp:revision>
  <dcterms:created xsi:type="dcterms:W3CDTF">2023-12-10T00:04:00Z</dcterms:created>
  <dcterms:modified xsi:type="dcterms:W3CDTF">2023-12-10T00:15:00Z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F834DE72E4F947D79971A35B23261090_12</vt:lpwstr>
  </property>
</Properties>
</file>