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bCs/>
          <w:lang w:val="en-US"/>
        </w:rPr>
      </w:pPr>
      <w:r>
        <w:rPr>
          <w:rFonts w:hint="default" w:ascii="Times New Roman Bold" w:hAnsi="Times New Roman Bold" w:eastAsia="Arial Regular" w:cs="Times New Roman Bold"/>
          <w:b/>
          <w:bCs w:val="0"/>
          <w:kern w:val="0"/>
          <w:sz w:val="24"/>
          <w:szCs w:val="24"/>
          <w:lang w:val="en-US" w:eastAsia="zh-CN" w:bidi="ar"/>
        </w:rPr>
        <w:t>Supplementary Table 1</w:t>
      </w:r>
      <w:r>
        <w:rPr>
          <w:rFonts w:hint="default" w:ascii="Times New Roman Regular" w:hAnsi="Times New Roman Regular" w:eastAsia="Arial Regular" w:cs="Times New Roman Regular"/>
          <w:bCs/>
          <w:kern w:val="0"/>
          <w:sz w:val="24"/>
          <w:szCs w:val="24"/>
          <w:lang w:val="en-US" w:eastAsia="zh-CN" w:bidi="ar"/>
        </w:rPr>
        <w:t>. Subgroup analysis of conjunctival microvascular parameters among all participants without diabetes mellitus.</w:t>
      </w:r>
    </w:p>
    <w:tbl>
      <w:tblPr>
        <w:tblStyle w:val="3"/>
        <w:tblW w:w="8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3"/>
        <w:gridCol w:w="2098"/>
        <w:gridCol w:w="2098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CAD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Non-CAD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i/>
                <w:iCs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No. of eyes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Age, mean (SD), year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62.11 (9.76)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60.97 (10.56)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0.478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Sex, male, No. (%)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39 (62%)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46 (40%)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8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Conjunctival microvascular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Vessel area density, %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33.39 (4.32)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36.62 (3.34)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Vessel length density, mm</w:t>
            </w: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vertAlign w:val="superscript"/>
                <w:lang w:val="en-US" w:eastAsia="zh-CN" w:bidi="ar"/>
              </w:rPr>
              <w:t>-1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6.44 (0.85)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7.10 (0.75)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Junction density, mm</w:t>
            </w: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vertAlign w:val="superscript"/>
                <w:lang w:val="en-US" w:eastAsia="zh-CN" w:bidi="ar"/>
              </w:rPr>
              <w:t>-1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3.19 (0.43)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3.49 (0.43)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Lacunarity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0.13 (0.04)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0.11 (0.03)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MS Mincho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S Mincho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lang w:val="en-US"/>
        </w:rPr>
      </w:pPr>
      <w:r>
        <w:rPr>
          <w:rFonts w:hint="default" w:ascii="Times New Roman Regular" w:hAnsi="Times New Roman Regular" w:eastAsia="Arial Regular" w:cs="Times New Roman Regular"/>
          <w:kern w:val="0"/>
          <w:sz w:val="24"/>
          <w:szCs w:val="24"/>
          <w:lang w:val="en-US" w:eastAsia="zh-CN" w:bidi="ar"/>
        </w:rPr>
        <w:t>Abbreviations: CAD: coronary artery disease.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lang w:val="en-US"/>
        </w:rPr>
      </w:pPr>
      <w:r>
        <w:rPr>
          <w:rFonts w:hint="default" w:ascii="Times New Roman Regular" w:hAnsi="Times New Roman Regular" w:eastAsia="Arial Regular" w:cs="Times New Roman Regular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bCs/>
          <w:lang w:val="en-US"/>
        </w:rPr>
      </w:pPr>
      <w:r>
        <w:rPr>
          <w:rFonts w:hint="default" w:ascii="Times New Roman Bold" w:hAnsi="Times New Roman Bold" w:eastAsia="Arial Regular" w:cs="Times New Roman Bold"/>
          <w:b/>
          <w:bCs w:val="0"/>
          <w:kern w:val="0"/>
          <w:sz w:val="24"/>
          <w:szCs w:val="24"/>
          <w:lang w:val="en-US" w:eastAsia="zh-CN" w:bidi="ar"/>
        </w:rPr>
        <w:t>Supplementary Table 2.</w:t>
      </w:r>
      <w:r>
        <w:rPr>
          <w:rFonts w:hint="default" w:ascii="Times New Roman Regular" w:hAnsi="Times New Roman Regular" w:eastAsia="Arial Regular" w:cs="Times New Roman Regular"/>
          <w:bCs/>
          <w:kern w:val="0"/>
          <w:sz w:val="24"/>
          <w:szCs w:val="24"/>
          <w:lang w:val="en-US" w:eastAsia="zh-CN" w:bidi="ar"/>
        </w:rPr>
        <w:t xml:space="preserve"> Subgroup analysis of conjunctival microvascular parameters among all participants without hypertension.</w:t>
      </w:r>
    </w:p>
    <w:tbl>
      <w:tblPr>
        <w:tblStyle w:val="3"/>
        <w:tblW w:w="8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3"/>
        <w:gridCol w:w="2098"/>
        <w:gridCol w:w="2098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CAD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Non-CAD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No. of eyes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Age, mean (SD), year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60.63(10.43)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59.50 (10.63)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0.594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Sex, male, No. (%)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22 (63%)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35 (40%)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Conjunctival microvascular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Vessel area density, %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32.18 (4.09)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36.74 (3.27)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Vessel length density, mm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vertAlign w:val="superscript"/>
                <w:lang w:val="en-US" w:eastAsia="zh-CN" w:bidi="ar"/>
              </w:rPr>
              <w:t>-1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6.15 (0.90)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7.13 (0.74)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Junction density, mm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vertAlign w:val="superscript"/>
                <w:lang w:val="en-US" w:eastAsia="zh-CN" w:bidi="ar"/>
              </w:rPr>
              <w:t>-1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3.06 (0.41)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3.49 (0.43)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Lacunarity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0.15 (0.05)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0.11 (0.03)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 Regular" w:hAnsi="Times New Roman Regular" w:eastAsia="DengXian" w:cs="Times New Roman Regular"/>
          <w:lang w:val="en-US"/>
        </w:rPr>
      </w:pPr>
      <w:r>
        <w:rPr>
          <w:rFonts w:hint="default" w:ascii="Times New Roman Regular" w:hAnsi="Times New Roman Regular" w:eastAsia="Arial Regular" w:cs="Times New Roman Regular"/>
          <w:kern w:val="0"/>
          <w:sz w:val="24"/>
          <w:szCs w:val="24"/>
          <w:lang w:val="en-US" w:eastAsia="zh-CN" w:bidi="ar"/>
        </w:rPr>
        <w:t>Abbreviations: CAD: coronary artery disease.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bCs/>
          <w:lang w:val="en-US"/>
        </w:rPr>
      </w:pPr>
      <w:bookmarkStart w:id="0" w:name="_GoBack"/>
      <w:r>
        <w:rPr>
          <w:rFonts w:hint="default" w:ascii="Times New Roman Bold" w:hAnsi="Times New Roman Bold" w:eastAsia="Arial Regular" w:cs="Times New Roman Bold"/>
          <w:b/>
          <w:bCs w:val="0"/>
          <w:kern w:val="0"/>
          <w:sz w:val="24"/>
          <w:szCs w:val="24"/>
          <w:lang w:val="en-US" w:eastAsia="zh-CN" w:bidi="ar"/>
        </w:rPr>
        <w:t>Supplementary Table 3</w:t>
      </w:r>
      <w:bookmarkEnd w:id="0"/>
      <w:r>
        <w:rPr>
          <w:rFonts w:hint="default" w:ascii="Times New Roman Regular" w:hAnsi="Times New Roman Regular" w:eastAsia="Arial Regular" w:cs="Times New Roman Regular"/>
          <w:bCs/>
          <w:kern w:val="0"/>
          <w:sz w:val="24"/>
          <w:szCs w:val="24"/>
          <w:lang w:val="en-US" w:eastAsia="zh-CN" w:bidi="ar"/>
        </w:rPr>
        <w:t>. Crude and adjusted receiver operating characteristic analyses for coronary artery disease prediction using conjunctival microvessels characteristics.</w:t>
      </w:r>
    </w:p>
    <w:tbl>
      <w:tblPr>
        <w:tblStyle w:val="3"/>
        <w:tblW w:w="10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681"/>
        <w:gridCol w:w="1207"/>
        <w:gridCol w:w="1207"/>
        <w:gridCol w:w="803"/>
        <w:gridCol w:w="681"/>
        <w:gridCol w:w="1207"/>
        <w:gridCol w:w="1207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23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Variables</w:t>
            </w:r>
          </w:p>
        </w:tc>
        <w:tc>
          <w:tcPr>
            <w:tcW w:w="38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Crude ROC</w:t>
            </w:r>
          </w:p>
        </w:tc>
        <w:tc>
          <w:tcPr>
            <w:tcW w:w="39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Adjusted ROC*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23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AUC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Sensitivity (%)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Specificity (%)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Cutoff value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AUC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Sensitivity (%)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Specificity (%)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Cutoff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Vessel area density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0.75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68.0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71.8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29.06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0.89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88.3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75.2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27.30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Vessel length density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0.74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56.8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79.6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6.24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0.88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85.4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77.6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6.55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Junction density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0.70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76.0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54.4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3.06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0.87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81.6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80.0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3.39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Lacunarity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0.72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74.8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62.4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0.11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0.88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81.6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78.4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 Regular" w:hAnsi="Times New Roman Regular" w:eastAsia="宋体" w:cs="Times New Roman Regular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lang w:val="en-US" w:eastAsia="zh-CN" w:bidi="ar"/>
              </w:rPr>
              <w:t>0.11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bCs/>
          <w:lang w:val="en-US"/>
        </w:rPr>
      </w:pPr>
      <w:r>
        <w:rPr>
          <w:rFonts w:hint="default" w:ascii="Times New Roman Regular" w:hAnsi="Times New Roman Regular" w:eastAsia="Arial Regular" w:cs="Times New Roman Regular"/>
          <w:bCs/>
          <w:kern w:val="0"/>
          <w:sz w:val="24"/>
          <w:szCs w:val="24"/>
          <w:lang w:val="en-US" w:eastAsia="zh-CN" w:bidi="ar"/>
        </w:rPr>
        <w:t>* adjusted by age, sex, history of hypertension, diabetes mellitus, dyslipidemia, and current smoker.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eastAsia="Arial Regular" w:cs="Times New Roman Regular"/>
          <w:bCs/>
          <w:lang w:val="en-US" w:eastAsia="zh-CN"/>
        </w:rPr>
      </w:pPr>
      <w:r>
        <w:rPr>
          <w:rFonts w:hint="default" w:ascii="Times New Roman Regular" w:hAnsi="Times New Roman Regular" w:eastAsia="Arial Regular" w:cs="Times New Roman Regular"/>
          <w:bCs/>
          <w:kern w:val="0"/>
          <w:sz w:val="24"/>
          <w:szCs w:val="24"/>
          <w:lang w:val="en-US" w:eastAsia="zh-CN" w:bidi="ar"/>
        </w:rPr>
        <w:t>Abbreviations: ROC, receiver operating characteristic; AUC, area under the receiver operating characteristic curve.</w:t>
      </w:r>
    </w:p>
    <w:p>
      <w:pPr>
        <w:rPr>
          <w:rFonts w:hint="default" w:ascii="Times New Roman Regular" w:hAnsi="Times New Roman Regular" w:cs="Times New Roman Regular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MS Mincho">
    <w:altName w:val="Hiragino Sans"/>
    <w:panose1 w:val="02020609040205080304"/>
    <w:charset w:val="80"/>
    <w:family w:val="auto"/>
    <w:pitch w:val="default"/>
    <w:sig w:usb0="00000000" w:usb1="00000000" w:usb2="08000012" w:usb3="00000000" w:csb0="000200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FF45A"/>
    <w:rsid w:val="5F7FF45A"/>
    <w:rsid w:val="7F97A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2023-12-11T00:12:00Z</dcterms:created>
  <dc:creator>JL</dc:creator>
  <cp:lastModifiedBy>JL</cp:lastModifiedBy>
  <dcterms:modified xsi:type="dcterms:W3CDTF">2023-12-10T16:33:40Z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2169640922422180027375655E0F7F7C_41</vt:lpwstr>
  </property>
</Properties>
</file>