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C95057" w14:textId="71206644" w:rsidR="009B23D2" w:rsidRPr="00C764B9" w:rsidRDefault="00981D78" w:rsidP="00F0511B">
      <w:pPr>
        <w:spacing w:line="276" w:lineRule="auto"/>
        <w:jc w:val="both"/>
        <w:rPr>
          <w:rFonts w:ascii="Arial" w:eastAsia="Arial Unicode MS" w:hAnsi="Arial" w:cs="Arial"/>
          <w:b/>
        </w:rPr>
      </w:pPr>
      <w:r w:rsidRPr="00C764B9">
        <w:rPr>
          <w:rFonts w:ascii="Arial" w:eastAsia="Arial Unicode MS" w:hAnsi="Arial" w:cs="Arial"/>
          <w:b/>
        </w:rPr>
        <w:t>Supplementary</w:t>
      </w:r>
      <w:r w:rsidR="009B23D2" w:rsidRPr="00C764B9">
        <w:rPr>
          <w:rFonts w:ascii="Arial" w:eastAsia="Arial Unicode MS" w:hAnsi="Arial" w:cs="Arial"/>
          <w:b/>
        </w:rPr>
        <w:t xml:space="preserve"> Methods</w:t>
      </w:r>
    </w:p>
    <w:p w14:paraId="6B6C605E" w14:textId="41BFB238" w:rsidR="00C328B0" w:rsidRPr="00C764B9" w:rsidRDefault="00C328B0" w:rsidP="00C328B0">
      <w:pPr>
        <w:spacing w:line="276" w:lineRule="auto"/>
        <w:jc w:val="both"/>
        <w:rPr>
          <w:rFonts w:ascii="Arial" w:eastAsia="Arial Unicode MS" w:hAnsi="Arial" w:cs="Arial"/>
          <w:b/>
        </w:rPr>
      </w:pPr>
      <w:r w:rsidRPr="00C764B9">
        <w:rPr>
          <w:rFonts w:ascii="Arial" w:eastAsia="Arial Unicode MS" w:hAnsi="Arial" w:cs="Arial"/>
          <w:b/>
        </w:rPr>
        <w:t>RT-qPCR analysis</w:t>
      </w:r>
    </w:p>
    <w:p w14:paraId="21B41D3D" w14:textId="099863E8" w:rsidR="002301F6" w:rsidRPr="00C764B9" w:rsidRDefault="002301F6" w:rsidP="002301F6">
      <w:pPr>
        <w:spacing w:line="480" w:lineRule="auto"/>
        <w:jc w:val="both"/>
        <w:rPr>
          <w:rFonts w:ascii="Arial" w:hAnsi="Arial" w:cs="Arial"/>
        </w:rPr>
      </w:pPr>
      <w:r w:rsidRPr="00C764B9">
        <w:rPr>
          <w:rFonts w:ascii="Arial" w:hAnsi="Arial" w:cs="Arial"/>
        </w:rPr>
        <w:t xml:space="preserve">Total RNA was reverse-transcribed to cDNA using the VILO cDNA kit (Thermo Fisher Scientific, Waltham, MA, USA) according to the manufacturer’s instructions. Real-time quantitative PCR was performed using the SYBR Green Master Kit and Quantstudio instrument. PCR was carried out in duplicates for each fraction and the mean Ct value of the triplicate reaction was normalized against the mean Ct value of GAPDH. </w:t>
      </w:r>
      <w:r w:rsidR="00BF6CF1" w:rsidRPr="00C764B9">
        <w:rPr>
          <w:rFonts w:ascii="Arial" w:hAnsi="Arial" w:cs="Arial"/>
        </w:rPr>
        <w:t xml:space="preserve">TET1 forward: </w:t>
      </w:r>
      <w:r w:rsidR="003369E5" w:rsidRPr="00C764B9">
        <w:rPr>
          <w:rFonts w:ascii="Arial" w:hAnsi="Arial" w:cs="Arial"/>
          <w:color w:val="000000"/>
        </w:rPr>
        <w:t>5'-</w:t>
      </w:r>
      <w:r w:rsidR="003369E5" w:rsidRPr="00C764B9">
        <w:rPr>
          <w:rFonts w:ascii="Arial" w:eastAsia="Calibri" w:hAnsi="Arial" w:cs="Arial"/>
          <w:color w:val="000000"/>
        </w:rPr>
        <w:t>CCCGGGCTCCAAAGTTGTG</w:t>
      </w:r>
      <w:r w:rsidR="003369E5" w:rsidRPr="00C764B9">
        <w:rPr>
          <w:rFonts w:ascii="Arial" w:hAnsi="Arial" w:cs="Arial"/>
          <w:color w:val="000000"/>
        </w:rPr>
        <w:t>-3'</w:t>
      </w:r>
      <w:r w:rsidR="00BF6CF1" w:rsidRPr="00C764B9">
        <w:rPr>
          <w:rFonts w:ascii="Arial" w:hAnsi="Arial" w:cs="Arial"/>
        </w:rPr>
        <w:t xml:space="preserve">; Reverse, </w:t>
      </w:r>
      <w:r w:rsidR="003369E5" w:rsidRPr="00C764B9">
        <w:rPr>
          <w:rFonts w:ascii="Arial" w:hAnsi="Arial" w:cs="Arial"/>
        </w:rPr>
        <w:t xml:space="preserve">5'-GCAGGAAACAGAGTCATTGGTCCT-3'. </w:t>
      </w:r>
      <w:r w:rsidR="00BF6CF1" w:rsidRPr="00C764B9">
        <w:rPr>
          <w:rFonts w:ascii="Arial" w:hAnsi="Arial" w:cs="Arial"/>
        </w:rPr>
        <w:t xml:space="preserve">GADPH primers: Forward, </w:t>
      </w:r>
      <w:r w:rsidR="003369E5" w:rsidRPr="00C764B9">
        <w:rPr>
          <w:rFonts w:ascii="Arial" w:hAnsi="Arial" w:cs="Arial"/>
        </w:rPr>
        <w:t xml:space="preserve">5'-GGGGAAGGTGAAGGTCGGAGTCA-3'; Reverse, 5'-AGCCTTGACGGTGCCATGGAAT-3'. </w:t>
      </w:r>
    </w:p>
    <w:p w14:paraId="333FD5A5" w14:textId="77777777" w:rsidR="00A75D7E" w:rsidRDefault="00A75D7E" w:rsidP="000F7A45">
      <w:pPr>
        <w:spacing w:after="0" w:line="480" w:lineRule="auto"/>
        <w:jc w:val="both"/>
        <w:rPr>
          <w:rFonts w:ascii="Arial" w:eastAsia="Arial Unicode MS" w:hAnsi="Arial" w:cs="Arial"/>
          <w:b/>
        </w:rPr>
      </w:pPr>
    </w:p>
    <w:p w14:paraId="03B77B39" w14:textId="0836A40A" w:rsidR="00FD1B16" w:rsidRPr="00C764B9" w:rsidRDefault="00FD1B16" w:rsidP="000F7A45">
      <w:pPr>
        <w:spacing w:after="0" w:line="480" w:lineRule="auto"/>
        <w:jc w:val="both"/>
        <w:rPr>
          <w:rFonts w:ascii="Arial" w:eastAsia="Arial Unicode MS" w:hAnsi="Arial" w:cs="Arial"/>
          <w:b/>
        </w:rPr>
      </w:pPr>
      <w:r w:rsidRPr="00C764B9">
        <w:rPr>
          <w:rFonts w:ascii="Arial" w:eastAsia="Arial Unicode MS" w:hAnsi="Arial" w:cs="Arial"/>
          <w:b/>
        </w:rPr>
        <w:t>Supplementary Figure</w:t>
      </w:r>
      <w:r w:rsidR="00F35BD3" w:rsidRPr="00C764B9">
        <w:rPr>
          <w:rFonts w:ascii="Arial" w:eastAsia="Arial Unicode MS" w:hAnsi="Arial" w:cs="Arial"/>
          <w:b/>
        </w:rPr>
        <w:t xml:space="preserve"> Legends</w:t>
      </w:r>
    </w:p>
    <w:p w14:paraId="30FEDC07" w14:textId="3535B913" w:rsidR="00FD1B16" w:rsidRDefault="00FD1B16" w:rsidP="000F7A45">
      <w:pPr>
        <w:spacing w:after="0" w:line="480" w:lineRule="auto"/>
        <w:jc w:val="both"/>
        <w:rPr>
          <w:rFonts w:ascii="Arial" w:hAnsi="Arial" w:cs="Arial"/>
        </w:rPr>
      </w:pPr>
      <w:r w:rsidRPr="00C764B9">
        <w:rPr>
          <w:rFonts w:ascii="Arial" w:eastAsia="Arial Unicode MS" w:hAnsi="Arial" w:cs="Arial"/>
          <w:b/>
        </w:rPr>
        <w:t xml:space="preserve">Supplementary Figure </w:t>
      </w:r>
      <w:r w:rsidR="00DB27E9">
        <w:rPr>
          <w:rFonts w:ascii="Arial" w:eastAsia="Arial Unicode MS" w:hAnsi="Arial" w:cs="Arial"/>
          <w:b/>
        </w:rPr>
        <w:t>1.</w:t>
      </w:r>
      <w:r w:rsidRPr="00C764B9">
        <w:rPr>
          <w:rFonts w:ascii="Arial" w:eastAsia="Arial Unicode MS" w:hAnsi="Arial" w:cs="Arial"/>
          <w:b/>
        </w:rPr>
        <w:t xml:space="preserve"> </w:t>
      </w:r>
      <w:r w:rsidR="00A75D7E" w:rsidRPr="00EA77D2">
        <w:rPr>
          <w:rFonts w:ascii="Arial" w:hAnsi="Arial" w:cs="Arial"/>
          <w:b/>
        </w:rPr>
        <w:t>TET1 knockdown</w:t>
      </w:r>
      <w:r w:rsidR="00A75D7E">
        <w:rPr>
          <w:rFonts w:ascii="Arial" w:hAnsi="Arial" w:cs="Arial"/>
          <w:b/>
        </w:rPr>
        <w:t xml:space="preserve"> with siRNA</w:t>
      </w:r>
      <w:r w:rsidR="00A75D7E" w:rsidRPr="00EA77D2">
        <w:rPr>
          <w:rFonts w:ascii="Arial" w:hAnsi="Arial" w:cs="Arial"/>
          <w:b/>
        </w:rPr>
        <w:t xml:space="preserve"> reduces </w:t>
      </w:r>
      <w:r w:rsidR="00A75D7E">
        <w:rPr>
          <w:rFonts w:ascii="Arial" w:hAnsi="Arial" w:cs="Arial"/>
          <w:b/>
        </w:rPr>
        <w:t>TET1 expression.</w:t>
      </w:r>
      <w:r w:rsidR="00A75D7E">
        <w:rPr>
          <w:rFonts w:ascii="Arial" w:hAnsi="Arial" w:cs="Arial"/>
        </w:rPr>
        <w:t xml:space="preserve"> Expression of TET1 was measured by qPCR in control (C) TET1 knockdown (KD; by siRNA)</w:t>
      </w:r>
      <w:r w:rsidR="00A361FE">
        <w:rPr>
          <w:rFonts w:ascii="Arial" w:hAnsi="Arial" w:cs="Arial"/>
        </w:rPr>
        <w:t>, HDM treated (C+H), and TET1 knockdown and HDM treated (KD+H)</w:t>
      </w:r>
      <w:r w:rsidR="00A75D7E">
        <w:rPr>
          <w:rFonts w:ascii="Arial" w:hAnsi="Arial" w:cs="Arial"/>
        </w:rPr>
        <w:t xml:space="preserve"> human bronchial epithelial cells. There was a significant decrease in expression in the KD samples compared to C.</w:t>
      </w:r>
    </w:p>
    <w:p w14:paraId="4F6999B5" w14:textId="213A9869" w:rsidR="00E556A2" w:rsidRDefault="00E556A2" w:rsidP="000F7A45">
      <w:pPr>
        <w:spacing w:after="0" w:line="480" w:lineRule="auto"/>
        <w:jc w:val="both"/>
        <w:rPr>
          <w:rFonts w:ascii="Arial" w:hAnsi="Arial" w:cs="Arial"/>
        </w:rPr>
      </w:pPr>
    </w:p>
    <w:p w14:paraId="5FF5BDF3" w14:textId="7E33A140" w:rsidR="00E556A2" w:rsidRPr="00E556A2" w:rsidRDefault="00E556A2" w:rsidP="000F7A45">
      <w:pPr>
        <w:spacing w:after="0" w:line="480" w:lineRule="auto"/>
        <w:jc w:val="both"/>
        <w:rPr>
          <w:rFonts w:ascii="Arial" w:eastAsia="Arial Unicode MS" w:hAnsi="Arial" w:cs="Arial"/>
        </w:rPr>
      </w:pPr>
      <w:r>
        <w:rPr>
          <w:rFonts w:ascii="Arial" w:eastAsia="Arial Unicode MS" w:hAnsi="Arial" w:cs="Arial"/>
          <w:b/>
        </w:rPr>
        <w:t>Supplementary Figure 2.</w:t>
      </w:r>
      <w:r>
        <w:rPr>
          <w:rFonts w:ascii="Arial" w:eastAsia="Arial Unicode MS" w:hAnsi="Arial" w:cs="Arial"/>
        </w:rPr>
        <w:t xml:space="preserve"> </w:t>
      </w:r>
      <w:r>
        <w:rPr>
          <w:rFonts w:ascii="Arial" w:eastAsia="Arial Unicode MS" w:hAnsi="Arial" w:cs="Arial"/>
          <w:b/>
        </w:rPr>
        <w:t xml:space="preserve">Additional </w:t>
      </w:r>
      <w:r>
        <w:rPr>
          <w:rFonts w:ascii="Arial" w:hAnsi="Arial" w:cs="Arial"/>
          <w:b/>
        </w:rPr>
        <w:t xml:space="preserve">changes in chromatin accessibility near genes of interest following </w:t>
      </w:r>
      <w:r w:rsidRPr="004C4262">
        <w:rPr>
          <w:rFonts w:ascii="Arial" w:hAnsi="Arial" w:cs="Arial"/>
          <w:b/>
          <w:i/>
        </w:rPr>
        <w:t>TET1</w:t>
      </w:r>
      <w:r>
        <w:rPr>
          <w:rFonts w:ascii="Arial" w:hAnsi="Arial" w:cs="Arial"/>
          <w:b/>
        </w:rPr>
        <w:t xml:space="preserve"> </w:t>
      </w:r>
      <w:r w:rsidRPr="00A92AF7">
        <w:rPr>
          <w:rFonts w:ascii="Arial" w:hAnsi="Arial" w:cs="Arial"/>
          <w:b/>
        </w:rPr>
        <w:t>knockdown</w:t>
      </w:r>
      <w:r>
        <w:rPr>
          <w:rFonts w:ascii="Arial" w:hAnsi="Arial" w:cs="Arial"/>
          <w:b/>
        </w:rPr>
        <w:t xml:space="preserve">. </w:t>
      </w:r>
      <w:r w:rsidRPr="00A92AF7">
        <w:rPr>
          <w:rFonts w:ascii="Arial" w:hAnsi="Arial" w:cs="Arial"/>
        </w:rPr>
        <w:t>Changes</w:t>
      </w:r>
      <w:r>
        <w:rPr>
          <w:rFonts w:ascii="Arial" w:hAnsi="Arial" w:cs="Arial"/>
        </w:rPr>
        <w:t xml:space="preserve"> in chromatin accessibility in A) </w:t>
      </w:r>
      <w:r>
        <w:rPr>
          <w:rFonts w:ascii="Arial" w:hAnsi="Arial" w:cs="Arial"/>
          <w:i/>
        </w:rPr>
        <w:t>AHRR</w:t>
      </w:r>
      <w:r>
        <w:rPr>
          <w:rFonts w:ascii="Arial" w:hAnsi="Arial" w:cs="Arial"/>
        </w:rPr>
        <w:t xml:space="preserve"> (aryl hydrocarbon receptor signaling) and B) </w:t>
      </w:r>
      <w:r>
        <w:rPr>
          <w:rFonts w:ascii="Arial" w:hAnsi="Arial" w:cs="Arial"/>
          <w:i/>
        </w:rPr>
        <w:t>AHR</w:t>
      </w:r>
      <w:r>
        <w:rPr>
          <w:rFonts w:ascii="Arial" w:hAnsi="Arial" w:cs="Arial"/>
        </w:rPr>
        <w:t xml:space="preserve"> (aryl hydrocarbon receptor signaling) following </w:t>
      </w:r>
      <w:r w:rsidRPr="004C4262">
        <w:rPr>
          <w:rFonts w:ascii="Arial" w:hAnsi="Arial" w:cs="Arial"/>
          <w:i/>
        </w:rPr>
        <w:t>TET1</w:t>
      </w:r>
      <w:r>
        <w:rPr>
          <w:rFonts w:ascii="Arial" w:hAnsi="Arial" w:cs="Arial"/>
        </w:rPr>
        <w:t xml:space="preserve"> knockdown. There was a DMR near AHRR as well. To approximate MANorm2-based data normalization, the ATAC data shown were normalized between samples based on average transcription start site enrichment (for visualization purposes only). The “HBEC H3K27ac ChIP-seq changes” track is from data in our current study. Abbreviations: WT saline = </w:t>
      </w:r>
      <w:r w:rsidRPr="004C4262">
        <w:rPr>
          <w:rFonts w:ascii="Arial" w:hAnsi="Arial" w:cs="Arial"/>
          <w:i/>
        </w:rPr>
        <w:t>TET1</w:t>
      </w:r>
      <w:r>
        <w:rPr>
          <w:rFonts w:ascii="Arial" w:hAnsi="Arial" w:cs="Arial"/>
        </w:rPr>
        <w:t xml:space="preserve"> intact saline samples, KD saline = </w:t>
      </w:r>
      <w:r w:rsidRPr="004C4262">
        <w:rPr>
          <w:rFonts w:ascii="Arial" w:hAnsi="Arial" w:cs="Arial"/>
          <w:i/>
        </w:rPr>
        <w:t>TET1</w:t>
      </w:r>
      <w:r>
        <w:rPr>
          <w:rFonts w:ascii="Arial" w:hAnsi="Arial" w:cs="Arial"/>
        </w:rPr>
        <w:t xml:space="preserve"> knockdown saline samples, DARs = Differentially accessible regions, WGBS = Whole genome bisulfite sequencing, DMRs = Differentially methylated regions, HBEC = Human bronchial epithelial cells</w:t>
      </w:r>
    </w:p>
    <w:p w14:paraId="7F37C18E" w14:textId="77777777" w:rsidR="0039745B" w:rsidRPr="00C764B9" w:rsidRDefault="0039745B" w:rsidP="00875C61">
      <w:pPr>
        <w:spacing w:after="0" w:line="480" w:lineRule="auto"/>
        <w:jc w:val="both"/>
        <w:rPr>
          <w:rFonts w:ascii="Arial" w:eastAsia="Arial Unicode MS" w:hAnsi="Arial" w:cs="Arial"/>
          <w:b/>
        </w:rPr>
      </w:pPr>
    </w:p>
    <w:p w14:paraId="27272983" w14:textId="0FDCF668" w:rsidR="00EE3748" w:rsidRPr="00C764B9" w:rsidRDefault="00EE3748" w:rsidP="00EE3748">
      <w:pPr>
        <w:spacing w:after="0" w:line="480" w:lineRule="auto"/>
        <w:jc w:val="both"/>
        <w:rPr>
          <w:rFonts w:ascii="Arial" w:eastAsia="Arial Unicode MS" w:hAnsi="Arial" w:cs="Arial"/>
        </w:rPr>
      </w:pPr>
      <w:r w:rsidRPr="00C764B9">
        <w:rPr>
          <w:rFonts w:ascii="Arial" w:eastAsia="Arial Unicode MS" w:hAnsi="Arial" w:cs="Arial"/>
          <w:b/>
        </w:rPr>
        <w:t>Supplementary Figure</w:t>
      </w:r>
      <w:r w:rsidRPr="00C764B9">
        <w:rPr>
          <w:rFonts w:ascii="Arial" w:eastAsia="Arial Unicode MS" w:hAnsi="Arial" w:cs="Arial" w:hint="eastAsia"/>
          <w:b/>
        </w:rPr>
        <w:t xml:space="preserve"> </w:t>
      </w:r>
      <w:r w:rsidR="00E556A2">
        <w:rPr>
          <w:rFonts w:ascii="Arial" w:eastAsia="Arial Unicode MS" w:hAnsi="Arial" w:cs="Arial"/>
          <w:b/>
        </w:rPr>
        <w:t>3</w:t>
      </w:r>
      <w:r w:rsidRPr="00C764B9">
        <w:rPr>
          <w:rFonts w:ascii="Arial" w:eastAsia="Arial Unicode MS" w:hAnsi="Arial" w:cs="Arial"/>
          <w:b/>
        </w:rPr>
        <w:t xml:space="preserve">. </w:t>
      </w:r>
      <w:r w:rsidR="00A75D7E">
        <w:rPr>
          <w:rFonts w:ascii="Arial" w:hAnsi="Arial" w:cs="Arial"/>
          <w:b/>
        </w:rPr>
        <w:t xml:space="preserve">Principal component analyses for the three major data types in our analysis. </w:t>
      </w:r>
      <w:r w:rsidR="00A75D7E">
        <w:rPr>
          <w:rFonts w:ascii="Arial" w:hAnsi="Arial" w:cs="Arial"/>
        </w:rPr>
        <w:t>Principal component analyses for the RNA-seq (expression) data, the whole genome bisulfite sequencing (methylation) data, the ATAC-seq (chromatin accessibility) data</w:t>
      </w:r>
      <w:r w:rsidR="00A361FE">
        <w:rPr>
          <w:rFonts w:ascii="Arial" w:hAnsi="Arial" w:cs="Arial"/>
        </w:rPr>
        <w:t>, and the H3K27ac ChIP-seq data</w:t>
      </w:r>
      <w:r w:rsidR="00A75D7E">
        <w:rPr>
          <w:rFonts w:ascii="Arial" w:hAnsi="Arial" w:cs="Arial"/>
        </w:rPr>
        <w:t>.</w:t>
      </w:r>
    </w:p>
    <w:p w14:paraId="07564C16" w14:textId="77777777" w:rsidR="00EE3748" w:rsidRPr="00C764B9" w:rsidRDefault="00EE3748" w:rsidP="00875C61">
      <w:pPr>
        <w:spacing w:after="0" w:line="480" w:lineRule="auto"/>
        <w:jc w:val="both"/>
        <w:rPr>
          <w:rFonts w:ascii="Arial" w:eastAsia="Arial Unicode MS" w:hAnsi="Arial" w:cs="Arial"/>
          <w:b/>
        </w:rPr>
      </w:pPr>
    </w:p>
    <w:p w14:paraId="1E18C4CF" w14:textId="730F39D4" w:rsidR="00EE3748" w:rsidRPr="00C764B9" w:rsidRDefault="00EE3748" w:rsidP="00EE3748">
      <w:pPr>
        <w:spacing w:after="0" w:line="480" w:lineRule="auto"/>
        <w:jc w:val="both"/>
        <w:rPr>
          <w:rFonts w:ascii="Arial" w:eastAsia="Arial Unicode MS" w:hAnsi="Arial" w:cs="Arial"/>
        </w:rPr>
      </w:pPr>
      <w:r w:rsidRPr="00C764B9">
        <w:rPr>
          <w:rFonts w:ascii="Arial" w:eastAsia="Arial Unicode MS" w:hAnsi="Arial" w:cs="Arial"/>
          <w:b/>
        </w:rPr>
        <w:t xml:space="preserve">Supplementary Figure </w:t>
      </w:r>
      <w:r w:rsidR="00E556A2">
        <w:rPr>
          <w:rFonts w:ascii="Arial" w:eastAsia="Arial Unicode MS" w:hAnsi="Arial" w:cs="Arial"/>
          <w:b/>
        </w:rPr>
        <w:t>4</w:t>
      </w:r>
      <w:r w:rsidRPr="00C764B9">
        <w:rPr>
          <w:rFonts w:ascii="Arial" w:eastAsia="Arial Unicode MS" w:hAnsi="Arial" w:cs="Arial"/>
          <w:b/>
        </w:rPr>
        <w:t>.</w:t>
      </w:r>
      <w:r w:rsidRPr="00C764B9">
        <w:rPr>
          <w:rFonts w:ascii="Arial" w:eastAsia="Arial Unicode MS" w:hAnsi="Arial" w:cs="Arial"/>
        </w:rPr>
        <w:t xml:space="preserve"> </w:t>
      </w:r>
      <w:r w:rsidR="00A75D7E">
        <w:rPr>
          <w:rFonts w:ascii="Arial" w:hAnsi="Arial" w:cs="Arial"/>
          <w:b/>
        </w:rPr>
        <w:t xml:space="preserve">Examples of differentially expressed genes and enriched canonical pathways. </w:t>
      </w:r>
      <w:r w:rsidR="00A75D7E">
        <w:rPr>
          <w:rFonts w:ascii="Arial" w:hAnsi="Arial" w:cs="Arial"/>
        </w:rPr>
        <w:t>A) These candidate genes showed significant differential expression in all three comparisons (KD saline vs. WT saline, WT HDM vs. WT saline, and KD HDM vs. KD saline). B) Activation z-scores from IPA for canonical pathways that were significantly enriched in differentially expressed genes in both KD saline vs. WT saline and WT HDM vs. WT saline. A red color indicates a positive z-score, indicating that IPA predicted that a given pathway would have increased activity. A blue color indicates a negative z-score, indicating that IPA predicted that a given pathway would have decreased activity. C) Activation z-score from IPA for canonical pathways that were significantly enriched in differentially accessible peaks in both KD saline vs. WT saline and KD HDM vs. WT HDM. Activation z-scores were calculated by assuming a positive correlation between chromatin accessibility and gene expression. Abbreviations: WT saline = TET1 intact saline samples, WT HDM = TET1 intact house dust mite samples, KD saline = TET1 knockdown saline samples, KD HDM = TET1 knockdown house dust mite samples</w:t>
      </w:r>
    </w:p>
    <w:p w14:paraId="358DDB09" w14:textId="77777777" w:rsidR="00EE3748" w:rsidRPr="00C764B9" w:rsidRDefault="00EE3748" w:rsidP="00875C61">
      <w:pPr>
        <w:spacing w:after="0" w:line="480" w:lineRule="auto"/>
        <w:jc w:val="both"/>
        <w:rPr>
          <w:rFonts w:ascii="Arial" w:eastAsia="Arial Unicode MS" w:hAnsi="Arial" w:cs="Arial"/>
          <w:b/>
        </w:rPr>
      </w:pPr>
    </w:p>
    <w:p w14:paraId="1B6813BA" w14:textId="2A2A75CC" w:rsidR="00BE076E" w:rsidRDefault="00875C61" w:rsidP="00DB27E9">
      <w:pPr>
        <w:spacing w:after="0" w:line="480" w:lineRule="auto"/>
        <w:jc w:val="both"/>
        <w:rPr>
          <w:rFonts w:ascii="Arial" w:hAnsi="Arial" w:cs="Arial"/>
        </w:rPr>
      </w:pPr>
      <w:r w:rsidRPr="00C764B9">
        <w:rPr>
          <w:rFonts w:ascii="Arial" w:eastAsia="Arial Unicode MS" w:hAnsi="Arial" w:cs="Arial"/>
          <w:b/>
        </w:rPr>
        <w:t xml:space="preserve">Supplementary Figure </w:t>
      </w:r>
      <w:r w:rsidR="00E556A2">
        <w:rPr>
          <w:rFonts w:ascii="Arial" w:eastAsia="Arial Unicode MS" w:hAnsi="Arial" w:cs="Arial"/>
          <w:b/>
        </w:rPr>
        <w:t>5</w:t>
      </w:r>
      <w:r w:rsidRPr="00C764B9">
        <w:rPr>
          <w:rFonts w:ascii="Arial" w:eastAsia="Arial Unicode MS" w:hAnsi="Arial" w:cs="Arial"/>
          <w:b/>
        </w:rPr>
        <w:t>.</w:t>
      </w:r>
      <w:r w:rsidR="00A75D7E" w:rsidRPr="00A75D7E">
        <w:rPr>
          <w:rFonts w:ascii="Arial" w:hAnsi="Arial" w:cs="Arial"/>
          <w:b/>
        </w:rPr>
        <w:t xml:space="preserve"> </w:t>
      </w:r>
      <w:r w:rsidR="00A75D7E">
        <w:rPr>
          <w:rFonts w:ascii="Arial" w:hAnsi="Arial" w:cs="Arial"/>
          <w:b/>
        </w:rPr>
        <w:t xml:space="preserve">Candidate genes that were differentially expressed only in KD HDM vs. WT HDM. </w:t>
      </w:r>
      <w:r w:rsidR="00A75D7E">
        <w:rPr>
          <w:rFonts w:ascii="Arial" w:hAnsi="Arial" w:cs="Arial"/>
        </w:rPr>
        <w:t>These candidate genes showed significant differential expression in only the KD HDM vs. WT HDM comparison (they were not differentially expressed in KD saline vs. WT saline or WT HDM vs. WT saline).</w:t>
      </w:r>
    </w:p>
    <w:p w14:paraId="6AD2AA74" w14:textId="2A78DBAF" w:rsidR="00652E59" w:rsidRPr="00C764B9" w:rsidRDefault="00652E59" w:rsidP="000F7A45">
      <w:pPr>
        <w:spacing w:after="0" w:line="480" w:lineRule="auto"/>
        <w:jc w:val="both"/>
        <w:rPr>
          <w:rFonts w:ascii="Arial" w:eastAsia="Arial Unicode MS" w:hAnsi="Arial" w:cs="Arial"/>
        </w:rPr>
      </w:pPr>
    </w:p>
    <w:p w14:paraId="4762BC76" w14:textId="48C86C47" w:rsidR="00A75D7E" w:rsidRDefault="002B731B" w:rsidP="00A75D7E">
      <w:pPr>
        <w:spacing w:line="480" w:lineRule="auto"/>
        <w:rPr>
          <w:rFonts w:ascii="Arial" w:hAnsi="Arial" w:cs="Arial"/>
        </w:rPr>
      </w:pPr>
      <w:r w:rsidRPr="00C764B9">
        <w:rPr>
          <w:rFonts w:ascii="Arial" w:eastAsia="Arial Unicode MS" w:hAnsi="Arial" w:cs="Arial"/>
          <w:b/>
        </w:rPr>
        <w:t xml:space="preserve">Supplementary Figure </w:t>
      </w:r>
      <w:r w:rsidR="000F494C">
        <w:rPr>
          <w:rFonts w:ascii="Arial" w:eastAsia="Arial Unicode MS" w:hAnsi="Arial" w:cs="Arial"/>
          <w:b/>
        </w:rPr>
        <w:t>6</w:t>
      </w:r>
      <w:bookmarkStart w:id="0" w:name="_GoBack"/>
      <w:bookmarkEnd w:id="0"/>
      <w:r w:rsidRPr="00C764B9">
        <w:rPr>
          <w:rFonts w:ascii="Arial" w:eastAsia="Arial Unicode MS" w:hAnsi="Arial" w:cs="Arial"/>
          <w:b/>
        </w:rPr>
        <w:t>.</w:t>
      </w:r>
      <w:r w:rsidRPr="00C764B9">
        <w:rPr>
          <w:rFonts w:ascii="Arial" w:eastAsia="Arial Unicode MS" w:hAnsi="Arial" w:cs="Arial"/>
        </w:rPr>
        <w:t xml:space="preserve"> </w:t>
      </w:r>
      <w:r w:rsidR="00A75D7E">
        <w:rPr>
          <w:rFonts w:ascii="Arial" w:hAnsi="Arial" w:cs="Arial"/>
          <w:b/>
        </w:rPr>
        <w:t>Differentially methylated regions following TET1 knockdown showed little enrichment for transcription factor binding sites.</w:t>
      </w:r>
      <w:r w:rsidR="00A75D7E">
        <w:rPr>
          <w:rFonts w:ascii="Arial" w:hAnsi="Arial" w:cs="Arial"/>
        </w:rPr>
        <w:t xml:space="preserve"> </w:t>
      </w:r>
      <w:r w:rsidR="00BE076E">
        <w:rPr>
          <w:rFonts w:ascii="Arial" w:hAnsi="Arial" w:cs="Arial"/>
        </w:rPr>
        <w:t xml:space="preserve">These HOMER results were generated by </w:t>
      </w:r>
      <w:r w:rsidR="00BE076E">
        <w:rPr>
          <w:rFonts w:ascii="Arial" w:hAnsi="Arial" w:cs="Arial"/>
        </w:rPr>
        <w:lastRenderedPageBreak/>
        <w:t>differentially methylated regions with with a custom HOMER database of transcription factor binding motifs obtained from the CisBP database. The y-axes on these plots show the relative enrichment for a given TF binding motif in regions changing in methylation (</w:t>
      </w:r>
      <w:r w:rsidR="00BE076E" w:rsidRPr="00BE076E">
        <w:rPr>
          <w:rFonts w:ascii="Arial" w:hAnsi="Arial" w:cs="Arial"/>
          <w:i/>
        </w:rPr>
        <w:t>i.e.</w:t>
      </w:r>
      <w:r w:rsidR="00BE076E">
        <w:rPr>
          <w:rFonts w:ascii="Arial" w:hAnsi="Arial" w:cs="Arial"/>
        </w:rPr>
        <w:t xml:space="preserve"> differentially methylated regions). The x-axis on these plots show the relative enrichment for regions not changing in methylation (</w:t>
      </w:r>
      <w:r w:rsidR="00BE076E" w:rsidRPr="00BE076E">
        <w:rPr>
          <w:rFonts w:ascii="Arial" w:hAnsi="Arial" w:cs="Arial"/>
          <w:i/>
        </w:rPr>
        <w:t>i.e.</w:t>
      </w:r>
      <w:r w:rsidR="00BE076E">
        <w:rPr>
          <w:rFonts w:ascii="Arial" w:hAnsi="Arial" w:cs="Arial"/>
        </w:rPr>
        <w:t xml:space="preserve"> regions with statistically equivalent methylation levels). Points straying from the diagonal line indicate a difference in enrichment between these sets of regions. Abbreviations: WT saline = TET1 intact saline samples, WT HDM = TET1 intact house dust mite samples, KD saline = TET1 knockdown saline samples, KD HDM = TET1 knockdown house dust mite samples</w:t>
      </w:r>
      <w:r w:rsidR="00105B96">
        <w:rPr>
          <w:rFonts w:ascii="Arial" w:hAnsi="Arial" w:cs="Arial"/>
        </w:rPr>
        <w:t xml:space="preserve">. </w:t>
      </w:r>
    </w:p>
    <w:p w14:paraId="29497E77" w14:textId="7AEF8798" w:rsidR="00FD1B16" w:rsidRPr="00C764B9" w:rsidRDefault="00FD1B16" w:rsidP="00DB27E9">
      <w:pPr>
        <w:spacing w:after="0" w:line="480" w:lineRule="auto"/>
        <w:jc w:val="both"/>
        <w:rPr>
          <w:rFonts w:ascii="Arial" w:eastAsia="Arial Unicode MS" w:hAnsi="Arial" w:cs="Arial"/>
        </w:rPr>
      </w:pPr>
    </w:p>
    <w:p w14:paraId="2F0F9E8F" w14:textId="754B0A50" w:rsidR="000F7A45" w:rsidRPr="00C764B9" w:rsidRDefault="000F7A45" w:rsidP="000F7A45">
      <w:pPr>
        <w:spacing w:line="480" w:lineRule="auto"/>
        <w:jc w:val="both"/>
        <w:rPr>
          <w:rFonts w:ascii="Arial" w:eastAsia="Arial Unicode MS" w:hAnsi="Arial" w:cs="Arial"/>
          <w:b/>
        </w:rPr>
      </w:pPr>
    </w:p>
    <w:p w14:paraId="7385C4A9" w14:textId="7C143A5B" w:rsidR="00D725CE" w:rsidRPr="00C764B9" w:rsidRDefault="00FD1B16" w:rsidP="000F7A45">
      <w:pPr>
        <w:spacing w:line="480" w:lineRule="auto"/>
        <w:jc w:val="both"/>
        <w:rPr>
          <w:rFonts w:ascii="Arial" w:eastAsia="Arial Unicode MS" w:hAnsi="Arial" w:cs="Arial"/>
          <w:b/>
        </w:rPr>
      </w:pPr>
      <w:r w:rsidRPr="00C764B9">
        <w:rPr>
          <w:rFonts w:ascii="Arial" w:eastAsia="Arial Unicode MS" w:hAnsi="Arial" w:cs="Arial"/>
          <w:b/>
        </w:rPr>
        <w:t>Supplementary Tables</w:t>
      </w:r>
    </w:p>
    <w:p w14:paraId="58455F89" w14:textId="2BD8B2E8" w:rsidR="00D725CE" w:rsidRPr="00640199" w:rsidRDefault="00D725CE" w:rsidP="000F7A45">
      <w:pPr>
        <w:spacing w:line="480" w:lineRule="auto"/>
        <w:jc w:val="both"/>
        <w:rPr>
          <w:rFonts w:ascii="Arial" w:eastAsia="Arial Unicode MS" w:hAnsi="Arial" w:cs="Arial"/>
        </w:rPr>
      </w:pPr>
      <w:r w:rsidRPr="00C764B9">
        <w:rPr>
          <w:rFonts w:ascii="Arial" w:eastAsia="Arial Unicode MS" w:hAnsi="Arial" w:cs="Arial"/>
          <w:b/>
        </w:rPr>
        <w:t xml:space="preserve">Supplementary Table 1. </w:t>
      </w:r>
      <w:r w:rsidR="00A71285">
        <w:rPr>
          <w:rFonts w:ascii="Arial" w:eastAsia="Arial Unicode MS" w:hAnsi="Arial" w:cs="Arial"/>
        </w:rPr>
        <w:t>D</w:t>
      </w:r>
      <w:r w:rsidR="00640199">
        <w:rPr>
          <w:rFonts w:ascii="Arial" w:eastAsia="Arial Unicode MS" w:hAnsi="Arial" w:cs="Arial"/>
        </w:rPr>
        <w:t>ifferentially accessible regions from MANorm2. A positive “Mval” indicates greater accessibility in the first listed sample group, while a negative “Mval” indicates reduced accessibility in the first listed sample group compared to the second listed sample group.</w:t>
      </w:r>
    </w:p>
    <w:p w14:paraId="01C17FD9" w14:textId="18EABA91" w:rsidR="00D725CE" w:rsidRPr="00C764B9" w:rsidRDefault="00D725CE" w:rsidP="000F7A45">
      <w:pPr>
        <w:spacing w:line="480" w:lineRule="auto"/>
        <w:jc w:val="both"/>
        <w:rPr>
          <w:rFonts w:ascii="Arial" w:eastAsia="Arial Unicode MS" w:hAnsi="Arial" w:cs="Arial"/>
        </w:rPr>
      </w:pPr>
      <w:r w:rsidRPr="00C764B9">
        <w:rPr>
          <w:rFonts w:ascii="Arial" w:eastAsia="Arial Unicode MS" w:hAnsi="Arial" w:cs="Arial"/>
          <w:b/>
        </w:rPr>
        <w:t>Supplementary Table 2.</w:t>
      </w:r>
      <w:r w:rsidRPr="00C764B9">
        <w:rPr>
          <w:rFonts w:ascii="Arial" w:eastAsia="Arial Unicode MS" w:hAnsi="Arial" w:cs="Arial"/>
        </w:rPr>
        <w:t xml:space="preserve"> </w:t>
      </w:r>
      <w:r w:rsidR="00640199">
        <w:rPr>
          <w:rFonts w:ascii="Arial" w:eastAsia="Arial Unicode MS" w:hAnsi="Arial" w:cs="Arial"/>
        </w:rPr>
        <w:t>Enriched canonical pathways from IPA in differentially accessible regions. The “Molecules” column shows genes that are part of the listed pathway that were differentially accessible in the comparison listed.</w:t>
      </w:r>
    </w:p>
    <w:p w14:paraId="4EE4A7BD" w14:textId="2A069C11" w:rsidR="00D725CE" w:rsidRPr="00640199" w:rsidRDefault="00D725CE" w:rsidP="000F7A45">
      <w:pPr>
        <w:spacing w:line="480" w:lineRule="auto"/>
        <w:jc w:val="both"/>
        <w:rPr>
          <w:rFonts w:ascii="Arial" w:eastAsia="Arial Unicode MS" w:hAnsi="Arial" w:cs="Arial"/>
        </w:rPr>
      </w:pPr>
      <w:r w:rsidRPr="00C764B9">
        <w:rPr>
          <w:rFonts w:ascii="Arial" w:eastAsia="Arial Unicode MS" w:hAnsi="Arial" w:cs="Arial"/>
          <w:b/>
        </w:rPr>
        <w:t>Supplementary Table 3.</w:t>
      </w:r>
      <w:r w:rsidR="00640199">
        <w:rPr>
          <w:rFonts w:ascii="Arial" w:eastAsia="Arial Unicode MS" w:hAnsi="Arial" w:cs="Arial"/>
          <w:b/>
        </w:rPr>
        <w:t xml:space="preserve"> </w:t>
      </w:r>
      <w:r w:rsidR="00640199">
        <w:rPr>
          <w:rFonts w:ascii="Arial" w:eastAsia="Arial Unicode MS" w:hAnsi="Arial" w:cs="Arial"/>
        </w:rPr>
        <w:t>Differentially methylated regions from DMRichR. A positive “Difference” indicates increased methylation in the first listed sample group, while a negative “Difference” indicates decreased methylation in the first listed sample group compared to the second listed sample group.</w:t>
      </w:r>
    </w:p>
    <w:p w14:paraId="2C48334B" w14:textId="4DE485F2" w:rsidR="00D725CE" w:rsidRPr="00C764B9" w:rsidRDefault="00D725CE" w:rsidP="000F7A45">
      <w:pPr>
        <w:spacing w:line="480" w:lineRule="auto"/>
        <w:jc w:val="both"/>
        <w:rPr>
          <w:rFonts w:ascii="Arial" w:eastAsia="Arial Unicode MS" w:hAnsi="Arial" w:cs="Arial"/>
        </w:rPr>
      </w:pPr>
      <w:r w:rsidRPr="00C764B9">
        <w:rPr>
          <w:rFonts w:ascii="Arial" w:eastAsia="Arial Unicode MS" w:hAnsi="Arial" w:cs="Arial"/>
          <w:b/>
        </w:rPr>
        <w:t xml:space="preserve">Supplementary Table 4. </w:t>
      </w:r>
      <w:r w:rsidR="00A71285">
        <w:rPr>
          <w:rFonts w:ascii="Arial" w:eastAsia="Arial Unicode MS" w:hAnsi="Arial" w:cs="Arial"/>
        </w:rPr>
        <w:t>Enriched canonical pathways from IPA in differentially methylated regions. The “Molecules” column shows genes that are part of the listed pathway that were differentially methylated in the comparison listed.</w:t>
      </w:r>
    </w:p>
    <w:p w14:paraId="670FCA5E" w14:textId="1029FAB1" w:rsidR="00D725CE" w:rsidRPr="00A71285" w:rsidRDefault="00D725CE" w:rsidP="000F7A45">
      <w:pPr>
        <w:spacing w:line="480" w:lineRule="auto"/>
        <w:jc w:val="both"/>
        <w:rPr>
          <w:rFonts w:ascii="Arial" w:eastAsia="Arial Unicode MS" w:hAnsi="Arial" w:cs="Arial"/>
        </w:rPr>
      </w:pPr>
      <w:r w:rsidRPr="00C764B9">
        <w:rPr>
          <w:rFonts w:ascii="Arial" w:eastAsia="Arial Unicode MS" w:hAnsi="Arial" w:cs="Arial"/>
          <w:b/>
        </w:rPr>
        <w:lastRenderedPageBreak/>
        <w:t xml:space="preserve">Supplementary Table 5. </w:t>
      </w:r>
      <w:r w:rsidR="00A71285">
        <w:rPr>
          <w:rFonts w:ascii="Arial" w:eastAsia="Arial Unicode MS" w:hAnsi="Arial" w:cs="Arial"/>
        </w:rPr>
        <w:t>Differentially expressed genes from DESeq2. A positive “</w:t>
      </w:r>
      <w:r w:rsidR="00A71285" w:rsidRPr="00A71285">
        <w:rPr>
          <w:rFonts w:ascii="Arial" w:eastAsia="Arial Unicode MS" w:hAnsi="Arial" w:cs="Arial"/>
        </w:rPr>
        <w:t>log2FoldChange</w:t>
      </w:r>
      <w:r w:rsidR="00A71285">
        <w:rPr>
          <w:rFonts w:ascii="Arial" w:eastAsia="Arial Unicode MS" w:hAnsi="Arial" w:cs="Arial"/>
        </w:rPr>
        <w:t>” indicates increased expression in the first listed sample group, while a negative “</w:t>
      </w:r>
      <w:r w:rsidR="00A71285" w:rsidRPr="00A71285">
        <w:rPr>
          <w:rFonts w:ascii="Arial" w:eastAsia="Arial Unicode MS" w:hAnsi="Arial" w:cs="Arial"/>
        </w:rPr>
        <w:t>log2FoldChange</w:t>
      </w:r>
      <w:r w:rsidR="00A71285">
        <w:rPr>
          <w:rFonts w:ascii="Arial" w:eastAsia="Arial Unicode MS" w:hAnsi="Arial" w:cs="Arial"/>
        </w:rPr>
        <w:t>” indicates decreased expression in the first listed sample group compared to the second listed sample group.</w:t>
      </w:r>
    </w:p>
    <w:p w14:paraId="0B6D4DC9" w14:textId="01073F51" w:rsidR="00137723" w:rsidRPr="00C764B9" w:rsidRDefault="00C20AC1" w:rsidP="00DB27E9">
      <w:pPr>
        <w:spacing w:line="480" w:lineRule="auto"/>
        <w:jc w:val="both"/>
        <w:rPr>
          <w:rFonts w:ascii="Arial" w:eastAsia="Arial Unicode MS" w:hAnsi="Arial" w:cs="Arial"/>
        </w:rPr>
      </w:pPr>
      <w:r w:rsidRPr="00C764B9">
        <w:rPr>
          <w:rFonts w:ascii="Arial" w:eastAsia="Arial Unicode MS" w:hAnsi="Arial" w:cs="Arial"/>
          <w:b/>
        </w:rPr>
        <w:t>Supplementary Table 6.</w:t>
      </w:r>
      <w:r w:rsidRPr="00C764B9">
        <w:rPr>
          <w:rFonts w:ascii="Arial" w:eastAsia="Arial Unicode MS" w:hAnsi="Arial" w:cs="Arial"/>
        </w:rPr>
        <w:t xml:space="preserve"> </w:t>
      </w:r>
      <w:r w:rsidR="00A71285">
        <w:rPr>
          <w:rFonts w:ascii="Arial" w:eastAsia="Arial Unicode MS" w:hAnsi="Arial" w:cs="Arial"/>
        </w:rPr>
        <w:t>Enriched canonical pathways from IPA in differentially expressed genes. The “Molecules” column shows genes that are part of the listed pathway that were differentially expressed in the comparison listed.</w:t>
      </w:r>
    </w:p>
    <w:p w14:paraId="641CB7C0" w14:textId="1ABFEAE7" w:rsidR="00D725CE" w:rsidRPr="00001070" w:rsidRDefault="00D725CE" w:rsidP="000F7A45">
      <w:pPr>
        <w:spacing w:line="480" w:lineRule="auto"/>
        <w:jc w:val="both"/>
        <w:rPr>
          <w:rFonts w:ascii="Arial" w:eastAsia="Arial Unicode MS" w:hAnsi="Arial" w:cs="Arial"/>
        </w:rPr>
      </w:pPr>
      <w:r w:rsidRPr="00C764B9">
        <w:rPr>
          <w:rFonts w:ascii="Arial" w:eastAsia="Arial Unicode MS" w:hAnsi="Arial" w:cs="Arial"/>
          <w:b/>
        </w:rPr>
        <w:t xml:space="preserve">Supplementary Table </w:t>
      </w:r>
      <w:r w:rsidR="00C20AC1" w:rsidRPr="00C764B9">
        <w:rPr>
          <w:rFonts w:ascii="Arial" w:eastAsia="Arial Unicode MS" w:hAnsi="Arial" w:cs="Arial"/>
          <w:b/>
        </w:rPr>
        <w:t>7</w:t>
      </w:r>
      <w:r w:rsidRPr="00C764B9">
        <w:rPr>
          <w:rFonts w:ascii="Arial" w:eastAsia="Arial Unicode MS" w:hAnsi="Arial" w:cs="Arial"/>
          <w:b/>
        </w:rPr>
        <w:t xml:space="preserve">. </w:t>
      </w:r>
      <w:r w:rsidR="00001070">
        <w:rPr>
          <w:rFonts w:ascii="Arial" w:eastAsia="Arial Unicode MS" w:hAnsi="Arial" w:cs="Arial"/>
        </w:rPr>
        <w:t>Enriched canonical pathways from IPA in overlapping genes in different analyses in the KD saline vs. WT saline comparison. “DE+DMR only” refers to genes that were differentially expressed and differentially methylated, but not differentially accessible. “DE+ATAC only” refers to genes that were differentially expressed and differentially accessible, but not differentially methylated. “DE+ATAC+DMR” refers to genes that were differentially expressed, differentially accessible, and differentially methylated. “DE only” refers to genes that were differentially expressed, but not differentially accessible or differentially methylated. The “Molecules” column shows genes that are part of the listed pathway that were part of the listed category (</w:t>
      </w:r>
      <w:r w:rsidR="00001070">
        <w:rPr>
          <w:rFonts w:ascii="Arial" w:eastAsia="Arial Unicode MS" w:hAnsi="Arial" w:cs="Arial"/>
          <w:i/>
        </w:rPr>
        <w:t xml:space="preserve">e.g. </w:t>
      </w:r>
      <w:r w:rsidR="00001070">
        <w:rPr>
          <w:rFonts w:ascii="Arial" w:eastAsia="Arial Unicode MS" w:hAnsi="Arial" w:cs="Arial"/>
        </w:rPr>
        <w:t>genes that are part of a pathway that were only differentially expressed would be listed in the “Molecules” column for the “DE only” tab).</w:t>
      </w:r>
    </w:p>
    <w:p w14:paraId="23AFB54B" w14:textId="5EFCE0FB" w:rsidR="00D725CE" w:rsidRPr="00A02102" w:rsidRDefault="00D725CE" w:rsidP="00A02102">
      <w:pPr>
        <w:spacing w:after="0" w:line="480" w:lineRule="auto"/>
        <w:jc w:val="both"/>
        <w:rPr>
          <w:rFonts w:ascii="Arial" w:eastAsia="Arial Unicode MS" w:hAnsi="Arial" w:cs="Arial"/>
        </w:rPr>
      </w:pPr>
      <w:r w:rsidRPr="00C764B9">
        <w:rPr>
          <w:rFonts w:ascii="Arial" w:eastAsia="Arial Unicode MS" w:hAnsi="Arial" w:cs="Arial"/>
          <w:b/>
        </w:rPr>
        <w:t xml:space="preserve">Supplementary Table </w:t>
      </w:r>
      <w:r w:rsidR="00C20AC1" w:rsidRPr="00C764B9">
        <w:rPr>
          <w:rFonts w:ascii="Arial" w:eastAsia="Arial Unicode MS" w:hAnsi="Arial" w:cs="Arial"/>
          <w:b/>
        </w:rPr>
        <w:t>8</w:t>
      </w:r>
      <w:r w:rsidRPr="00C764B9">
        <w:rPr>
          <w:rFonts w:ascii="Arial" w:eastAsia="Arial Unicode MS" w:hAnsi="Arial" w:cs="Arial"/>
          <w:b/>
        </w:rPr>
        <w:t xml:space="preserve">. </w:t>
      </w:r>
      <w:r w:rsidR="00A02102">
        <w:rPr>
          <w:rFonts w:ascii="Arial" w:eastAsia="Arial Unicode MS" w:hAnsi="Arial" w:cs="Arial"/>
        </w:rPr>
        <w:t>Differentially methylated regions that overlapped positionally between the KD saline vs. WT saline and WT HDM vs. WT saline comparisons. The first set of coordinates are differentially methylated regions from the KD saline vs. WT saline comparison, while the second set of coordinates are differentially methylated regions from the WT HDM vs. WT saline comparison. For the “</w:t>
      </w:r>
      <w:r w:rsidR="00A02102" w:rsidRPr="00A02102">
        <w:rPr>
          <w:rFonts w:ascii="Arial" w:eastAsia="Arial Unicode MS" w:hAnsi="Arial" w:cs="Arial"/>
        </w:rPr>
        <w:t>% diff methylation</w:t>
      </w:r>
      <w:r w:rsidR="00A02102">
        <w:rPr>
          <w:rFonts w:ascii="Arial" w:eastAsia="Arial Unicode MS" w:hAnsi="Arial" w:cs="Arial"/>
        </w:rPr>
        <w:t>” columns, a positive value indicates increased methylation in the first listed sample group, while a negative value indicates decreased methylation in the first listed sample group compared to the second listed sample group.</w:t>
      </w:r>
    </w:p>
    <w:p w14:paraId="1D2B84CD" w14:textId="3BDFF3C0" w:rsidR="00D725CE" w:rsidRPr="00331588" w:rsidRDefault="00D725CE" w:rsidP="000F7A45">
      <w:pPr>
        <w:spacing w:line="480" w:lineRule="auto"/>
        <w:jc w:val="both"/>
        <w:rPr>
          <w:rFonts w:ascii="Arial" w:eastAsia="Arial Unicode MS" w:hAnsi="Arial" w:cs="Arial"/>
        </w:rPr>
      </w:pPr>
      <w:r w:rsidRPr="00C764B9">
        <w:rPr>
          <w:rFonts w:ascii="Arial" w:eastAsia="Arial Unicode MS" w:hAnsi="Arial" w:cs="Arial"/>
          <w:b/>
        </w:rPr>
        <w:t xml:space="preserve">Supplementary Table </w:t>
      </w:r>
      <w:r w:rsidR="00C20AC1" w:rsidRPr="00C764B9">
        <w:rPr>
          <w:rFonts w:ascii="Arial" w:eastAsia="Arial Unicode MS" w:hAnsi="Arial" w:cs="Arial"/>
          <w:b/>
        </w:rPr>
        <w:t>9</w:t>
      </w:r>
      <w:r w:rsidRPr="00C764B9">
        <w:rPr>
          <w:rFonts w:ascii="Arial" w:eastAsia="Arial Unicode MS" w:hAnsi="Arial" w:cs="Arial"/>
          <w:b/>
        </w:rPr>
        <w:t xml:space="preserve">. </w:t>
      </w:r>
      <w:r w:rsidR="00331588">
        <w:rPr>
          <w:rFonts w:ascii="Arial" w:eastAsia="Arial Unicode MS" w:hAnsi="Arial" w:cs="Arial"/>
        </w:rPr>
        <w:t xml:space="preserve">Enriched canonical pathways from IPA in genes that were differentially expressed in the KD HDM vs. WT HDM comparison, but not in the KD saline vs. WT saline comparison. The “Molecules” </w:t>
      </w:r>
      <w:r w:rsidR="00331588">
        <w:rPr>
          <w:rFonts w:ascii="Arial" w:eastAsia="Arial Unicode MS" w:hAnsi="Arial" w:cs="Arial"/>
        </w:rPr>
        <w:lastRenderedPageBreak/>
        <w:t>column shows genes that are part of the listed pathway that were differentially expressed in KDHDM vs. WTHDM but not in KD saline vs. WT saline.</w:t>
      </w:r>
    </w:p>
    <w:p w14:paraId="04C639FE" w14:textId="65121F29" w:rsidR="00F46C0D" w:rsidRPr="00C764B9" w:rsidRDefault="00D725CE" w:rsidP="000F7A45">
      <w:pPr>
        <w:spacing w:line="480" w:lineRule="auto"/>
        <w:jc w:val="both"/>
        <w:rPr>
          <w:rFonts w:ascii="Arial" w:eastAsia="Arial Unicode MS" w:hAnsi="Arial" w:cs="Arial"/>
        </w:rPr>
      </w:pPr>
      <w:r w:rsidRPr="00C764B9">
        <w:rPr>
          <w:rFonts w:ascii="Arial" w:eastAsia="Arial Unicode MS" w:hAnsi="Arial" w:cs="Arial"/>
          <w:b/>
        </w:rPr>
        <w:t xml:space="preserve">Supplementary Table </w:t>
      </w:r>
      <w:r w:rsidR="00C20AC1" w:rsidRPr="00C764B9">
        <w:rPr>
          <w:rFonts w:ascii="Arial" w:eastAsia="Arial Unicode MS" w:hAnsi="Arial" w:cs="Arial"/>
          <w:b/>
        </w:rPr>
        <w:t>10</w:t>
      </w:r>
      <w:r w:rsidR="00DB27E9">
        <w:rPr>
          <w:rFonts w:ascii="Arial" w:eastAsia="Arial Unicode MS" w:hAnsi="Arial" w:cs="Arial"/>
        </w:rPr>
        <w:t>.</w:t>
      </w:r>
      <w:r w:rsidR="00427C5C">
        <w:rPr>
          <w:rFonts w:ascii="Arial" w:eastAsia="Arial Unicode MS" w:hAnsi="Arial" w:cs="Arial"/>
        </w:rPr>
        <w:t xml:space="preserve"> Regions showing significant differences in H3K27ac based on ChIP-seq. A positive “fold” indicates increased H3K27ac in the first listed sample group, while a negative “fold” indicates decreased H3K27ac in the first listed sample group compared to the second listed sample group. </w:t>
      </w:r>
    </w:p>
    <w:p w14:paraId="4C65F2D4" w14:textId="17510259" w:rsidR="006A2E85" w:rsidRDefault="006A2E85" w:rsidP="000F7A45">
      <w:pPr>
        <w:spacing w:line="480" w:lineRule="auto"/>
        <w:jc w:val="both"/>
        <w:rPr>
          <w:rFonts w:ascii="Arial" w:eastAsia="Arial Unicode MS" w:hAnsi="Arial" w:cs="Arial"/>
          <w:b/>
        </w:rPr>
      </w:pPr>
      <w:r w:rsidRPr="00C764B9">
        <w:rPr>
          <w:rFonts w:ascii="Arial" w:eastAsia="Arial Unicode MS" w:hAnsi="Arial" w:cs="Arial"/>
          <w:b/>
        </w:rPr>
        <w:t xml:space="preserve">Supplementary Table </w:t>
      </w:r>
      <w:r w:rsidRPr="00C764B9">
        <w:rPr>
          <w:rFonts w:ascii="Arial" w:eastAsia="Arial Unicode MS" w:hAnsi="Arial" w:cs="Arial" w:hint="eastAsia"/>
          <w:b/>
        </w:rPr>
        <w:t>11</w:t>
      </w:r>
      <w:r w:rsidR="00DB27E9">
        <w:rPr>
          <w:rFonts w:ascii="Arial" w:eastAsia="Arial Unicode MS" w:hAnsi="Arial" w:cs="Arial"/>
          <w:b/>
        </w:rPr>
        <w:t>.</w:t>
      </w:r>
      <w:r w:rsidR="00427C5C">
        <w:rPr>
          <w:rFonts w:ascii="Arial" w:eastAsia="Arial Unicode MS" w:hAnsi="Arial" w:cs="Arial"/>
          <w:b/>
        </w:rPr>
        <w:t xml:space="preserve"> </w:t>
      </w:r>
      <w:r w:rsidR="00427C5C">
        <w:rPr>
          <w:rFonts w:ascii="Arial" w:eastAsia="Arial Unicode MS" w:hAnsi="Arial" w:cs="Arial"/>
        </w:rPr>
        <w:t>Enriched canonical pathways from IPA in regions with significant differences in H3K27ac levels. The “Molecules” column shows genes that are part of the listed pathway that had significant differences in H3K27ac levels in the comparison listed.</w:t>
      </w:r>
    </w:p>
    <w:p w14:paraId="6540896A" w14:textId="0885F9D6" w:rsidR="00427C5C" w:rsidRPr="00A32ED5" w:rsidRDefault="00427C5C" w:rsidP="000F7A45">
      <w:pPr>
        <w:spacing w:line="480" w:lineRule="auto"/>
        <w:jc w:val="both"/>
        <w:rPr>
          <w:rFonts w:ascii="Arial" w:eastAsia="Arial Unicode MS" w:hAnsi="Arial" w:cs="Arial"/>
        </w:rPr>
      </w:pPr>
      <w:r>
        <w:rPr>
          <w:rFonts w:ascii="Arial" w:eastAsia="Arial Unicode MS" w:hAnsi="Arial" w:cs="Arial"/>
          <w:b/>
        </w:rPr>
        <w:t xml:space="preserve">Supplementary Table 12. </w:t>
      </w:r>
      <w:r w:rsidR="00A32ED5">
        <w:rPr>
          <w:rFonts w:ascii="Arial" w:eastAsia="Arial Unicode MS" w:hAnsi="Arial" w:cs="Arial"/>
        </w:rPr>
        <w:t>Consensus superenhancers identified by ROSE based on H3K27ac ChIP-seq data. Each tab contains consensus superenhancers that were present in one sample group that were not present in another sample group. For example, the “KDSalvsWTSal_KDSal_unique SE” tab includes consensus superenhancers in the KD saline group that were not present in the WT saline group.</w:t>
      </w:r>
    </w:p>
    <w:sectPr w:rsidR="00427C5C" w:rsidRPr="00A32ED5" w:rsidSect="00F35BD3">
      <w:pgSz w:w="11906" w:h="16838"/>
      <w:pgMar w:top="720" w:right="720" w:bottom="720" w:left="720" w:header="850" w:footer="99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779271" w14:textId="77777777" w:rsidR="00160912" w:rsidRDefault="00160912" w:rsidP="00FD1B16">
      <w:pPr>
        <w:spacing w:after="0" w:line="240" w:lineRule="auto"/>
      </w:pPr>
      <w:r>
        <w:separator/>
      </w:r>
    </w:p>
  </w:endnote>
  <w:endnote w:type="continuationSeparator" w:id="0">
    <w:p w14:paraId="10EC570F" w14:textId="77777777" w:rsidR="00160912" w:rsidRDefault="00160912" w:rsidP="00FD1B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05F3E8" w14:textId="77777777" w:rsidR="00160912" w:rsidRDefault="00160912" w:rsidP="00FD1B16">
      <w:pPr>
        <w:spacing w:after="0" w:line="240" w:lineRule="auto"/>
      </w:pPr>
      <w:r>
        <w:separator/>
      </w:r>
    </w:p>
  </w:footnote>
  <w:footnote w:type="continuationSeparator" w:id="0">
    <w:p w14:paraId="39693901" w14:textId="77777777" w:rsidR="00160912" w:rsidRDefault="00160912" w:rsidP="00FD1B1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E1N7QwNjc0NDc1NzZU0lEKTi0uzszPAykwMqwFAJAOGQktAAAA"/>
  </w:docVars>
  <w:rsids>
    <w:rsidRoot w:val="003A79A7"/>
    <w:rsid w:val="00001070"/>
    <w:rsid w:val="00043E77"/>
    <w:rsid w:val="000446CD"/>
    <w:rsid w:val="00046C49"/>
    <w:rsid w:val="00093175"/>
    <w:rsid w:val="000A61A5"/>
    <w:rsid w:val="000A751F"/>
    <w:rsid w:val="000E603C"/>
    <w:rsid w:val="000F494C"/>
    <w:rsid w:val="000F7A45"/>
    <w:rsid w:val="00105B96"/>
    <w:rsid w:val="001170E2"/>
    <w:rsid w:val="001334AA"/>
    <w:rsid w:val="00137723"/>
    <w:rsid w:val="00160912"/>
    <w:rsid w:val="00160AC2"/>
    <w:rsid w:val="00164CF5"/>
    <w:rsid w:val="001806E8"/>
    <w:rsid w:val="00183976"/>
    <w:rsid w:val="001E48F9"/>
    <w:rsid w:val="00210815"/>
    <w:rsid w:val="002301F6"/>
    <w:rsid w:val="00256FFD"/>
    <w:rsid w:val="00267062"/>
    <w:rsid w:val="002919B5"/>
    <w:rsid w:val="002B731B"/>
    <w:rsid w:val="002D66F7"/>
    <w:rsid w:val="002E18D9"/>
    <w:rsid w:val="002E391B"/>
    <w:rsid w:val="002E7C5A"/>
    <w:rsid w:val="002F18A5"/>
    <w:rsid w:val="00326A22"/>
    <w:rsid w:val="00331588"/>
    <w:rsid w:val="003369E5"/>
    <w:rsid w:val="00364A2B"/>
    <w:rsid w:val="003837E2"/>
    <w:rsid w:val="0039745B"/>
    <w:rsid w:val="003A79A7"/>
    <w:rsid w:val="003E0F60"/>
    <w:rsid w:val="003E30F3"/>
    <w:rsid w:val="004224F2"/>
    <w:rsid w:val="00427C5C"/>
    <w:rsid w:val="00431DD3"/>
    <w:rsid w:val="004320E9"/>
    <w:rsid w:val="00435D30"/>
    <w:rsid w:val="00446F61"/>
    <w:rsid w:val="00457742"/>
    <w:rsid w:val="00464712"/>
    <w:rsid w:val="004A16D7"/>
    <w:rsid w:val="004A1E9A"/>
    <w:rsid w:val="004B4CBC"/>
    <w:rsid w:val="004C0092"/>
    <w:rsid w:val="004C7D25"/>
    <w:rsid w:val="004F4EA8"/>
    <w:rsid w:val="0050586D"/>
    <w:rsid w:val="005078F8"/>
    <w:rsid w:val="00527366"/>
    <w:rsid w:val="00546603"/>
    <w:rsid w:val="00564270"/>
    <w:rsid w:val="00577E7D"/>
    <w:rsid w:val="005934EB"/>
    <w:rsid w:val="005A188F"/>
    <w:rsid w:val="005D25ED"/>
    <w:rsid w:val="00622C68"/>
    <w:rsid w:val="0062529D"/>
    <w:rsid w:val="00640199"/>
    <w:rsid w:val="0064315C"/>
    <w:rsid w:val="00652E59"/>
    <w:rsid w:val="006550F5"/>
    <w:rsid w:val="00655347"/>
    <w:rsid w:val="00663263"/>
    <w:rsid w:val="00681A8E"/>
    <w:rsid w:val="00681DB1"/>
    <w:rsid w:val="00690EEC"/>
    <w:rsid w:val="006A2E85"/>
    <w:rsid w:val="006A6C29"/>
    <w:rsid w:val="006B0B9D"/>
    <w:rsid w:val="006C4875"/>
    <w:rsid w:val="006E555C"/>
    <w:rsid w:val="00701942"/>
    <w:rsid w:val="007070F1"/>
    <w:rsid w:val="00721BE9"/>
    <w:rsid w:val="00744A65"/>
    <w:rsid w:val="00744B9D"/>
    <w:rsid w:val="00745A56"/>
    <w:rsid w:val="00752E6D"/>
    <w:rsid w:val="007876FD"/>
    <w:rsid w:val="007A5964"/>
    <w:rsid w:val="007C6196"/>
    <w:rsid w:val="0083269A"/>
    <w:rsid w:val="00832CB9"/>
    <w:rsid w:val="00835BF0"/>
    <w:rsid w:val="00875C61"/>
    <w:rsid w:val="008D016E"/>
    <w:rsid w:val="008F20AB"/>
    <w:rsid w:val="00907C0D"/>
    <w:rsid w:val="0092332D"/>
    <w:rsid w:val="00931689"/>
    <w:rsid w:val="0093747C"/>
    <w:rsid w:val="00960CAD"/>
    <w:rsid w:val="00973207"/>
    <w:rsid w:val="00981D78"/>
    <w:rsid w:val="00996225"/>
    <w:rsid w:val="009A2190"/>
    <w:rsid w:val="009B23D2"/>
    <w:rsid w:val="009B373B"/>
    <w:rsid w:val="009D49AD"/>
    <w:rsid w:val="009E1B10"/>
    <w:rsid w:val="00A02102"/>
    <w:rsid w:val="00A22A28"/>
    <w:rsid w:val="00A32ED5"/>
    <w:rsid w:val="00A361FE"/>
    <w:rsid w:val="00A415EA"/>
    <w:rsid w:val="00A71285"/>
    <w:rsid w:val="00A75D7E"/>
    <w:rsid w:val="00A847C5"/>
    <w:rsid w:val="00AB6F70"/>
    <w:rsid w:val="00B14E6F"/>
    <w:rsid w:val="00B167EA"/>
    <w:rsid w:val="00B419C5"/>
    <w:rsid w:val="00B713D8"/>
    <w:rsid w:val="00B93052"/>
    <w:rsid w:val="00B955A1"/>
    <w:rsid w:val="00BA3BF6"/>
    <w:rsid w:val="00BE076E"/>
    <w:rsid w:val="00BF0DBD"/>
    <w:rsid w:val="00BF6CF1"/>
    <w:rsid w:val="00C03485"/>
    <w:rsid w:val="00C1424D"/>
    <w:rsid w:val="00C1693F"/>
    <w:rsid w:val="00C20AC1"/>
    <w:rsid w:val="00C328B0"/>
    <w:rsid w:val="00C36268"/>
    <w:rsid w:val="00C47846"/>
    <w:rsid w:val="00C50C30"/>
    <w:rsid w:val="00C51A1B"/>
    <w:rsid w:val="00C57E7B"/>
    <w:rsid w:val="00C764B9"/>
    <w:rsid w:val="00C777F9"/>
    <w:rsid w:val="00CB1887"/>
    <w:rsid w:val="00CC3ACB"/>
    <w:rsid w:val="00CE41A3"/>
    <w:rsid w:val="00CF743D"/>
    <w:rsid w:val="00D725CE"/>
    <w:rsid w:val="00D81427"/>
    <w:rsid w:val="00DB27E9"/>
    <w:rsid w:val="00DB4340"/>
    <w:rsid w:val="00DE22E4"/>
    <w:rsid w:val="00E466C2"/>
    <w:rsid w:val="00E556A2"/>
    <w:rsid w:val="00E7203D"/>
    <w:rsid w:val="00E7305B"/>
    <w:rsid w:val="00EC395B"/>
    <w:rsid w:val="00EE3748"/>
    <w:rsid w:val="00F0511B"/>
    <w:rsid w:val="00F06518"/>
    <w:rsid w:val="00F065EE"/>
    <w:rsid w:val="00F1733D"/>
    <w:rsid w:val="00F35BD3"/>
    <w:rsid w:val="00F46C0D"/>
    <w:rsid w:val="00F65B9A"/>
    <w:rsid w:val="00F8599A"/>
    <w:rsid w:val="00F870C3"/>
    <w:rsid w:val="00F9526F"/>
    <w:rsid w:val="00FD1B16"/>
    <w:rsid w:val="00FD5061"/>
    <w:rsid w:val="00FD5924"/>
    <w:rsid w:val="00FE3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83BD3A"/>
  <w15:docId w15:val="{5ADF80A7-8173-7A4C-9E0D-3F180A053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1B16"/>
    <w:pPr>
      <w:spacing w:after="160" w:line="259" w:lineRule="auto"/>
    </w:pPr>
    <w:rPr>
      <w:kern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1B16"/>
    <w:pPr>
      <w:widowControl w:val="0"/>
      <w:pBdr>
        <w:bottom w:val="single" w:sz="6" w:space="1" w:color="auto"/>
      </w:pBdr>
      <w:tabs>
        <w:tab w:val="center" w:pos="4153"/>
        <w:tab w:val="right" w:pos="8306"/>
      </w:tabs>
      <w:snapToGrid w:val="0"/>
      <w:spacing w:after="0" w:line="240" w:lineRule="auto"/>
      <w:jc w:val="center"/>
    </w:pPr>
    <w:rPr>
      <w:kern w:val="2"/>
      <w:sz w:val="18"/>
      <w:szCs w:val="18"/>
    </w:rPr>
  </w:style>
  <w:style w:type="character" w:customStyle="1" w:styleId="HeaderChar">
    <w:name w:val="Header Char"/>
    <w:basedOn w:val="DefaultParagraphFont"/>
    <w:link w:val="Header"/>
    <w:uiPriority w:val="99"/>
    <w:rsid w:val="00FD1B16"/>
    <w:rPr>
      <w:sz w:val="18"/>
      <w:szCs w:val="18"/>
    </w:rPr>
  </w:style>
  <w:style w:type="paragraph" w:styleId="Footer">
    <w:name w:val="footer"/>
    <w:basedOn w:val="Normal"/>
    <w:link w:val="FooterChar"/>
    <w:uiPriority w:val="99"/>
    <w:unhideWhenUsed/>
    <w:rsid w:val="00FD1B16"/>
    <w:pPr>
      <w:widowControl w:val="0"/>
      <w:tabs>
        <w:tab w:val="center" w:pos="4153"/>
        <w:tab w:val="right" w:pos="8306"/>
      </w:tabs>
      <w:snapToGrid w:val="0"/>
      <w:spacing w:after="0" w:line="240" w:lineRule="auto"/>
    </w:pPr>
    <w:rPr>
      <w:kern w:val="2"/>
      <w:sz w:val="18"/>
      <w:szCs w:val="18"/>
    </w:rPr>
  </w:style>
  <w:style w:type="character" w:customStyle="1" w:styleId="FooterChar">
    <w:name w:val="Footer Char"/>
    <w:basedOn w:val="DefaultParagraphFont"/>
    <w:link w:val="Footer"/>
    <w:uiPriority w:val="99"/>
    <w:rsid w:val="00FD1B16"/>
    <w:rPr>
      <w:sz w:val="18"/>
      <w:szCs w:val="18"/>
    </w:rPr>
  </w:style>
  <w:style w:type="table" w:styleId="TableGrid">
    <w:name w:val="Table Grid"/>
    <w:basedOn w:val="TableNormal"/>
    <w:uiPriority w:val="59"/>
    <w:rsid w:val="00FD1B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D25ED"/>
    <w:rPr>
      <w:sz w:val="16"/>
      <w:szCs w:val="16"/>
    </w:rPr>
  </w:style>
  <w:style w:type="paragraph" w:styleId="CommentText">
    <w:name w:val="annotation text"/>
    <w:basedOn w:val="Normal"/>
    <w:link w:val="CommentTextChar"/>
    <w:uiPriority w:val="99"/>
    <w:unhideWhenUsed/>
    <w:rsid w:val="005D25ED"/>
    <w:pPr>
      <w:spacing w:line="240" w:lineRule="auto"/>
    </w:pPr>
    <w:rPr>
      <w:sz w:val="20"/>
      <w:szCs w:val="20"/>
    </w:rPr>
  </w:style>
  <w:style w:type="character" w:customStyle="1" w:styleId="CommentTextChar">
    <w:name w:val="Comment Text Char"/>
    <w:basedOn w:val="DefaultParagraphFont"/>
    <w:link w:val="CommentText"/>
    <w:uiPriority w:val="99"/>
    <w:rsid w:val="005D25ED"/>
    <w:rPr>
      <w:kern w:val="0"/>
      <w:sz w:val="20"/>
      <w:szCs w:val="20"/>
    </w:rPr>
  </w:style>
  <w:style w:type="paragraph" w:styleId="CommentSubject">
    <w:name w:val="annotation subject"/>
    <w:basedOn w:val="CommentText"/>
    <w:next w:val="CommentText"/>
    <w:link w:val="CommentSubjectChar"/>
    <w:uiPriority w:val="99"/>
    <w:semiHidden/>
    <w:unhideWhenUsed/>
    <w:rsid w:val="005D25ED"/>
    <w:rPr>
      <w:b/>
      <w:bCs/>
    </w:rPr>
  </w:style>
  <w:style w:type="character" w:customStyle="1" w:styleId="CommentSubjectChar">
    <w:name w:val="Comment Subject Char"/>
    <w:basedOn w:val="CommentTextChar"/>
    <w:link w:val="CommentSubject"/>
    <w:uiPriority w:val="99"/>
    <w:semiHidden/>
    <w:rsid w:val="005D25ED"/>
    <w:rPr>
      <w:b/>
      <w:bCs/>
      <w:kern w:val="0"/>
      <w:sz w:val="20"/>
      <w:szCs w:val="20"/>
    </w:rPr>
  </w:style>
  <w:style w:type="paragraph" w:styleId="BalloonText">
    <w:name w:val="Balloon Text"/>
    <w:basedOn w:val="Normal"/>
    <w:link w:val="BalloonTextChar"/>
    <w:uiPriority w:val="99"/>
    <w:semiHidden/>
    <w:unhideWhenUsed/>
    <w:rsid w:val="005D25E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D25ED"/>
    <w:rPr>
      <w:rFonts w:ascii="Times New Roman" w:hAnsi="Times New Roman" w:cs="Times New Roman"/>
      <w:kern w:val="0"/>
      <w:sz w:val="18"/>
      <w:szCs w:val="18"/>
    </w:rPr>
  </w:style>
  <w:style w:type="paragraph" w:styleId="ListParagraph">
    <w:name w:val="List Paragraph"/>
    <w:basedOn w:val="Normal"/>
    <w:uiPriority w:val="34"/>
    <w:qFormat/>
    <w:rsid w:val="00CC3ACB"/>
    <w:pPr>
      <w:ind w:firstLineChars="200" w:firstLine="420"/>
    </w:pPr>
  </w:style>
  <w:style w:type="character" w:styleId="Hyperlink">
    <w:name w:val="Hyperlink"/>
    <w:basedOn w:val="DefaultParagraphFont"/>
    <w:uiPriority w:val="99"/>
    <w:unhideWhenUsed/>
    <w:rsid w:val="002D66F7"/>
    <w:rPr>
      <w:color w:val="0000FF" w:themeColor="hyperlink"/>
      <w:u w:val="single"/>
    </w:rPr>
  </w:style>
  <w:style w:type="paragraph" w:styleId="Revision">
    <w:name w:val="Revision"/>
    <w:hidden/>
    <w:uiPriority w:val="99"/>
    <w:semiHidden/>
    <w:rsid w:val="00DE22E4"/>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710690">
      <w:bodyDiv w:val="1"/>
      <w:marLeft w:val="0"/>
      <w:marRight w:val="0"/>
      <w:marTop w:val="0"/>
      <w:marBottom w:val="0"/>
      <w:divBdr>
        <w:top w:val="none" w:sz="0" w:space="0" w:color="auto"/>
        <w:left w:val="none" w:sz="0" w:space="0" w:color="auto"/>
        <w:bottom w:val="none" w:sz="0" w:space="0" w:color="auto"/>
        <w:right w:val="none" w:sz="0" w:space="0" w:color="auto"/>
      </w:divBdr>
    </w:div>
    <w:div w:id="302463425">
      <w:bodyDiv w:val="1"/>
      <w:marLeft w:val="0"/>
      <w:marRight w:val="0"/>
      <w:marTop w:val="0"/>
      <w:marBottom w:val="0"/>
      <w:divBdr>
        <w:top w:val="none" w:sz="0" w:space="0" w:color="auto"/>
        <w:left w:val="none" w:sz="0" w:space="0" w:color="auto"/>
        <w:bottom w:val="none" w:sz="0" w:space="0" w:color="auto"/>
        <w:right w:val="none" w:sz="0" w:space="0" w:color="auto"/>
      </w:divBdr>
      <w:divsChild>
        <w:div w:id="404839237">
          <w:marLeft w:val="0"/>
          <w:marRight w:val="0"/>
          <w:marTop w:val="0"/>
          <w:marBottom w:val="0"/>
          <w:divBdr>
            <w:top w:val="none" w:sz="0" w:space="0" w:color="auto"/>
            <w:left w:val="none" w:sz="0" w:space="0" w:color="auto"/>
            <w:bottom w:val="none" w:sz="0" w:space="0" w:color="auto"/>
            <w:right w:val="none" w:sz="0" w:space="0" w:color="auto"/>
          </w:divBdr>
        </w:div>
      </w:divsChild>
    </w:div>
    <w:div w:id="1217743987">
      <w:bodyDiv w:val="1"/>
      <w:marLeft w:val="0"/>
      <w:marRight w:val="0"/>
      <w:marTop w:val="0"/>
      <w:marBottom w:val="0"/>
      <w:divBdr>
        <w:top w:val="none" w:sz="0" w:space="0" w:color="auto"/>
        <w:left w:val="none" w:sz="0" w:space="0" w:color="auto"/>
        <w:bottom w:val="none" w:sz="0" w:space="0" w:color="auto"/>
        <w:right w:val="none" w:sz="0" w:space="0" w:color="auto"/>
      </w:divBdr>
    </w:div>
    <w:div w:id="1471094120">
      <w:bodyDiv w:val="1"/>
      <w:marLeft w:val="0"/>
      <w:marRight w:val="0"/>
      <w:marTop w:val="0"/>
      <w:marBottom w:val="0"/>
      <w:divBdr>
        <w:top w:val="none" w:sz="0" w:space="0" w:color="auto"/>
        <w:left w:val="none" w:sz="0" w:space="0" w:color="auto"/>
        <w:bottom w:val="none" w:sz="0" w:space="0" w:color="auto"/>
        <w:right w:val="none" w:sz="0" w:space="0" w:color="auto"/>
      </w:divBdr>
      <w:divsChild>
        <w:div w:id="55904986">
          <w:marLeft w:val="0"/>
          <w:marRight w:val="0"/>
          <w:marTop w:val="0"/>
          <w:marBottom w:val="0"/>
          <w:divBdr>
            <w:top w:val="none" w:sz="0" w:space="0" w:color="auto"/>
            <w:left w:val="none" w:sz="0" w:space="0" w:color="auto"/>
            <w:bottom w:val="none" w:sz="0" w:space="0" w:color="auto"/>
            <w:right w:val="none" w:sz="0" w:space="0" w:color="auto"/>
          </w:divBdr>
        </w:div>
      </w:divsChild>
    </w:div>
    <w:div w:id="1572732969">
      <w:bodyDiv w:val="1"/>
      <w:marLeft w:val="0"/>
      <w:marRight w:val="0"/>
      <w:marTop w:val="0"/>
      <w:marBottom w:val="0"/>
      <w:divBdr>
        <w:top w:val="none" w:sz="0" w:space="0" w:color="auto"/>
        <w:left w:val="none" w:sz="0" w:space="0" w:color="auto"/>
        <w:bottom w:val="none" w:sz="0" w:space="0" w:color="auto"/>
        <w:right w:val="none" w:sz="0" w:space="0" w:color="auto"/>
      </w:divBdr>
    </w:div>
    <w:div w:id="1582258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C1490-229B-4905-AD86-8C9DF4DD0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1349</Words>
  <Characters>7693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朱涛</dc:creator>
  <cp:keywords/>
  <dc:description/>
  <cp:lastModifiedBy>Anthony Brown</cp:lastModifiedBy>
  <cp:revision>2</cp:revision>
  <dcterms:created xsi:type="dcterms:W3CDTF">2023-11-30T21:51:00Z</dcterms:created>
  <dcterms:modified xsi:type="dcterms:W3CDTF">2023-11-30T21:51:00Z</dcterms:modified>
</cp:coreProperties>
</file>