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OLE_LINK57"/>
      <w:r>
        <w:rPr>
          <w:rFonts w:ascii="Times New Roman" w:hAnsi="Times New Roman" w:cs="Times New Roman"/>
          <w:b/>
          <w:bCs/>
          <w:sz w:val="24"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S1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127250" cy="7180580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b="11414"/>
                  </pic:blipFill>
                  <pic:spPr>
                    <a:xfrm>
                      <a:off x="0" y="0"/>
                      <a:ext cx="2127250" cy="718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Figure S1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Univariate Cox regression analysis and HR forest plot for </w:t>
      </w:r>
      <w:r>
        <w:rPr>
          <w:rFonts w:hint="eastAsia" w:ascii="Times New Roman" w:hAnsi="Times New Roman" w:cs="Times New Roman"/>
          <w:sz w:val="24"/>
          <w:lang w:val="en-US" w:eastAsia="zh-CN"/>
        </w:rPr>
        <w:t>patients with HCC and</w:t>
      </w:r>
      <w:r>
        <w:rPr>
          <w:rFonts w:ascii="Times New Roman" w:hAnsi="Times New Roman" w:cs="Times New Roman"/>
          <w:sz w:val="24"/>
        </w:rPr>
        <w:t xml:space="preserve"> HRRFs who underwent radical resection after PSM to improve the RFS. 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RFS, recurrence-free survival;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HCC, hepatocellular carcinoma; HRRFs, high-risk recurrent factors; PSM, propensity score matching; HR, hazard ratio; HBsAg, hepatitis B surface antigen; HBV-DNA, hepatitis B virus-deoxyribonucleic acid; PLT, platelet; PT, prothrombin time; ALT, alanine aminotransferase; AST, aspartate aminotransferase; ALB, serum albumin; TBIL, total serum bilirubin; AFP, alpha-fetoprotein.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1" w:name="OLE_LINK1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</w:t>
      </w:r>
      <w:bookmarkEnd w:id="1"/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35575" cy="5086350"/>
            <wp:effectExtent l="0" t="0" r="3175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</pic:blipFill>
                  <pic:spPr>
                    <a:xfrm>
                      <a:off x="0" y="0"/>
                      <a:ext cx="52355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S2</w:t>
      </w:r>
      <w:r>
        <w:rPr>
          <w:rFonts w:ascii="Times New Roman" w:hAnsi="Times New Roman" w:cs="Times New Roman"/>
          <w:sz w:val="24"/>
        </w:rPr>
        <w:t xml:space="preserve"> Multivariate Cox regression analysis and HR forest plot for </w:t>
      </w:r>
      <w:r>
        <w:rPr>
          <w:rFonts w:hint="eastAsia" w:ascii="Times New Roman" w:hAnsi="Times New Roman" w:cs="Times New Roman"/>
          <w:sz w:val="24"/>
          <w:lang w:val="en-US" w:eastAsia="zh-CN"/>
        </w:rPr>
        <w:t>patients with HCC and</w:t>
      </w:r>
      <w:r>
        <w:rPr>
          <w:rFonts w:ascii="Times New Roman" w:hAnsi="Times New Roman" w:cs="Times New Roman"/>
          <w:sz w:val="24"/>
        </w:rPr>
        <w:t xml:space="preserve"> HRRFs who underwent radical resection after PSM to improve the RFS. 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RFS, recurrence-free survival;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HCC, hepatocellular carcinoma; HRRFs, high-risk recurrent factors; PSM, propensity score matching; HR, hazard ratio; AST, aspartate aminotransaminase.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S3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2435225" cy="7800340"/>
            <wp:effectExtent l="0" t="0" r="0" b="0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r="-2158" b="11943"/>
                  </pic:blipFill>
                  <pic:spPr>
                    <a:xfrm>
                      <a:off x="0" y="0"/>
                      <a:ext cx="2435225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S3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Univariate Cox regression and HR forest plot for </w:t>
      </w:r>
      <w:r>
        <w:rPr>
          <w:rFonts w:hint="eastAsia" w:ascii="Times New Roman" w:hAnsi="Times New Roman" w:cs="Times New Roman"/>
          <w:sz w:val="24"/>
          <w:lang w:val="en-US" w:eastAsia="zh-CN"/>
        </w:rPr>
        <w:t>patients with HCC and</w:t>
      </w:r>
      <w:r>
        <w:rPr>
          <w:rFonts w:ascii="Times New Roman" w:hAnsi="Times New Roman" w:cs="Times New Roman"/>
          <w:sz w:val="24"/>
        </w:rPr>
        <w:t xml:space="preserve"> HRRFs who underwent radical resection after PSM to improve the OS. </w:t>
      </w:r>
      <w:bookmarkStart w:id="2" w:name="OLE_LINK33"/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OS, overall survival</w:t>
      </w:r>
      <w:bookmarkEnd w:id="2"/>
      <w:r>
        <w:rPr>
          <w:rFonts w:ascii="Times New Roman" w:hAnsi="Times New Roman" w:cs="Times New Roman"/>
          <w:sz w:val="24"/>
        </w:rPr>
        <w:t>; HCC, hepatocellular carcinoma; HRRFs, high-risk recurrent factors; PSM, propensity score matching; HR, hazard ratio; HBsAg, hepatitis B surface antigen; HBV-DNA, hepatitis B virus-deoxyribonucleic acid; PLT, platelet; PT, prothrombin time; ALT, alanine aminotransferase; AST, aspartate aminotransferase; ALB, serum albumin; TBIL, total serum bilirubin; AFP, alpha-fetoprotein.</w:t>
      </w: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S4 </w:t>
      </w:r>
    </w:p>
    <w:p>
      <w:pPr>
        <w:spacing w:line="480" w:lineRule="auto"/>
        <w:jc w:val="left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35575" cy="2393315"/>
            <wp:effectExtent l="0" t="0" r="3175" b="698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523557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S4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Multivariate Cox regression analysis and HR forest plot for </w:t>
      </w:r>
      <w:r>
        <w:rPr>
          <w:rFonts w:hint="eastAsia" w:ascii="Times New Roman" w:hAnsi="Times New Roman" w:cs="Times New Roman"/>
          <w:sz w:val="24"/>
          <w:lang w:val="en-US" w:eastAsia="zh-CN"/>
        </w:rPr>
        <w:t>patients with HCC and</w:t>
      </w:r>
      <w:bookmarkStart w:id="4" w:name="_GoBack"/>
      <w:bookmarkEnd w:id="4"/>
      <w:r>
        <w:rPr>
          <w:rFonts w:ascii="Times New Roman" w:hAnsi="Times New Roman" w:cs="Times New Roman"/>
          <w:sz w:val="24"/>
        </w:rPr>
        <w:t xml:space="preserve"> HRRFs who underwent radical resection after PSM to improve the OS. </w:t>
      </w:r>
    </w:p>
    <w:p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</w:rPr>
        <w:t>OS, overall survival;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HCC, hepatocellular carcinoma</w:t>
      </w:r>
      <w:bookmarkStart w:id="3" w:name="OLE_LINK34"/>
      <w:r>
        <w:rPr>
          <w:rFonts w:ascii="Times New Roman" w:hAnsi="Times New Roman" w:cs="Times New Roman"/>
          <w:sz w:val="24"/>
        </w:rPr>
        <w:t>;</w:t>
      </w:r>
      <w:bookmarkEnd w:id="3"/>
      <w:r>
        <w:rPr>
          <w:rFonts w:ascii="Times New Roman" w:hAnsi="Times New Roman" w:cs="Times New Roman"/>
          <w:sz w:val="24"/>
        </w:rPr>
        <w:t xml:space="preserve"> HRRFs, high-risk recurrent factors; PSM, propensity score matching; HR, hazard ratio.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YWZiMjg0NWZhYTMwMWJjYmE2Y2QzMTQ3ZTliYzQifQ=="/>
  </w:docVars>
  <w:rsids>
    <w:rsidRoot w:val="00000000"/>
    <w:rsid w:val="096B7761"/>
    <w:rsid w:val="25ED466B"/>
    <w:rsid w:val="35757B2E"/>
    <w:rsid w:val="45FF31B3"/>
    <w:rsid w:val="46827836"/>
    <w:rsid w:val="5C167810"/>
    <w:rsid w:val="62413323"/>
    <w:rsid w:val="71D1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rPr>
      <w:sz w:val="20"/>
      <w:szCs w:val="20"/>
    </w:rPr>
  </w:style>
  <w:style w:type="character" w:styleId="5">
    <w:name w:val="annotation reference"/>
    <w:basedOn w:val="4"/>
    <w:semiHidden/>
    <w:unhideWhenUsed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2023-11-25T02:57:00Z</dcterms:created>
  <dc:creator>hz</dc:creator>
  <cp:lastModifiedBy>Memory</cp:lastModifiedBy>
  <dcterms:modified xsi:type="dcterms:W3CDTF">2023-12-08T13:26:10Z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FAB66450AC814818A763B72808008ACF_13</vt:lpwstr>
  </property>
</Properties>
</file>