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C49C4" w:rsidRDefault="001C49C4" w:rsidP="001C49C4">
      <w:pPr>
        <w:spacing w:after="160" w:line="259"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Supplementary Information</w:t>
      </w:r>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b/>
          <w:sz w:val="24"/>
          <w:szCs w:val="24"/>
        </w:rPr>
        <w:t xml:space="preserve">Supplementary Methods: Literature Search </w:t>
      </w:r>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sz w:val="24"/>
          <w:szCs w:val="24"/>
        </w:rPr>
        <w:t>The following keyword searches were performed in October-November 2018. For Web of Science, the syntax was</w:t>
      </w:r>
      <w:r>
        <w:rPr>
          <w:rFonts w:ascii="Times New Roman" w:eastAsia="Times New Roman" w:hAnsi="Times New Roman" w:cs="Times New Roman"/>
          <w:i/>
          <w:sz w:val="24"/>
          <w:szCs w:val="24"/>
        </w:rPr>
        <w:t xml:space="preserve"> (TS</w:t>
      </w:r>
      <w:proofErr w:type="gramStart"/>
      <w:r>
        <w:rPr>
          <w:rFonts w:ascii="Times New Roman" w:eastAsia="Times New Roman" w:hAnsi="Times New Roman" w:cs="Times New Roman"/>
          <w:i/>
          <w:sz w:val="24"/>
          <w:szCs w:val="24"/>
        </w:rPr>
        <w:t>=(</w:t>
      </w:r>
      <w:proofErr w:type="gramEnd"/>
      <w:r>
        <w:rPr>
          <w:rFonts w:ascii="Times New Roman" w:eastAsia="Times New Roman" w:hAnsi="Times New Roman" w:cs="Times New Roman"/>
          <w:i/>
          <w:sz w:val="24"/>
          <w:szCs w:val="24"/>
        </w:rPr>
        <w:t>(</w:t>
      </w:r>
      <w:proofErr w:type="spellStart"/>
      <w:r>
        <w:rPr>
          <w:rFonts w:ascii="Times New Roman" w:eastAsia="Times New Roman" w:hAnsi="Times New Roman" w:cs="Times New Roman"/>
          <w:i/>
          <w:sz w:val="24"/>
          <w:szCs w:val="24"/>
        </w:rPr>
        <w:t>microb</w:t>
      </w:r>
      <w:proofErr w:type="spellEnd"/>
      <w:r>
        <w:rPr>
          <w:rFonts w:ascii="Times New Roman" w:eastAsia="Times New Roman" w:hAnsi="Times New Roman" w:cs="Times New Roman"/>
          <w:i/>
          <w:sz w:val="24"/>
          <w:szCs w:val="24"/>
        </w:rPr>
        <w:t xml:space="preserve">* OR </w:t>
      </w:r>
      <w:proofErr w:type="spellStart"/>
      <w:r>
        <w:rPr>
          <w:rFonts w:ascii="Times New Roman" w:eastAsia="Times New Roman" w:hAnsi="Times New Roman" w:cs="Times New Roman"/>
          <w:i/>
          <w:sz w:val="24"/>
          <w:szCs w:val="24"/>
        </w:rPr>
        <w:t>bacteri</w:t>
      </w:r>
      <w:proofErr w:type="spellEnd"/>
      <w:r>
        <w:rPr>
          <w:rFonts w:ascii="Times New Roman" w:eastAsia="Times New Roman" w:hAnsi="Times New Roman" w:cs="Times New Roman"/>
          <w:i/>
          <w:sz w:val="24"/>
          <w:szCs w:val="24"/>
        </w:rPr>
        <w:t xml:space="preserve">*) AND (temporal OR succession OR time OR dynamics) AND V4 AND </w:t>
      </w:r>
      <w:proofErr w:type="spellStart"/>
      <w:r>
        <w:rPr>
          <w:rFonts w:ascii="Times New Roman" w:eastAsia="Times New Roman" w:hAnsi="Times New Roman" w:cs="Times New Roman"/>
          <w:i/>
          <w:sz w:val="24"/>
          <w:szCs w:val="24"/>
        </w:rPr>
        <w:t>miseq</w:t>
      </w:r>
      <w:proofErr w:type="spellEnd"/>
      <w:r>
        <w:rPr>
          <w:rFonts w:ascii="Times New Roman" w:eastAsia="Times New Roman" w:hAnsi="Times New Roman" w:cs="Times New Roman"/>
          <w:i/>
          <w:sz w:val="24"/>
          <w:szCs w:val="24"/>
        </w:rPr>
        <w:t xml:space="preserve">)) AND LANGUAGE:(English) AND DOCUMENT TYPES:(Article); Timespan: Last 5 years. Indexes: SCI-EXPANDED, SSCI, A&amp;HCI, CPCI-S, CPCI-SSH, BKCI-S, BKCI-SSH, ESCI, CCR-EXPANDED, IC. </w:t>
      </w:r>
      <w:r>
        <w:rPr>
          <w:rFonts w:ascii="Times New Roman" w:eastAsia="Times New Roman" w:hAnsi="Times New Roman" w:cs="Times New Roman"/>
          <w:sz w:val="24"/>
          <w:szCs w:val="24"/>
        </w:rPr>
        <w:t>For Google Scholar, the search syntax was</w:t>
      </w:r>
      <w:r>
        <w:rPr>
          <w:rFonts w:ascii="Times New Roman" w:eastAsia="Times New Roman" w:hAnsi="Times New Roman" w:cs="Times New Roman"/>
          <w:i/>
          <w:sz w:val="24"/>
          <w:szCs w:val="24"/>
        </w:rPr>
        <w:t xml:space="preserve"> "V4", </w:t>
      </w:r>
      <w:proofErr w:type="spellStart"/>
      <w:r>
        <w:rPr>
          <w:rFonts w:ascii="Times New Roman" w:eastAsia="Times New Roman" w:hAnsi="Times New Roman" w:cs="Times New Roman"/>
          <w:i/>
          <w:sz w:val="24"/>
          <w:szCs w:val="24"/>
        </w:rPr>
        <w:t>Miseq</w:t>
      </w:r>
      <w:proofErr w:type="spellEnd"/>
      <w:r>
        <w:rPr>
          <w:rFonts w:ascii="Times New Roman" w:eastAsia="Times New Roman" w:hAnsi="Times New Roman" w:cs="Times New Roman"/>
          <w:i/>
          <w:sz w:val="24"/>
          <w:szCs w:val="24"/>
        </w:rPr>
        <w:t>, accession, temporal, OR time, OR succession, OR disturbance, OR stress, OR dynamics -v3</w:t>
      </w:r>
      <w:r>
        <w:rPr>
          <w:rFonts w:ascii="Times New Roman" w:eastAsia="Times New Roman" w:hAnsi="Times New Roman" w:cs="Times New Roman"/>
          <w:sz w:val="24"/>
          <w:szCs w:val="24"/>
        </w:rPr>
        <w:t xml:space="preserve">. Results were filtered to include only publications since 2015. Search results were initially checked for temporal sampling intervals, the region of the 16S rRNA gene sequenced and the availability of raw sequence data prior to further inspection. </w:t>
      </w:r>
    </w:p>
    <w:p w:rsidR="001C49C4" w:rsidRDefault="006D1F5B" w:rsidP="001C49C4">
      <w:pPr>
        <w:rPr>
          <w:rFonts w:ascii="Times New Roman" w:eastAsia="Times New Roman" w:hAnsi="Times New Roman" w:cs="Times New Roman"/>
          <w:sz w:val="24"/>
          <w:szCs w:val="24"/>
        </w:rPr>
      </w:pPr>
      <w:hyperlink r:id="rId5">
        <w:r w:rsidR="001C49C4">
          <w:rPr>
            <w:rFonts w:ascii="Times New Roman" w:eastAsia="Times New Roman" w:hAnsi="Times New Roman" w:cs="Times New Roman"/>
            <w:color w:val="1155CC"/>
            <w:sz w:val="24"/>
            <w:szCs w:val="24"/>
            <w:u w:val="single"/>
          </w:rPr>
          <w:t>T</w:t>
        </w:r>
      </w:hyperlink>
      <w:hyperlink r:id="rId6">
        <w:r w:rsidR="001C49C4">
          <w:rPr>
            <w:rFonts w:ascii="Times New Roman" w:eastAsia="Times New Roman" w:hAnsi="Times New Roman" w:cs="Times New Roman"/>
            <w:color w:val="1155CC"/>
            <w:sz w:val="24"/>
            <w:szCs w:val="24"/>
            <w:u w:val="single"/>
          </w:rPr>
          <w:t xml:space="preserve">able 1 is presented separately as an excel file. </w:t>
        </w:r>
      </w:hyperlink>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Table S2. Slope estimates for models comparing immediate changes in dispersion following disturbance, calculated on Bray-Curtis values and null model outputs. </w:t>
      </w:r>
    </w:p>
    <w:tbl>
      <w:tblPr>
        <w:tblW w:w="8925" w:type="dxa"/>
        <w:tblInd w:w="1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890"/>
        <w:gridCol w:w="2385"/>
        <w:gridCol w:w="1770"/>
        <w:gridCol w:w="1140"/>
        <w:gridCol w:w="1740"/>
      </w:tblGrid>
      <w:tr w:rsidR="001C49C4" w:rsidTr="00D07DB9">
        <w:trPr>
          <w:trHeight w:val="530"/>
        </w:trPr>
        <w:tc>
          <w:tcPr>
            <w:tcW w:w="189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 xml:space="preserve"> </w:t>
            </w:r>
          </w:p>
        </w:tc>
        <w:tc>
          <w:tcPr>
            <w:tcW w:w="23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rPr>
                <w:rFonts w:ascii="Times New Roman" w:eastAsia="Times New Roman" w:hAnsi="Times New Roman" w:cs="Times New Roman"/>
                <w:b/>
                <w:sz w:val="24"/>
                <w:szCs w:val="24"/>
              </w:rPr>
            </w:pPr>
            <w:r>
              <w:rPr>
                <w:rFonts w:ascii="Times New Roman" w:eastAsia="Times New Roman" w:hAnsi="Times New Roman" w:cs="Times New Roman"/>
                <w:b/>
                <w:sz w:val="24"/>
                <w:szCs w:val="24"/>
              </w:rPr>
              <w:t>Slope</w:t>
            </w:r>
          </w:p>
        </w:tc>
        <w:tc>
          <w:tcPr>
            <w:tcW w:w="17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Estimate</w:t>
            </w:r>
          </w:p>
        </w:tc>
        <w:tc>
          <w:tcPr>
            <w:tcW w:w="1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Q2.5</w:t>
            </w: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b/>
                <w:sz w:val="24"/>
                <w:szCs w:val="24"/>
              </w:rPr>
            </w:pPr>
            <w:r>
              <w:rPr>
                <w:rFonts w:ascii="Times New Roman" w:eastAsia="Times New Roman" w:hAnsi="Times New Roman" w:cs="Times New Roman"/>
                <w:b/>
                <w:sz w:val="24"/>
                <w:szCs w:val="24"/>
              </w:rPr>
              <w:t>Q97.5</w:t>
            </w:r>
          </w:p>
        </w:tc>
      </w:tr>
      <w:tr w:rsidR="001C49C4" w:rsidTr="00D07DB9">
        <w:trPr>
          <w:trHeight w:val="530"/>
        </w:trPr>
        <w:tc>
          <w:tcPr>
            <w:tcW w:w="189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Bray- </w:t>
            </w:r>
            <w:proofErr w:type="spellStart"/>
            <w:r>
              <w:rPr>
                <w:rFonts w:ascii="Times New Roman" w:eastAsia="Times New Roman" w:hAnsi="Times New Roman" w:cs="Times New Roman"/>
                <w:sz w:val="24"/>
                <w:szCs w:val="24"/>
              </w:rPr>
              <w:t>curtis</w:t>
            </w:r>
            <w:proofErr w:type="spellEnd"/>
            <w:r>
              <w:rPr>
                <w:rFonts w:ascii="Times New Roman" w:eastAsia="Times New Roman" w:hAnsi="Times New Roman" w:cs="Times New Roman"/>
                <w:sz w:val="24"/>
                <w:szCs w:val="24"/>
              </w:rPr>
              <w:t xml:space="preserve"> values</w:t>
            </w:r>
          </w:p>
        </w:tc>
        <w:tc>
          <w:tcPr>
            <w:tcW w:w="23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Aquatic</w:t>
            </w:r>
          </w:p>
        </w:tc>
        <w:tc>
          <w:tcPr>
            <w:tcW w:w="17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0.638</w:t>
            </w:r>
          </w:p>
        </w:tc>
        <w:tc>
          <w:tcPr>
            <w:tcW w:w="1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-0.978</w:t>
            </w: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2.242</w:t>
            </w:r>
          </w:p>
        </w:tc>
      </w:tr>
      <w:tr w:rsidR="001C49C4" w:rsidTr="00D07DB9">
        <w:trPr>
          <w:trHeight w:val="530"/>
        </w:trPr>
        <w:tc>
          <w:tcPr>
            <w:tcW w:w="1890" w:type="dxa"/>
            <w:vMerge/>
            <w:tcBorders>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p>
        </w:tc>
        <w:tc>
          <w:tcPr>
            <w:tcW w:w="23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Mammalian</w:t>
            </w:r>
          </w:p>
        </w:tc>
        <w:tc>
          <w:tcPr>
            <w:tcW w:w="17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0.783</w:t>
            </w:r>
          </w:p>
        </w:tc>
        <w:tc>
          <w:tcPr>
            <w:tcW w:w="1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-2.709</w:t>
            </w: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4.246</w:t>
            </w:r>
          </w:p>
        </w:tc>
      </w:tr>
      <w:tr w:rsidR="001C49C4" w:rsidTr="00D07DB9">
        <w:trPr>
          <w:trHeight w:val="530"/>
        </w:trPr>
        <w:tc>
          <w:tcPr>
            <w:tcW w:w="1890" w:type="dxa"/>
            <w:vMerge/>
            <w:tcBorders>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p>
        </w:tc>
        <w:tc>
          <w:tcPr>
            <w:tcW w:w="23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Soil</w:t>
            </w:r>
          </w:p>
        </w:tc>
        <w:tc>
          <w:tcPr>
            <w:tcW w:w="17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0.772</w:t>
            </w:r>
          </w:p>
        </w:tc>
        <w:tc>
          <w:tcPr>
            <w:tcW w:w="1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-2.519</w:t>
            </w: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4.081</w:t>
            </w:r>
          </w:p>
        </w:tc>
      </w:tr>
      <w:tr w:rsidR="001C49C4" w:rsidTr="00D07DB9">
        <w:trPr>
          <w:trHeight w:val="530"/>
        </w:trPr>
        <w:tc>
          <w:tcPr>
            <w:tcW w:w="1890" w:type="dxa"/>
            <w:vMerge w:val="restart"/>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null model outputs</w:t>
            </w:r>
          </w:p>
        </w:tc>
        <w:tc>
          <w:tcPr>
            <w:tcW w:w="23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Aquatic</w:t>
            </w:r>
          </w:p>
        </w:tc>
        <w:tc>
          <w:tcPr>
            <w:tcW w:w="17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0.141</w:t>
            </w:r>
          </w:p>
        </w:tc>
        <w:tc>
          <w:tcPr>
            <w:tcW w:w="1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-0.042</w:t>
            </w: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0.319</w:t>
            </w:r>
          </w:p>
        </w:tc>
      </w:tr>
      <w:tr w:rsidR="001C49C4" w:rsidTr="00D07DB9">
        <w:trPr>
          <w:trHeight w:val="530"/>
        </w:trPr>
        <w:tc>
          <w:tcPr>
            <w:tcW w:w="1890" w:type="dxa"/>
            <w:vMerge/>
            <w:tcBorders>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p>
        </w:tc>
        <w:tc>
          <w:tcPr>
            <w:tcW w:w="23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Mammalian</w:t>
            </w:r>
          </w:p>
        </w:tc>
        <w:tc>
          <w:tcPr>
            <w:tcW w:w="17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0.027</w:t>
            </w:r>
          </w:p>
        </w:tc>
        <w:tc>
          <w:tcPr>
            <w:tcW w:w="1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-0.399</w:t>
            </w: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0.451</w:t>
            </w:r>
          </w:p>
        </w:tc>
      </w:tr>
      <w:tr w:rsidR="001C49C4" w:rsidTr="00D07DB9">
        <w:trPr>
          <w:trHeight w:val="530"/>
        </w:trPr>
        <w:tc>
          <w:tcPr>
            <w:tcW w:w="1890" w:type="dxa"/>
            <w:vMerge/>
            <w:tcBorders>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p>
        </w:tc>
        <w:tc>
          <w:tcPr>
            <w:tcW w:w="2385"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Soil</w:t>
            </w:r>
          </w:p>
        </w:tc>
        <w:tc>
          <w:tcPr>
            <w:tcW w:w="177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0.087</w:t>
            </w:r>
          </w:p>
        </w:tc>
        <w:tc>
          <w:tcPr>
            <w:tcW w:w="11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-0.322</w:t>
            </w:r>
          </w:p>
        </w:tc>
        <w:tc>
          <w:tcPr>
            <w:tcW w:w="174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rsidR="001C49C4" w:rsidRDefault="001C49C4" w:rsidP="00D07DB9">
            <w:pPr>
              <w:widowControl w:val="0"/>
              <w:pBdr>
                <w:top w:val="nil"/>
                <w:left w:val="nil"/>
                <w:bottom w:val="nil"/>
                <w:right w:val="nil"/>
                <w:between w:val="nil"/>
              </w:pBdr>
              <w:spacing w:after="0"/>
              <w:rPr>
                <w:rFonts w:ascii="Times New Roman" w:eastAsia="Times New Roman" w:hAnsi="Times New Roman" w:cs="Times New Roman"/>
                <w:sz w:val="24"/>
                <w:szCs w:val="24"/>
              </w:rPr>
            </w:pPr>
            <w:r>
              <w:rPr>
                <w:rFonts w:ascii="Times New Roman" w:eastAsia="Times New Roman" w:hAnsi="Times New Roman" w:cs="Times New Roman"/>
                <w:sz w:val="24"/>
                <w:szCs w:val="24"/>
              </w:rPr>
              <w:t>0.502</w:t>
            </w:r>
          </w:p>
        </w:tc>
      </w:tr>
    </w:tbl>
    <w:p w:rsidR="001C49C4" w:rsidRDefault="001C49C4" w:rsidP="001C49C4">
      <w:pPr>
        <w:rPr>
          <w:rFonts w:ascii="Times New Roman" w:eastAsia="Times New Roman" w:hAnsi="Times New Roman" w:cs="Times New Roman"/>
          <w:sz w:val="24"/>
          <w:szCs w:val="24"/>
        </w:rPr>
      </w:pPr>
    </w:p>
    <w:p w:rsidR="001C49C4" w:rsidRDefault="00477013" w:rsidP="001C49C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603875" cy="712533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603875" cy="7125335"/>
                    </a:xfrm>
                    <a:prstGeom prst="rect">
                      <a:avLst/>
                    </a:prstGeom>
                    <a:noFill/>
                    <a:ln>
                      <a:noFill/>
                    </a:ln>
                  </pic:spPr>
                </pic:pic>
              </a:graphicData>
            </a:graphic>
          </wp:inline>
        </w:drawing>
      </w:r>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Figure S1. Proportion of reads preserved after quality filtering (a), chimera checking (b), and selection of bacterial reads (c). All data is presented as a proportion of the number of reads originally recovered from public databases, and presented per study. </w:t>
      </w:r>
      <w:r w:rsidR="00477013">
        <w:rPr>
          <w:rFonts w:ascii="Times New Roman" w:eastAsia="Times New Roman" w:hAnsi="Times New Roman" w:cs="Times New Roman"/>
          <w:sz w:val="24"/>
          <w:szCs w:val="24"/>
        </w:rPr>
        <w:t>Studies are labeled with their corresponding DOIs, and a</w:t>
      </w:r>
      <w:r>
        <w:rPr>
          <w:rFonts w:ascii="Times New Roman" w:eastAsia="Times New Roman" w:hAnsi="Times New Roman" w:cs="Times New Roman"/>
          <w:sz w:val="24"/>
          <w:szCs w:val="24"/>
        </w:rPr>
        <w:t xml:space="preserve">dditional per-study information is found in Table S1.  </w:t>
      </w:r>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114300" distB="114300" distL="114300" distR="114300" wp14:anchorId="35611D25" wp14:editId="69A7E330">
            <wp:extent cx="5972810" cy="8255000"/>
            <wp:effectExtent l="0" t="0" r="0" b="0"/>
            <wp:docPr id="7" name="image9.jpg"/>
            <wp:cNvGraphicFramePr/>
            <a:graphic xmlns:a="http://schemas.openxmlformats.org/drawingml/2006/main">
              <a:graphicData uri="http://schemas.openxmlformats.org/drawingml/2006/picture">
                <pic:pic xmlns:pic="http://schemas.openxmlformats.org/drawingml/2006/picture">
                  <pic:nvPicPr>
                    <pic:cNvPr id="0" name="image9.jpg"/>
                    <pic:cNvPicPr preferRelativeResize="0"/>
                  </pic:nvPicPr>
                  <pic:blipFill>
                    <a:blip r:embed="rId8"/>
                    <a:srcRect/>
                    <a:stretch>
                      <a:fillRect/>
                    </a:stretch>
                  </pic:blipFill>
                  <pic:spPr>
                    <a:xfrm>
                      <a:off x="0" y="0"/>
                      <a:ext cx="5972810" cy="8255000"/>
                    </a:xfrm>
                    <a:prstGeom prst="rect">
                      <a:avLst/>
                    </a:prstGeom>
                    <a:ln/>
                  </pic:spPr>
                </pic:pic>
              </a:graphicData>
            </a:graphic>
          </wp:inline>
        </w:drawing>
      </w:r>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sz w:val="24"/>
          <w:szCs w:val="24"/>
        </w:rPr>
        <w:t>Figure S2: Models fit to data standardi</w:t>
      </w:r>
      <w:r w:rsidR="00673B35">
        <w:rPr>
          <w:rFonts w:ascii="Times New Roman" w:eastAsia="Times New Roman" w:hAnsi="Times New Roman" w:cs="Times New Roman"/>
          <w:sz w:val="24"/>
          <w:szCs w:val="24"/>
        </w:rPr>
        <w:t>z</w:t>
      </w:r>
      <w:r>
        <w:rPr>
          <w:rFonts w:ascii="Times New Roman" w:eastAsia="Times New Roman" w:hAnsi="Times New Roman" w:cs="Times New Roman"/>
          <w:sz w:val="24"/>
          <w:szCs w:val="24"/>
        </w:rPr>
        <w:t>ed across studies and to data standardi</w:t>
      </w:r>
      <w:r w:rsidR="00BE63C9">
        <w:rPr>
          <w:rFonts w:ascii="Times New Roman" w:eastAsia="Times New Roman" w:hAnsi="Times New Roman" w:cs="Times New Roman"/>
          <w:sz w:val="24"/>
          <w:szCs w:val="24"/>
        </w:rPr>
        <w:t>z</w:t>
      </w:r>
      <w:r>
        <w:rPr>
          <w:rFonts w:ascii="Times New Roman" w:eastAsia="Times New Roman" w:hAnsi="Times New Roman" w:cs="Times New Roman"/>
          <w:sz w:val="24"/>
          <w:szCs w:val="24"/>
        </w:rPr>
        <w:t xml:space="preserve">ed within studies yield very similar parameter estimates. Each panel shows the fixed effect estimates </w:t>
      </w:r>
      <w:r>
        <w:rPr>
          <w:rFonts w:ascii="Times New Roman" w:eastAsia="Times New Roman" w:hAnsi="Times New Roman" w:cs="Times New Roman"/>
          <w:sz w:val="24"/>
          <w:szCs w:val="24"/>
        </w:rPr>
        <w:lastRenderedPageBreak/>
        <w:t xml:space="preserve">for models fit to (a) richness before-after disturbance, (b) richness change through time following disturbance, (c) dispersion before-after disturbance, (d) dispersion (z-score) before-after disturbance, (e) dispersion change through time following disturbance, (f) dispersion (z-score) change through time following disturbance, (g) turnover change through time following disturbance, and (h) turnover (z-score) change through time following disturbance. Rarefaction performed within time series selected the deepest possible observation depth for each time series or 1500 reads per sample and only mildly increased coverage from 0.96±0.05 to 0.98±0.04. Importantly, sampling depth and sample richness were not correlated. </w:t>
      </w:r>
      <w:r>
        <w:br w:type="page"/>
      </w:r>
    </w:p>
    <w:p w:rsidR="001C49C4" w:rsidRDefault="001C49C4" w:rsidP="001C49C4">
      <w:pPr>
        <w:rPr>
          <w:rFonts w:ascii="Times New Roman" w:eastAsia="Times New Roman" w:hAnsi="Times New Roman" w:cs="Times New Roman"/>
          <w:sz w:val="24"/>
          <w:szCs w:val="24"/>
        </w:rPr>
      </w:pPr>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114300" distB="114300" distL="114300" distR="114300" wp14:anchorId="75D6C4FE" wp14:editId="4B504CDE">
            <wp:extent cx="5972810" cy="3505200"/>
            <wp:effectExtent l="0" t="0" r="0" b="0"/>
            <wp:docPr id="12"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9"/>
                    <a:srcRect/>
                    <a:stretch>
                      <a:fillRect/>
                    </a:stretch>
                  </pic:blipFill>
                  <pic:spPr>
                    <a:xfrm>
                      <a:off x="0" y="0"/>
                      <a:ext cx="5972810" cy="3505200"/>
                    </a:xfrm>
                    <a:prstGeom prst="rect">
                      <a:avLst/>
                    </a:prstGeom>
                    <a:ln/>
                  </pic:spPr>
                </pic:pic>
              </a:graphicData>
            </a:graphic>
          </wp:inline>
        </w:drawing>
      </w:r>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sz w:val="24"/>
          <w:szCs w:val="24"/>
        </w:rPr>
        <w:t>Figure S</w:t>
      </w:r>
      <w:r w:rsidR="009D1ADD">
        <w:rPr>
          <w:rFonts w:ascii="Times New Roman" w:eastAsia="Times New Roman" w:hAnsi="Times New Roman" w:cs="Times New Roman"/>
          <w:sz w:val="24"/>
          <w:szCs w:val="24"/>
        </w:rPr>
        <w:t>3</w:t>
      </w:r>
      <w:r>
        <w:rPr>
          <w:rFonts w:ascii="Times New Roman" w:eastAsia="Times New Roman" w:hAnsi="Times New Roman" w:cs="Times New Roman"/>
          <w:sz w:val="24"/>
          <w:szCs w:val="24"/>
        </w:rPr>
        <w:t xml:space="preserve">. The immediate effect of a disturbance on richness was only related to the rate of recovery of richness in mammals. Each point is a time series, faceted by environment. Immediate richness responses were estimated as the effect of disturbance on log-scale community richness (Figure 3a). Richness response to treatment </w:t>
      </w:r>
      <w:proofErr w:type="gramStart"/>
      <w:r>
        <w:rPr>
          <w:rFonts w:ascii="Times New Roman" w:eastAsia="Times New Roman" w:hAnsi="Times New Roman" w:cs="Times New Roman"/>
          <w:sz w:val="24"/>
          <w:szCs w:val="24"/>
        </w:rPr>
        <w:t>was  calculated</w:t>
      </w:r>
      <w:proofErr w:type="gramEnd"/>
      <w:r>
        <w:rPr>
          <w:rFonts w:ascii="Times New Roman" w:eastAsia="Times New Roman" w:hAnsi="Times New Roman" w:cs="Times New Roman"/>
          <w:sz w:val="24"/>
          <w:szCs w:val="24"/>
        </w:rPr>
        <w:t xml:space="preserve"> as the slope estimates of </w:t>
      </w:r>
      <w:proofErr w:type="spellStart"/>
      <w:r>
        <w:rPr>
          <w:rFonts w:ascii="Times New Roman" w:eastAsia="Times New Roman" w:hAnsi="Times New Roman" w:cs="Times New Roman"/>
          <w:sz w:val="24"/>
          <w:szCs w:val="24"/>
        </w:rPr>
        <w:t>richnessover</w:t>
      </w:r>
      <w:proofErr w:type="spellEnd"/>
      <w:r>
        <w:rPr>
          <w:rFonts w:ascii="Times New Roman" w:eastAsia="Times New Roman" w:hAnsi="Times New Roman" w:cs="Times New Roman"/>
          <w:sz w:val="24"/>
          <w:szCs w:val="24"/>
        </w:rPr>
        <w:t xml:space="preserve"> time. Error bars show the 95% CI for both metrics. Large circles indicate the mean response per environment.</w:t>
      </w:r>
    </w:p>
    <w:p w:rsidR="001C49C4" w:rsidRDefault="00BE63C9" w:rsidP="001C49C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lastRenderedPageBreak/>
        <w:drawing>
          <wp:inline distT="0" distB="0" distL="0" distR="0">
            <wp:extent cx="5725160" cy="3813810"/>
            <wp:effectExtent l="0" t="0" r="889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725160" cy="3813810"/>
                    </a:xfrm>
                    <a:prstGeom prst="rect">
                      <a:avLst/>
                    </a:prstGeom>
                    <a:noFill/>
                    <a:ln>
                      <a:noFill/>
                    </a:ln>
                  </pic:spPr>
                </pic:pic>
              </a:graphicData>
            </a:graphic>
          </wp:inline>
        </w:drawing>
      </w:r>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sz w:val="24"/>
          <w:szCs w:val="24"/>
        </w:rPr>
        <w:t>Figure S</w:t>
      </w:r>
      <w:r w:rsidR="009D1ADD">
        <w:rPr>
          <w:rFonts w:ascii="Times New Roman" w:eastAsia="Times New Roman" w:hAnsi="Times New Roman" w:cs="Times New Roman"/>
          <w:sz w:val="24"/>
          <w:szCs w:val="24"/>
        </w:rPr>
        <w:t>4</w:t>
      </w:r>
      <w:r>
        <w:rPr>
          <w:rFonts w:ascii="Times New Roman" w:eastAsia="Times New Roman" w:hAnsi="Times New Roman" w:cs="Times New Roman"/>
          <w:sz w:val="24"/>
          <w:szCs w:val="24"/>
        </w:rPr>
        <w:t>. The effect of disturbance on microbiome dispersion, immediately (&lt;4 days) after disturbance (a), and over 50 days of recovery (b). Dispersion was calculated as the pairwise Bray-Curtis distance between replicates for each time point within each time series, and each circle is a</w:t>
      </w:r>
      <w:r w:rsidR="00BE63C9">
        <w:rPr>
          <w:rFonts w:ascii="Times New Roman" w:eastAsia="Times New Roman" w:hAnsi="Times New Roman" w:cs="Times New Roman"/>
          <w:sz w:val="24"/>
          <w:szCs w:val="24"/>
        </w:rPr>
        <w:t xml:space="preserve"> Z-score of a </w:t>
      </w:r>
      <w:r>
        <w:rPr>
          <w:rFonts w:ascii="Times New Roman" w:eastAsia="Times New Roman" w:hAnsi="Times New Roman" w:cs="Times New Roman"/>
          <w:sz w:val="24"/>
          <w:szCs w:val="24"/>
        </w:rPr>
        <w:t xml:space="preserve">pairwise comparison, colored by study. In </w:t>
      </w:r>
      <w:r>
        <w:rPr>
          <w:rFonts w:ascii="Times New Roman" w:eastAsia="Times New Roman" w:hAnsi="Times New Roman" w:cs="Times New Roman"/>
          <w:i/>
          <w:sz w:val="24"/>
          <w:szCs w:val="24"/>
        </w:rPr>
        <w:t xml:space="preserve">a, </w:t>
      </w:r>
      <w:r>
        <w:rPr>
          <w:rFonts w:ascii="Times New Roman" w:eastAsia="Times New Roman" w:hAnsi="Times New Roman" w:cs="Times New Roman"/>
          <w:sz w:val="24"/>
          <w:szCs w:val="24"/>
        </w:rPr>
        <w:t xml:space="preserve">solid black circles indicate the mean across time series per environment with a 95% CI indicated by error bars. In </w:t>
      </w:r>
      <w:r>
        <w:rPr>
          <w:rFonts w:ascii="Times New Roman" w:eastAsia="Times New Roman" w:hAnsi="Times New Roman" w:cs="Times New Roman"/>
          <w:i/>
          <w:sz w:val="24"/>
          <w:szCs w:val="24"/>
        </w:rPr>
        <w:t>b</w:t>
      </w:r>
      <w:r>
        <w:rPr>
          <w:rFonts w:ascii="Times New Roman" w:eastAsia="Times New Roman" w:hAnsi="Times New Roman" w:cs="Times New Roman"/>
          <w:sz w:val="24"/>
          <w:szCs w:val="24"/>
        </w:rPr>
        <w:t>, regression lines for each time series are colored by study, and the solid black line shows the mean response across time series per environment. The 95% CI of the overall response in each environment is displayed as a grey shaded area, and environments for which overall trends deviate from zero are indicated with an asterisk (*) on the bottom right corner.</w:t>
      </w:r>
    </w:p>
    <w:p w:rsidR="001C49C4" w:rsidRDefault="001C49C4" w:rsidP="001C49C4">
      <w:pPr>
        <w:rPr>
          <w:rFonts w:ascii="Times New Roman" w:eastAsia="Times New Roman" w:hAnsi="Times New Roman" w:cs="Times New Roman"/>
          <w:sz w:val="24"/>
          <w:szCs w:val="24"/>
        </w:rPr>
      </w:pPr>
    </w:p>
    <w:p w:rsidR="001C49C4" w:rsidRDefault="00BE63C9" w:rsidP="001C49C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716905" cy="1903095"/>
            <wp:effectExtent l="0" t="0" r="0" b="190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716905" cy="1903095"/>
                    </a:xfrm>
                    <a:prstGeom prst="rect">
                      <a:avLst/>
                    </a:prstGeom>
                    <a:noFill/>
                    <a:ln>
                      <a:noFill/>
                    </a:ln>
                  </pic:spPr>
                </pic:pic>
              </a:graphicData>
            </a:graphic>
          </wp:inline>
        </w:drawing>
      </w:r>
    </w:p>
    <w:p w:rsidR="001C49C4" w:rsidRDefault="001C49C4" w:rsidP="001C49C4">
      <w:pPr>
        <w:rPr>
          <w:rFonts w:ascii="Times New Roman" w:eastAsia="Times New Roman" w:hAnsi="Times New Roman" w:cs="Times New Roman"/>
          <w:sz w:val="24"/>
          <w:szCs w:val="24"/>
        </w:rPr>
      </w:pPr>
      <w:r>
        <w:rPr>
          <w:rFonts w:ascii="Times New Roman" w:eastAsia="Times New Roman" w:hAnsi="Times New Roman" w:cs="Times New Roman"/>
          <w:sz w:val="24"/>
          <w:szCs w:val="24"/>
        </w:rPr>
        <w:t>Figure S</w:t>
      </w:r>
      <w:r w:rsidR="009D1ADD">
        <w:rPr>
          <w:rFonts w:ascii="Times New Roman" w:eastAsia="Times New Roman" w:hAnsi="Times New Roman" w:cs="Times New Roman"/>
          <w:sz w:val="24"/>
          <w:szCs w:val="24"/>
        </w:rPr>
        <w:t>5</w:t>
      </w:r>
      <w:r>
        <w:rPr>
          <w:rFonts w:ascii="Times New Roman" w:eastAsia="Times New Roman" w:hAnsi="Times New Roman" w:cs="Times New Roman"/>
          <w:sz w:val="24"/>
          <w:szCs w:val="24"/>
        </w:rPr>
        <w:t xml:space="preserve">. The effect of disturbance on turnover. For each time series, recovery was calculated as the pairwise distance between post-disturbance samples and pre-disturbance </w:t>
      </w:r>
      <w:r>
        <w:rPr>
          <w:rFonts w:ascii="Times New Roman" w:eastAsia="Times New Roman" w:hAnsi="Times New Roman" w:cs="Times New Roman"/>
          <w:sz w:val="24"/>
          <w:szCs w:val="24"/>
        </w:rPr>
        <w:lastRenderedPageBreak/>
        <w:t>controls. Each point is a</w:t>
      </w:r>
      <w:r w:rsidR="00BE63C9">
        <w:rPr>
          <w:rFonts w:ascii="Times New Roman" w:eastAsia="Times New Roman" w:hAnsi="Times New Roman" w:cs="Times New Roman"/>
          <w:sz w:val="24"/>
          <w:szCs w:val="24"/>
        </w:rPr>
        <w:t xml:space="preserve"> Z-score of a</w:t>
      </w:r>
      <w:r>
        <w:rPr>
          <w:rFonts w:ascii="Times New Roman" w:eastAsia="Times New Roman" w:hAnsi="Times New Roman" w:cs="Times New Roman"/>
          <w:sz w:val="24"/>
          <w:szCs w:val="24"/>
        </w:rPr>
        <w:t xml:space="preserve"> pairwise comparison, colored by study. Regression lines for each time series are colored by study, and a solid black line indicates the mean response across time series per environment. The 95% CI is displayed as a grey shaded area, and environments for which overall trends deviate from zero are indicated with an asterisk (*) on the bottom right corner.</w:t>
      </w:r>
    </w:p>
    <w:p w:rsidR="001C49C4" w:rsidRDefault="001C49C4" w:rsidP="001C49C4">
      <w:pPr>
        <w:rPr>
          <w:rFonts w:ascii="Times New Roman" w:eastAsia="Times New Roman" w:hAnsi="Times New Roman" w:cs="Times New Roman"/>
          <w:sz w:val="24"/>
          <w:szCs w:val="24"/>
        </w:rPr>
      </w:pPr>
    </w:p>
    <w:p w:rsidR="001F6591" w:rsidRDefault="001F6591" w:rsidP="001C49C4">
      <w:pPr>
        <w:rPr>
          <w:rFonts w:ascii="Times New Roman" w:eastAsia="Times New Roman" w:hAnsi="Times New Roman" w:cs="Times New Roman"/>
          <w:sz w:val="24"/>
          <w:szCs w:val="24"/>
        </w:rPr>
      </w:pPr>
      <w:r>
        <w:rPr>
          <w:rFonts w:ascii="Times New Roman" w:eastAsia="Times New Roman" w:hAnsi="Times New Roman" w:cs="Times New Roman"/>
          <w:noProof/>
          <w:sz w:val="24"/>
          <w:szCs w:val="24"/>
        </w:rPr>
        <w:drawing>
          <wp:inline distT="0" distB="0" distL="0" distR="0">
            <wp:extent cx="5408295" cy="5287645"/>
            <wp:effectExtent l="0" t="0" r="1905"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408295" cy="5287645"/>
                    </a:xfrm>
                    <a:prstGeom prst="rect">
                      <a:avLst/>
                    </a:prstGeom>
                    <a:noFill/>
                    <a:ln>
                      <a:noFill/>
                    </a:ln>
                  </pic:spPr>
                </pic:pic>
              </a:graphicData>
            </a:graphic>
          </wp:inline>
        </w:drawing>
      </w:r>
    </w:p>
    <w:p w:rsidR="001F6591" w:rsidRPr="001F6591" w:rsidRDefault="001F6591" w:rsidP="001F6591">
      <w:pPr>
        <w:pStyle w:val="NormalWeb"/>
        <w:spacing w:before="0" w:beforeAutospacing="0" w:after="200" w:afterAutospacing="0"/>
        <w:rPr>
          <w:lang w:val="en-US"/>
        </w:rPr>
      </w:pPr>
      <w:r w:rsidRPr="001F6591">
        <w:rPr>
          <w:color w:val="000000"/>
          <w:lang w:val="en-US"/>
        </w:rPr>
        <w:t xml:space="preserve">Figure </w:t>
      </w:r>
      <w:r>
        <w:rPr>
          <w:color w:val="000000"/>
          <w:lang w:val="en-US"/>
        </w:rPr>
        <w:t>S</w:t>
      </w:r>
      <w:r w:rsidRPr="001F6591">
        <w:rPr>
          <w:color w:val="000000"/>
          <w:lang w:val="en-US"/>
        </w:rPr>
        <w:t>6.  Relationships between the immediate effect of a disturbance on richness and a microbiome’s long-term recovery of composition vary among environments. Each point is a time series, colored by its environment. Immediate richness responses were calculated as the before-after effect of disturbance on log-transformed community richness (Figure 3a). Turnover rates were calculated as the slope estimates of logit-transformed turnover</w:t>
      </w:r>
      <w:r>
        <w:rPr>
          <w:color w:val="000000"/>
          <w:lang w:val="en-US"/>
        </w:rPr>
        <w:t xml:space="preserve"> Z-scores</w:t>
      </w:r>
      <w:bookmarkStart w:id="0" w:name="_GoBack"/>
      <w:bookmarkEnd w:id="0"/>
      <w:r w:rsidRPr="001F6591">
        <w:rPr>
          <w:color w:val="000000"/>
          <w:lang w:val="en-US"/>
        </w:rPr>
        <w:t xml:space="preserve"> over time. Error bars show the 95% CI for both metrics. Large points indicate the mean responses per environment.</w:t>
      </w:r>
    </w:p>
    <w:p w:rsidR="001C49C4" w:rsidRDefault="001C49C4" w:rsidP="001C49C4">
      <w:pPr>
        <w:rPr>
          <w:rFonts w:ascii="Times New Roman" w:eastAsia="Times New Roman" w:hAnsi="Times New Roman" w:cs="Times New Roman"/>
          <w:sz w:val="24"/>
          <w:szCs w:val="24"/>
        </w:rPr>
      </w:pPr>
    </w:p>
    <w:p w:rsidR="001C49C4" w:rsidRDefault="001C49C4" w:rsidP="001C49C4">
      <w:pPr>
        <w:rPr>
          <w:rFonts w:ascii="Times New Roman" w:eastAsia="Times New Roman" w:hAnsi="Times New Roman" w:cs="Times New Roman"/>
          <w:sz w:val="24"/>
          <w:szCs w:val="24"/>
        </w:rPr>
      </w:pPr>
    </w:p>
    <w:p w:rsidR="001C49C4" w:rsidRDefault="001C49C4" w:rsidP="001C49C4">
      <w:pPr>
        <w:rPr>
          <w:rFonts w:ascii="Times New Roman" w:eastAsia="Times New Roman" w:hAnsi="Times New Roman" w:cs="Times New Roman"/>
          <w:sz w:val="24"/>
          <w:szCs w:val="24"/>
        </w:rPr>
      </w:pPr>
    </w:p>
    <w:p w:rsidR="001C49C4" w:rsidRDefault="001C49C4"/>
    <w:sectPr w:rsidR="001C49C4">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9"/>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49C4"/>
    <w:rsid w:val="001C49C4"/>
    <w:rsid w:val="001F6591"/>
    <w:rsid w:val="00267290"/>
    <w:rsid w:val="00477013"/>
    <w:rsid w:val="00530915"/>
    <w:rsid w:val="00673B35"/>
    <w:rsid w:val="006D1F5B"/>
    <w:rsid w:val="009D1ADD"/>
    <w:rsid w:val="00BE63C9"/>
    <w:rsid w:val="00EA67E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797EA87"/>
  <w15:chartTrackingRefBased/>
  <w15:docId w15:val="{BAF87AD2-AE83-47F4-9AAD-89CE3DABD9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1C49C4"/>
    <w:pPr>
      <w:spacing w:after="200" w:line="276" w:lineRule="auto"/>
    </w:pPr>
    <w:rPr>
      <w:rFonts w:ascii="Calibri" w:eastAsia="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F6591"/>
    <w:pPr>
      <w:spacing w:before="100" w:beforeAutospacing="1" w:after="100" w:afterAutospacing="1" w:line="240" w:lineRule="auto"/>
    </w:pPr>
    <w:rPr>
      <w:rFonts w:ascii="Times New Roman" w:eastAsia="Times New Roman" w:hAnsi="Times New Roman" w:cs="Times New Roman"/>
      <w:sz w:val="24"/>
      <w:szCs w:val="24"/>
      <w:lang w:val="es-AR" w:eastAsia="es-A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8586937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g"/><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image" Target="media/image6.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https://docs.google.com/spreadsheets/d/1o5Uvzh5Q4VE7HXhpeMt-hs5wfkybDwRZ/edit?usp=sharing&amp;ouid=113332841508967711520&amp;rtpof=true&amp;sd=true" TargetMode="External"/><Relationship Id="rId11" Type="http://schemas.openxmlformats.org/officeDocument/2006/relationships/image" Target="media/image5.png"/><Relationship Id="rId5" Type="http://schemas.openxmlformats.org/officeDocument/2006/relationships/hyperlink" Target="https://docs.google.com/spreadsheets/d/1o5Uvzh5Q4VE7HXhpeMt-hs5wfkybDwRZ/edit?usp=sharing&amp;ouid=113332841508967711520&amp;rtpof=true&amp;sd=true" TargetMode="Externa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221C8D5-0657-4E59-B328-8123C92B30B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123</TotalTime>
  <Pages>8</Pages>
  <Words>822</Words>
  <Characters>4523</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Jurburg, Stephanie</dc:creator>
  <cp:keywords/>
  <dc:description/>
  <cp:lastModifiedBy>Stephanie Jurburg</cp:lastModifiedBy>
  <cp:revision>5</cp:revision>
  <dcterms:created xsi:type="dcterms:W3CDTF">2021-11-24T15:57:00Z</dcterms:created>
  <dcterms:modified xsi:type="dcterms:W3CDTF">2023-12-06T12:53:00Z</dcterms:modified>
</cp:coreProperties>
</file>