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bCs/>
          <w:sz w:val="24"/>
        </w:rPr>
      </w:pPr>
      <w:bookmarkStart w:id="0" w:name="OLE_LINK1"/>
      <w:r>
        <w:rPr>
          <w:rFonts w:ascii="Times New Roman" w:hAnsi="Times New Roman" w:eastAsia="宋体" w:cs="Times New Roman"/>
          <w:b/>
          <w:bCs/>
          <w:sz w:val="24"/>
          <w:lang w:bidi="ar"/>
        </w:rPr>
        <w:t>An Empirical Study of Value Evaluation by Multi-criteria Decision Analysis for Orphan Medicinal Product</w:t>
      </w:r>
    </w:p>
    <w:p>
      <w:pPr>
        <w:jc w:val="center"/>
        <w:rPr>
          <w:rFonts w:ascii="Times New Roman" w:hAnsi="Times New Roman" w:eastAsia="宋体" w:cs="Times New Roman"/>
          <w:b/>
          <w:bCs/>
          <w:sz w:val="24"/>
        </w:rPr>
      </w:pPr>
    </w:p>
    <w:p>
      <w:pPr>
        <w:rPr>
          <w:rFonts w:ascii="Times New Roman" w:hAnsi="Times New Roman" w:eastAsia="宋体" w:cs="Times New Roman"/>
          <w:b/>
          <w:bCs/>
          <w:sz w:val="20"/>
          <w:szCs w:val="20"/>
        </w:rPr>
      </w:pPr>
      <w:r>
        <w:rPr>
          <w:rFonts w:ascii="Times New Roman" w:hAnsi="Times New Roman" w:eastAsia="宋体" w:cs="Times New Roman"/>
          <w:b/>
          <w:bCs/>
          <w:sz w:val="20"/>
          <w:szCs w:val="20"/>
          <w:lang w:bidi="ar"/>
        </w:rPr>
        <w:t>Running head: an empirical study of orphan drugs</w:t>
      </w:r>
    </w:p>
    <w:p>
      <w:pPr>
        <w:rPr>
          <w:rFonts w:ascii="Times New Roman" w:hAnsi="Times New Roman" w:eastAsia="宋体" w:cs="Times New Roman"/>
          <w:sz w:val="24"/>
        </w:rPr>
      </w:pPr>
    </w:p>
    <w:p>
      <w:pPr>
        <w:rPr>
          <w:rFonts w:ascii="Times New Roman" w:hAnsi="Times New Roman" w:eastAsia="宋体" w:cs="Times New Roman"/>
          <w:b/>
          <w:bCs/>
          <w:sz w:val="20"/>
          <w:szCs w:val="20"/>
        </w:rPr>
      </w:pPr>
      <w:r>
        <w:rPr>
          <w:rFonts w:ascii="Times New Roman" w:hAnsi="Times New Roman" w:eastAsia="宋体" w:cs="Times New Roman"/>
          <w:b/>
          <w:bCs/>
          <w:sz w:val="20"/>
          <w:szCs w:val="20"/>
          <w:lang w:bidi="ar"/>
        </w:rPr>
        <w:t xml:space="preserve">Journal: </w:t>
      </w:r>
      <w:r>
        <w:rPr>
          <w:rFonts w:hint="eastAsia" w:ascii="Times New Roman" w:hAnsi="Times New Roman" w:eastAsia="宋体" w:cs="Times New Roman"/>
          <w:b/>
          <w:bCs/>
          <w:sz w:val="20"/>
          <w:szCs w:val="20"/>
          <w:lang w:val="en-US" w:eastAsia="zh-CN"/>
        </w:rPr>
        <w:t>Orphanet Journal of Rare Diseases</w:t>
      </w:r>
    </w:p>
    <w:p>
      <w:pPr>
        <w:rPr>
          <w:rFonts w:ascii="Times New Roman" w:hAnsi="Times New Roman" w:eastAsia="宋体" w:cs="Times New Roman"/>
          <w:sz w:val="24"/>
        </w:rPr>
      </w:pPr>
    </w:p>
    <w:p>
      <w:pPr>
        <w:rPr>
          <w:rFonts w:ascii="Times New Roman" w:hAnsi="Times New Roman" w:eastAsia="宋体" w:cs="Times New Roman"/>
          <w:b/>
          <w:bCs/>
          <w:sz w:val="20"/>
          <w:szCs w:val="20"/>
        </w:rPr>
      </w:pPr>
      <w:r>
        <w:rPr>
          <w:rFonts w:ascii="Times New Roman" w:hAnsi="Times New Roman" w:eastAsia="宋体" w:cs="Times New Roman"/>
          <w:b/>
          <w:bCs/>
          <w:sz w:val="20"/>
          <w:szCs w:val="20"/>
          <w:lang w:bidi="ar"/>
        </w:rPr>
        <w:t>Author information:</w:t>
      </w:r>
    </w:p>
    <w:p>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lang w:bidi="ar"/>
        </w:rPr>
        <w:t xml:space="preserve">Xian Tang, </w:t>
      </w:r>
      <w:bookmarkStart w:id="1" w:name="OLE_LINK2"/>
      <w:r>
        <w:rPr>
          <w:rFonts w:ascii="Times New Roman" w:hAnsi="Times New Roman" w:eastAsia="宋体" w:cs="Times New Roman"/>
          <w:sz w:val="20"/>
          <w:szCs w:val="20"/>
          <w:lang w:bidi="ar"/>
        </w:rPr>
        <w:t>B.S., West China School of Pharmacy, Sichuan University, Chengdu, China</w:t>
      </w:r>
      <w:bookmarkEnd w:id="1"/>
    </w:p>
    <w:p>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lang w:bidi="ar"/>
        </w:rPr>
        <w:t>Handong Chen, B.S., West China School of Pharmacy, Sichuan University, Chengdu, China</w:t>
      </w:r>
    </w:p>
    <w:p>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lang w:bidi="ar"/>
        </w:rPr>
        <w:t>Yuliang Xiang, M.S., West China School of Pharmacy, Sichuan University, Chengdu, China; School of Public Health, Fudan University, Shanghai, China</w:t>
      </w:r>
    </w:p>
    <w:p>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lang w:bidi="ar"/>
        </w:rPr>
        <w:t>Ming Hu, PhD, West China School of Pharmacy, Sichuan University, Chengdu, China</w:t>
      </w:r>
    </w:p>
    <w:p>
      <w:pPr>
        <w:spacing w:line="360" w:lineRule="auto"/>
        <w:rPr>
          <w:rFonts w:ascii="Times New Roman" w:hAnsi="Times New Roman" w:eastAsia="宋体" w:cs="Times New Roman"/>
          <w:sz w:val="20"/>
          <w:szCs w:val="20"/>
        </w:rPr>
      </w:pPr>
    </w:p>
    <w:p>
      <w:pPr>
        <w:spacing w:line="360" w:lineRule="auto"/>
        <w:rPr>
          <w:rFonts w:ascii="Times New Roman" w:hAnsi="Times New Roman" w:eastAsia="宋体" w:cs="Times New Roman"/>
          <w:b/>
          <w:bCs/>
          <w:sz w:val="20"/>
          <w:szCs w:val="20"/>
        </w:rPr>
      </w:pPr>
      <w:r>
        <w:rPr>
          <w:rFonts w:ascii="Times New Roman" w:hAnsi="Times New Roman" w:eastAsia="宋体" w:cs="Times New Roman"/>
          <w:b/>
          <w:bCs/>
          <w:sz w:val="20"/>
          <w:szCs w:val="20"/>
          <w:lang w:bidi="ar"/>
        </w:rPr>
        <w:t>* Corresponding author</w:t>
      </w:r>
      <w:r>
        <w:rPr>
          <w:rFonts w:hint="eastAsia" w:ascii="Times New Roman" w:hAnsi="Times New Roman" w:eastAsia="宋体" w:cs="Times New Roman"/>
          <w:b/>
          <w:bCs/>
          <w:sz w:val="20"/>
          <w:szCs w:val="20"/>
          <w:lang w:bidi="ar"/>
        </w:rPr>
        <w:t>：</w:t>
      </w:r>
    </w:p>
    <w:p>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lang w:bidi="ar"/>
        </w:rPr>
        <w:t xml:space="preserve">Ming Hu, PhD, West China School of Pharmacy, Sichuan University, 17 Renmin South Road (3rd Section), Chengdu, 610041, China </w:t>
      </w:r>
    </w:p>
    <w:p>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lang w:bidi="ar"/>
        </w:rPr>
        <w:t xml:space="preserve">Email: </w:t>
      </w:r>
      <w:r>
        <w:fldChar w:fldCharType="begin"/>
      </w:r>
      <w:r>
        <w:instrText xml:space="preserve"> HYPERLINK "mailto:huming@scu.edu.cn;" </w:instrText>
      </w:r>
      <w:r>
        <w:fldChar w:fldCharType="separate"/>
      </w:r>
      <w:r>
        <w:rPr>
          <w:rStyle w:val="14"/>
          <w:rFonts w:ascii="Times New Roman" w:hAnsi="Times New Roman" w:eastAsia="宋体" w:cs="Times New Roman"/>
          <w:sz w:val="20"/>
          <w:szCs w:val="20"/>
        </w:rPr>
        <w:t>huming@scu.edu.cn</w:t>
      </w:r>
      <w:r>
        <w:rPr>
          <w:rStyle w:val="14"/>
          <w:rFonts w:ascii="Times New Roman" w:hAnsi="Times New Roman" w:eastAsia="宋体" w:cs="Times New Roman"/>
          <w:sz w:val="20"/>
          <w:szCs w:val="20"/>
        </w:rPr>
        <w:fldChar w:fldCharType="end"/>
      </w:r>
    </w:p>
    <w:p>
      <w:pPr>
        <w:spacing w:line="360" w:lineRule="auto"/>
        <w:rPr>
          <w:rFonts w:ascii="Times New Roman" w:hAnsi="Times New Roman" w:eastAsia="宋体" w:cs="Times New Roman"/>
          <w:sz w:val="20"/>
          <w:szCs w:val="20"/>
          <w:lang w:bidi="ar"/>
        </w:rPr>
        <w:sectPr>
          <w:footerReference r:id="rId3" w:type="default"/>
          <w:pgSz w:w="12240" w:h="15839"/>
          <w:pgMar w:top="1417" w:right="1417" w:bottom="1417" w:left="1417" w:header="851" w:footer="992" w:gutter="0"/>
          <w:cols w:space="425" w:num="1"/>
          <w:docGrid w:type="lines" w:linePitch="312" w:charSpace="0"/>
        </w:sectPr>
      </w:pPr>
      <w:r>
        <w:rPr>
          <w:rFonts w:ascii="Times New Roman" w:hAnsi="Times New Roman" w:eastAsia="宋体" w:cs="Times New Roman"/>
          <w:sz w:val="20"/>
          <w:szCs w:val="20"/>
          <w:lang w:bidi="ar"/>
        </w:rPr>
        <w:t>Phone</w:t>
      </w:r>
      <w:bookmarkStart w:id="70" w:name="_GoBack"/>
      <w:bookmarkEnd w:id="70"/>
      <w:r>
        <w:rPr>
          <w:rFonts w:ascii="Times New Roman" w:hAnsi="Times New Roman" w:eastAsia="宋体" w:cs="Times New Roman"/>
          <w:sz w:val="20"/>
          <w:szCs w:val="20"/>
          <w:lang w:bidi="ar"/>
        </w:rPr>
        <w:t>: +86-1398000809</w:t>
      </w:r>
    </w:p>
    <w:p>
      <w:pPr>
        <w:rPr>
          <w:rFonts w:ascii="Times New Roman" w:hAnsi="Times New Roman" w:cs="Times New Roman"/>
          <w:sz w:val="24"/>
          <w:highlight w:val="green"/>
        </w:rPr>
      </w:pPr>
      <w:r>
        <w:rPr>
          <w:rFonts w:hint="eastAsia" w:ascii="Times New Roman" w:hAnsi="Times New Roman" w:cs="Times New Roman"/>
          <w:b/>
          <w:bCs/>
          <w:sz w:val="24"/>
        </w:rPr>
        <w:t>Appendix and Supplemental Materials</w:t>
      </w:r>
    </w:p>
    <w:bookmarkEnd w:id="0"/>
    <w:p>
      <w:pPr>
        <w:spacing w:line="276" w:lineRule="auto"/>
        <w:rPr>
          <w:sz w:val="20"/>
          <w:szCs w:val="20"/>
          <w:lang w:val="en-GB"/>
        </w:rPr>
      </w:pPr>
    </w:p>
    <w:p>
      <w:pPr>
        <w:jc w:val="left"/>
      </w:pPr>
      <w:r>
        <w:rPr>
          <w:rFonts w:hint="eastAsia" w:ascii="Times New Roman" w:hAnsi="Times New Roman" w:cs="Times New Roman"/>
          <w:b/>
          <w:bCs/>
          <w:sz w:val="20"/>
          <w:szCs w:val="20"/>
        </w:rPr>
        <w:t xml:space="preserve">Appendix </w:t>
      </w:r>
      <w:r>
        <w:rPr>
          <w:rFonts w:ascii="Times New Roman" w:hAnsi="Times New Roman" w:cs="Times New Roman"/>
          <w:b/>
          <w:bCs/>
          <w:szCs w:val="21"/>
        </w:rPr>
        <w:t xml:space="preserve">Figure 1. </w:t>
      </w:r>
      <w:r>
        <w:rPr>
          <w:rFonts w:ascii="Times New Roman" w:hAnsi="Times New Roman" w:cs="Times New Roman"/>
          <w:szCs w:val="21"/>
        </w:rPr>
        <w:t>the weight results of two-step percentile distribution method</w:t>
      </w:r>
    </w:p>
    <w:p>
      <w:r>
        <mc:AlternateContent>
          <mc:Choice Requires="wpg">
            <w:drawing>
              <wp:anchor distT="0" distB="0" distL="114300" distR="114300" simplePos="0" relativeHeight="251659264" behindDoc="0" locked="0" layoutInCell="1" allowOverlap="1">
                <wp:simplePos x="0" y="0"/>
                <wp:positionH relativeFrom="column">
                  <wp:posOffset>337820</wp:posOffset>
                </wp:positionH>
                <wp:positionV relativeFrom="paragraph">
                  <wp:posOffset>22225</wp:posOffset>
                </wp:positionV>
                <wp:extent cx="7330440" cy="3442335"/>
                <wp:effectExtent l="4445" t="4445" r="5715" b="7620"/>
                <wp:wrapTopAndBottom/>
                <wp:docPr id="11" name="组合 3"/>
                <wp:cNvGraphicFramePr/>
                <a:graphic xmlns:a="http://schemas.openxmlformats.org/drawingml/2006/main">
                  <a:graphicData uri="http://schemas.microsoft.com/office/word/2010/wordprocessingGroup">
                    <wpg:wgp>
                      <wpg:cNvGrpSpPr/>
                      <wpg:grpSpPr>
                        <a:xfrm>
                          <a:off x="0" y="0"/>
                          <a:ext cx="7330440" cy="3442335"/>
                          <a:chOff x="-4423815" y="-859504"/>
                          <a:chExt cx="9118032" cy="2795596"/>
                        </a:xfrm>
                      </wpg:grpSpPr>
                      <wpg:graphicFrame>
                        <wpg:cNvPr id="29" name="图表 29"/>
                        <wpg:cNvFrPr/>
                        <wpg:xfrm>
                          <a:off x="-4423815" y="-859504"/>
                          <a:ext cx="4253825" cy="2795596"/>
                        </wpg:xfrm>
                        <a:graphic>
                          <a:graphicData uri="http://schemas.openxmlformats.org/drawingml/2006/chart">
                            <c:chart xmlns:c="http://schemas.openxmlformats.org/drawingml/2006/chart" xmlns:r="http://schemas.openxmlformats.org/officeDocument/2006/relationships" r:id="rId5"/>
                          </a:graphicData>
                        </a:graphic>
                      </wpg:graphicFrame>
                      <wpg:graphicFrame>
                        <wpg:cNvPr id="30" name="图表 30"/>
                        <wpg:cNvFrPr/>
                        <wpg:xfrm>
                          <a:off x="-169882" y="-859386"/>
                          <a:ext cx="4864099" cy="2795220"/>
                        </wpg:xfrm>
                        <a:graphic>
                          <a:graphicData uri="http://schemas.openxmlformats.org/drawingml/2006/chart">
                            <c:chart xmlns:c="http://schemas.openxmlformats.org/drawingml/2006/chart" xmlns:r="http://schemas.openxmlformats.org/officeDocument/2006/relationships" r:id="rId6"/>
                          </a:graphicData>
                        </a:graphic>
                      </wpg:graphicFrame>
                    </wpg:wgp>
                  </a:graphicData>
                </a:graphic>
              </wp:anchor>
            </w:drawing>
          </mc:Choice>
          <mc:Fallback>
            <w:pict>
              <v:group id="组合 3" o:spid="_x0000_s1026" o:spt="203" style="position:absolute;left:0pt;margin-left:26.6pt;margin-top:1.75pt;height:271.05pt;width:577.2pt;mso-wrap-distance-bottom:0pt;mso-wrap-distance-top:0pt;z-index:251659264;mso-width-relative:page;mso-height-relative:page;" coordorigin="-4423815,-859504" coordsize="9118032,2795596" o:gfxdata="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">
                <o:lock v:ext="edit" aspectratio="f"/>
                <v:rect id="_x0000_s1026" o:spid="_x0000_s1026" o:spt="75" style="position:absolute;left:-4429739;top:-863372;height:2803331;width:4265673;" coordsize="21600,21600" o:gfxdata="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KayXvQAA&#10;ANsAAAAPAAAAAAAAAAEAIAAAACIAAABkcnMvZG93bnJldi54bWxQSwECFAAUAAAACACHTuJAMy8F&#10;njsAAAA5AAAAEAAAAAAAAAABACAAAAAMAQAAZHJzL3NoYXBleG1sLnhtbFBLBQYAAAAABgAGAFsB&#10;AAC2AwAAAAA=&#10;">
                  <v:imagedata r:id="rId7" o:title=""/>
                  <o:lock v:ext="edit"/>
                </v:rect>
                <v:rect id="_x0000_s1026" o:spid="_x0000_s1026" o:spt="75" style="position:absolute;left:-175806;top:-863254;height:2802955;width:4875947;" coordsize="21600,21600" o:gfxdata="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F140u5AAAA2wAA&#10;AA8AAAAAAAAAAQAgAAAAIgAAAGRycy9kb3ducmV2LnhtbFBLAQIUABQAAAAIAIdO4kAzLwWeOwAA&#10;ADkAAAAQAAAAAAAAAAEAIAAAAAgBAABkcnMvc2hhcGV4bWwueG1sUEsFBgAAAAAGAAYAWwEAALID&#10;AAAAAA==&#10;">
                  <v:imagedata r:id="rId8" o:title=""/>
                  <o:lock v:ext="edit"/>
                </v:rect>
                <w10:wrap type="topAndBottom"/>
              </v:group>
            </w:pict>
          </mc:Fallback>
        </mc:AlternateContent>
      </w:r>
    </w:p>
    <w:p>
      <w:pPr>
        <w:rPr>
          <w:rFonts w:ascii="Times New Roman" w:hAnsi="Times New Roman" w:cs="Times New Roman"/>
          <w:szCs w:val="21"/>
        </w:rPr>
        <w:sectPr>
          <w:pgSz w:w="15839" w:h="12240" w:orient="landscape"/>
          <w:pgMar w:top="1418" w:right="1418" w:bottom="1418" w:left="1418" w:header="851" w:footer="992" w:gutter="0"/>
          <w:cols w:space="425" w:num="1"/>
          <w:docGrid w:linePitch="312" w:charSpace="0"/>
        </w:sectPr>
      </w:pPr>
      <w:r>
        <w:rPr>
          <w:rFonts w:hint="eastAsia" w:ascii="Times New Roman" w:hAnsi="Times New Roman" w:eastAsia="宋体" w:cs="Times New Roman"/>
          <w:szCs w:val="21"/>
          <w:lang w:bidi="ar"/>
        </w:rPr>
        <w:t>Note: For t</w:t>
      </w:r>
      <w:r>
        <w:rPr>
          <w:rFonts w:ascii="Times New Roman" w:hAnsi="Times New Roman" w:eastAsia="宋体" w:cs="Times New Roman"/>
          <w:szCs w:val="21"/>
          <w:lang w:bidi="ar"/>
        </w:rPr>
        <w:t>he two-step percentile distribution method</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 xml:space="preserve"> the stakeholder experts first allocate</w:t>
      </w:r>
      <w:r>
        <w:rPr>
          <w:rFonts w:hint="eastAsia" w:ascii="Times New Roman" w:hAnsi="Times New Roman" w:eastAsia="宋体" w:cs="Times New Roman"/>
          <w:szCs w:val="21"/>
          <w:lang w:bidi="ar"/>
        </w:rPr>
        <w:t>d</w:t>
      </w:r>
      <w:r>
        <w:rPr>
          <w:rFonts w:ascii="Times New Roman" w:hAnsi="Times New Roman" w:eastAsia="宋体" w:cs="Times New Roman"/>
          <w:szCs w:val="21"/>
          <w:lang w:bidi="ar"/>
        </w:rPr>
        <w:t xml:space="preserve"> 100 points to the five first-level dimensions of the quantitative criteria, and then allocate</w:t>
      </w:r>
      <w:r>
        <w:rPr>
          <w:rFonts w:hint="eastAsia" w:ascii="Times New Roman" w:hAnsi="Times New Roman" w:eastAsia="宋体" w:cs="Times New Roman"/>
          <w:szCs w:val="21"/>
          <w:lang w:bidi="ar"/>
        </w:rPr>
        <w:t>d</w:t>
      </w:r>
      <w:r>
        <w:rPr>
          <w:rFonts w:ascii="Times New Roman" w:hAnsi="Times New Roman" w:eastAsia="宋体" w:cs="Times New Roman"/>
          <w:szCs w:val="21"/>
          <w:lang w:bidi="ar"/>
        </w:rPr>
        <w:t xml:space="preserve"> another 100 points to the second-level criteria under each dimension, so as to obtain the relative weight of each criterion</w:t>
      </w:r>
      <w:r>
        <w:rPr>
          <w:rFonts w:hint="eastAsia" w:ascii="Times New Roman" w:hAnsi="Times New Roman" w:eastAsia="宋体" w:cs="Times New Roman"/>
          <w:szCs w:val="21"/>
          <w:lang w:bidi="ar"/>
        </w:rPr>
        <w:t>.</w:t>
      </w:r>
      <w:r>
        <w:rPr>
          <w:rFonts w:ascii="Times New Roman" w:hAnsi="Times New Roman" w:cs="Times New Roman"/>
          <w:b/>
          <w:bCs/>
          <w:szCs w:val="21"/>
        </w:rPr>
        <w:t xml:space="preserve"> </w:t>
      </w:r>
      <w:r>
        <w:rPr>
          <w:rFonts w:ascii="Times New Roman" w:hAnsi="Times New Roman" w:cs="Times New Roman"/>
          <w:szCs w:val="21"/>
        </w:rPr>
        <w:t>Left 1：the weight allocation results to the first level domains; Right 1：the weight allocation results to each criterion</w:t>
      </w:r>
    </w:p>
    <w:p>
      <w:pPr>
        <w:rPr>
          <w:szCs w:val="21"/>
          <w:lang w:val="en-GB"/>
        </w:rPr>
      </w:pPr>
      <w:bookmarkStart w:id="2" w:name="_Toc103172194"/>
      <w:bookmarkStart w:id="3" w:name="OLE_LINK12"/>
      <w:r>
        <w:rPr>
          <w:rFonts w:hint="eastAsia" w:ascii="Times New Roman" w:hAnsi="Times New Roman" w:cs="Times New Roman"/>
          <w:b/>
          <w:bCs/>
          <w:szCs w:val="21"/>
        </w:rPr>
        <w:t xml:space="preserve">Appendix </w:t>
      </w:r>
      <w:r>
        <w:rPr>
          <w:rFonts w:ascii="Times New Roman" w:hAnsi="Times New Roman" w:cs="Times New Roman"/>
          <w:b/>
          <w:bCs/>
          <w:szCs w:val="21"/>
          <w:lang w:val="en-GB"/>
        </w:rPr>
        <w:t xml:space="preserve">Table </w:t>
      </w:r>
      <w:r>
        <w:rPr>
          <w:rFonts w:ascii="Times New Roman" w:hAnsi="Times New Roman" w:cs="Times New Roman"/>
          <w:b/>
          <w:bCs/>
          <w:szCs w:val="21"/>
        </w:rPr>
        <w:t>1</w:t>
      </w:r>
      <w:r>
        <w:rPr>
          <w:rFonts w:ascii="Times New Roman" w:hAnsi="Times New Roman" w:cs="Times New Roman"/>
          <w:b/>
          <w:bCs/>
          <w:szCs w:val="21"/>
          <w:lang w:val="en-GB"/>
        </w:rPr>
        <w:t>.</w:t>
      </w:r>
      <w:r>
        <w:rPr>
          <w:rFonts w:ascii="Times New Roman" w:hAnsi="Times New Roman" w:cs="Times New Roman"/>
          <w:szCs w:val="21"/>
          <w:lang w:val="en-GB"/>
        </w:rPr>
        <w:t xml:space="preserve"> Criteria framework for value evaluation of orphan medicinal products</w:t>
      </w:r>
    </w:p>
    <w:tbl>
      <w:tblPr>
        <w:tblStyle w:val="10"/>
        <w:tblpPr w:leftFromText="180" w:rightFromText="180" w:vertAnchor="text" w:tblpXSpec="center" w:tblpY="1"/>
        <w:tblOverlap w:val="never"/>
        <w:tblW w:w="47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1"/>
        <w:gridCol w:w="4213"/>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tblHeader/>
        </w:trPr>
        <w:tc>
          <w:tcPr>
            <w:tcW w:w="5000" w:type="pct"/>
            <w:gridSpan w:val="3"/>
            <w:shd w:val="clear" w:color="auto" w:fill="auto"/>
            <w:vAlign w:val="center"/>
          </w:tcPr>
          <w:p>
            <w:pPr>
              <w:pStyle w:val="15"/>
              <w:tabs>
                <w:tab w:val="left" w:pos="1260"/>
              </w:tabs>
              <w:jc w:val="center"/>
              <w:rPr>
                <w:rFonts w:ascii="Times New Roman" w:hAnsi="Times New Roman" w:cs="Times New Roman"/>
                <w:iCs/>
                <w:sz w:val="18"/>
                <w:szCs w:val="18"/>
                <w:lang w:val="en-GB"/>
              </w:rPr>
            </w:pPr>
            <w:r>
              <w:rPr>
                <w:rFonts w:ascii="Times New Roman" w:hAnsi="Times New Roman" w:cs="Times New Roman"/>
                <w:sz w:val="18"/>
                <w:szCs w:val="18"/>
                <w:lang w:val="en-GB"/>
              </w:rPr>
              <w:t>EVIDEM QUANTITATIVE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shd w:val="clear" w:color="auto" w:fill="FFFFFF" w:themeFill="background1"/>
            <w:vAlign w:val="center"/>
          </w:tcPr>
          <w:p>
            <w:pPr>
              <w:pStyle w:val="15"/>
              <w:jc w:val="center"/>
              <w:rPr>
                <w:rFonts w:ascii="Times New Roman" w:hAnsi="Times New Roman" w:cs="Times New Roman"/>
                <w:sz w:val="18"/>
                <w:szCs w:val="18"/>
                <w:lang w:val="en-GB"/>
              </w:rPr>
            </w:pPr>
            <w:r>
              <w:rPr>
                <w:rFonts w:ascii="Times New Roman" w:hAnsi="Times New Roman" w:cs="Times New Roman"/>
                <w:sz w:val="18"/>
                <w:szCs w:val="18"/>
                <w:lang w:val="en-GB"/>
              </w:rPr>
              <w:t>Domains</w:t>
            </w:r>
          </w:p>
        </w:tc>
        <w:tc>
          <w:tcPr>
            <w:tcW w:w="2294" w:type="pct"/>
            <w:shd w:val="clear" w:color="auto" w:fill="FFFFFF" w:themeFill="background1"/>
            <w:vAlign w:val="center"/>
          </w:tcPr>
          <w:p>
            <w:pPr>
              <w:pStyle w:val="15"/>
              <w:jc w:val="center"/>
              <w:rPr>
                <w:rFonts w:ascii="Times New Roman" w:hAnsi="Times New Roman" w:cs="Times New Roman"/>
                <w:sz w:val="18"/>
                <w:szCs w:val="18"/>
                <w:lang w:val="en-GB"/>
              </w:rPr>
            </w:pPr>
            <w:r>
              <w:rPr>
                <w:rFonts w:ascii="Times New Roman" w:hAnsi="Times New Roman" w:cs="Times New Roman"/>
                <w:sz w:val="18"/>
                <w:szCs w:val="18"/>
                <w:lang w:val="en-GB"/>
              </w:rPr>
              <w:t>Criteria</w:t>
            </w:r>
          </w:p>
        </w:tc>
        <w:tc>
          <w:tcPr>
            <w:tcW w:w="1022" w:type="pct"/>
            <w:shd w:val="clear" w:color="auto" w:fill="FFFFFF" w:themeFill="background1"/>
            <w:vAlign w:val="center"/>
          </w:tcPr>
          <w:p>
            <w:pPr>
              <w:pStyle w:val="15"/>
              <w:jc w:val="center"/>
              <w:rPr>
                <w:rFonts w:ascii="Times New Roman" w:hAnsi="Times New Roman" w:cs="Times New Roman"/>
                <w:sz w:val="18"/>
                <w:szCs w:val="18"/>
                <w:lang w:val="en-GB"/>
              </w:rPr>
            </w:pPr>
            <w:r>
              <w:rPr>
                <w:rFonts w:ascii="Times New Roman" w:hAnsi="Times New Roman" w:cs="Times New Roman"/>
                <w:iCs/>
                <w:sz w:val="18"/>
                <w:szCs w:val="18"/>
                <w:lang w:val="en-GB"/>
              </w:rPr>
              <w:t>Source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restart"/>
            <w:shd w:val="clear" w:color="auto" w:fill="auto"/>
            <w:vAlign w:val="center"/>
          </w:tcPr>
          <w:p>
            <w:pPr>
              <w:pStyle w:val="16"/>
              <w:spacing w:line="240" w:lineRule="auto"/>
              <w:jc w:val="center"/>
              <w:rPr>
                <w:rFonts w:ascii="Times New Roman" w:hAnsi="Times New Roman" w:eastAsiaTheme="minorEastAsia"/>
                <w:b/>
                <w:bCs/>
                <w:color w:val="000000"/>
                <w:sz w:val="18"/>
                <w:szCs w:val="18"/>
              </w:rPr>
            </w:pPr>
            <w:r>
              <w:rPr>
                <w:rFonts w:ascii="Times New Roman" w:hAnsi="Times New Roman" w:eastAsiaTheme="minorEastAsia"/>
                <w:b/>
                <w:bCs/>
                <w:color w:val="000000"/>
                <w:sz w:val="18"/>
                <w:szCs w:val="18"/>
              </w:rPr>
              <w:t>Need for drugs</w:t>
            </w:r>
          </w:p>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Disease severity</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Unmet needs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restart"/>
            <w:shd w:val="clear" w:color="auto" w:fill="auto"/>
            <w:vAlign w:val="center"/>
          </w:tcPr>
          <w:p>
            <w:pPr>
              <w:pStyle w:val="16"/>
              <w:spacing w:line="240" w:lineRule="auto"/>
              <w:jc w:val="center"/>
              <w:rPr>
                <w:rFonts w:ascii="Times New Roman" w:hAnsi="Times New Roman" w:eastAsiaTheme="minorEastAsia"/>
                <w:b/>
                <w:bCs/>
                <w:color w:val="000000"/>
                <w:sz w:val="18"/>
                <w:szCs w:val="18"/>
              </w:rPr>
            </w:pPr>
            <w:r>
              <w:rPr>
                <w:rFonts w:ascii="Times New Roman" w:hAnsi="Times New Roman" w:eastAsiaTheme="minorEastAsia"/>
                <w:b/>
                <w:bCs/>
                <w:color w:val="000000"/>
                <w:sz w:val="18"/>
                <w:szCs w:val="18"/>
              </w:rPr>
              <w:t>Comparative outcomes of drugs</w:t>
            </w:r>
          </w:p>
          <w:p>
            <w:pPr>
              <w:pStyle w:val="16"/>
              <w:spacing w:line="240" w:lineRule="auto"/>
              <w:jc w:val="center"/>
              <w:rPr>
                <w:rFonts w:ascii="Times New Roman" w:hAnsi="Times New Roman"/>
                <w:sz w:val="18"/>
                <w:szCs w:val="18"/>
              </w:rPr>
            </w:pPr>
          </w:p>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Comparative effectiveness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Comparative safety/tolerability</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Comparative patient-perceived health/patient-reported outcomes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shd w:val="clear" w:color="auto" w:fill="auto"/>
            <w:vAlign w:val="center"/>
          </w:tcPr>
          <w:p>
            <w:pPr>
              <w:pStyle w:val="16"/>
              <w:spacing w:line="240" w:lineRule="auto"/>
              <w:jc w:val="center"/>
              <w:rPr>
                <w:rFonts w:ascii="Times New Roman" w:hAnsi="Times New Roman"/>
                <w:sz w:val="18"/>
                <w:szCs w:val="18"/>
              </w:rPr>
            </w:pPr>
            <w:r>
              <w:rPr>
                <w:rFonts w:ascii="Times New Roman" w:hAnsi="Times New Roman" w:eastAsiaTheme="minorEastAsia"/>
                <w:b/>
                <w:bCs/>
                <w:color w:val="000000"/>
                <w:sz w:val="18"/>
                <w:szCs w:val="18"/>
              </w:rPr>
              <w:t>Type of benefit of drugs</w:t>
            </w: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Type of therapeutic benefit</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restart"/>
            <w:shd w:val="clear" w:color="auto" w:fill="auto"/>
            <w:vAlign w:val="center"/>
          </w:tcPr>
          <w:p>
            <w:pPr>
              <w:pStyle w:val="16"/>
              <w:spacing w:line="240" w:lineRule="auto"/>
              <w:jc w:val="center"/>
              <w:rPr>
                <w:rFonts w:ascii="Times New Roman" w:hAnsi="Times New Roman"/>
                <w:sz w:val="18"/>
                <w:szCs w:val="18"/>
              </w:rPr>
            </w:pPr>
            <w:r>
              <w:rPr>
                <w:rFonts w:ascii="Times New Roman" w:hAnsi="Times New Roman" w:eastAsiaTheme="minorEastAsia"/>
                <w:b/>
                <w:bCs/>
                <w:color w:val="000000"/>
                <w:sz w:val="18"/>
                <w:szCs w:val="18"/>
              </w:rPr>
              <w:t>Economic consequences of drugs</w:t>
            </w:r>
          </w:p>
          <w:p>
            <w:pPr>
              <w:pStyle w:val="16"/>
              <w:spacing w:line="240" w:lineRule="auto"/>
              <w:jc w:val="center"/>
              <w:rPr>
                <w:rFonts w:ascii="Times New Roman" w:hAnsi="Times New Roman"/>
                <w:sz w:val="18"/>
                <w:szCs w:val="18"/>
              </w:rPr>
            </w:pPr>
          </w:p>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Comparative cost consequences–cost of drugs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Comparative cost consequences–other medical costs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Comparative cost consequences–non-medical costs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restart"/>
            <w:shd w:val="clear" w:color="auto" w:fill="auto"/>
            <w:vAlign w:val="center"/>
          </w:tcPr>
          <w:p>
            <w:pPr>
              <w:pStyle w:val="16"/>
              <w:spacing w:line="240" w:lineRule="auto"/>
              <w:jc w:val="center"/>
              <w:rPr>
                <w:rFonts w:ascii="Times New Roman" w:hAnsi="Times New Roman" w:eastAsiaTheme="minorEastAsia"/>
                <w:b/>
                <w:bCs/>
                <w:color w:val="000000"/>
                <w:sz w:val="18"/>
                <w:szCs w:val="18"/>
              </w:rPr>
            </w:pPr>
            <w:r>
              <w:rPr>
                <w:rFonts w:ascii="Times New Roman" w:hAnsi="Times New Roman" w:eastAsiaTheme="minorEastAsia"/>
                <w:b/>
                <w:bCs/>
                <w:color w:val="000000"/>
                <w:sz w:val="18"/>
                <w:szCs w:val="18"/>
              </w:rPr>
              <w:t>Evidence about drugs</w:t>
            </w:r>
          </w:p>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Quality of evidence</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Expert consensus/clinical practice guidelines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trPr>
        <w:tc>
          <w:tcPr>
            <w:tcW w:w="5000" w:type="pct"/>
            <w:gridSpan w:val="3"/>
            <w:shd w:val="clear" w:color="auto" w:fill="FFFFFF" w:themeFill="background1"/>
            <w:vAlign w:val="center"/>
          </w:tcPr>
          <w:p>
            <w:pPr>
              <w:pStyle w:val="15"/>
              <w:jc w:val="center"/>
              <w:rPr>
                <w:rFonts w:ascii="Times New Roman" w:hAnsi="Times New Roman" w:cs="Times New Roman"/>
                <w:sz w:val="18"/>
                <w:szCs w:val="18"/>
                <w:lang w:val="en-GB"/>
              </w:rPr>
            </w:pPr>
            <w:r>
              <w:rPr>
                <w:rFonts w:ascii="Times New Roman" w:hAnsi="Times New Roman" w:cs="Times New Roman"/>
                <w:sz w:val="18"/>
                <w:szCs w:val="18"/>
                <w:lang w:val="en-GB"/>
              </w:rPr>
              <w:t>EVIDEM QUALITATIVE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restart"/>
            <w:shd w:val="clear" w:color="auto" w:fill="auto"/>
            <w:vAlign w:val="center"/>
          </w:tcPr>
          <w:p>
            <w:pPr>
              <w:pStyle w:val="16"/>
              <w:spacing w:line="240" w:lineRule="auto"/>
              <w:jc w:val="center"/>
              <w:rPr>
                <w:rFonts w:ascii="Times New Roman" w:hAnsi="Times New Roman" w:eastAsiaTheme="minorEastAsia"/>
                <w:b/>
                <w:bCs/>
                <w:color w:val="000000"/>
                <w:sz w:val="18"/>
                <w:szCs w:val="18"/>
              </w:rPr>
            </w:pPr>
          </w:p>
          <w:p>
            <w:pPr>
              <w:pStyle w:val="16"/>
              <w:spacing w:line="240" w:lineRule="auto"/>
              <w:jc w:val="center"/>
              <w:rPr>
                <w:rFonts w:ascii="Times New Roman" w:hAnsi="Times New Roman" w:eastAsiaTheme="minorEastAsia"/>
                <w:b/>
                <w:bCs/>
                <w:color w:val="000000"/>
                <w:sz w:val="18"/>
                <w:szCs w:val="18"/>
              </w:rPr>
            </w:pPr>
            <w:r>
              <w:rPr>
                <w:rFonts w:ascii="Times New Roman" w:hAnsi="Times New Roman" w:eastAsiaTheme="minorEastAsia"/>
                <w:b/>
                <w:bCs/>
                <w:color w:val="000000"/>
                <w:sz w:val="18"/>
                <w:szCs w:val="18"/>
              </w:rPr>
              <w:t>Normative contextual criteria</w:t>
            </w:r>
          </w:p>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Mandate and scope of the healthcare system</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Population priorities and access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center"/>
              <w:rPr>
                <w:rFonts w:ascii="Times New Roman" w:hAnsi="Times New Roman"/>
                <w:sz w:val="18"/>
                <w:szCs w:val="18"/>
              </w:rPr>
            </w:pPr>
          </w:p>
        </w:tc>
        <w:tc>
          <w:tcPr>
            <w:tcW w:w="2294" w:type="pct"/>
            <w:shd w:val="clear" w:color="auto" w:fill="auto"/>
          </w:tcPr>
          <w:p>
            <w:pPr>
              <w:pStyle w:val="16"/>
              <w:spacing w:line="240" w:lineRule="auto"/>
              <w:rPr>
                <w:rFonts w:ascii="Times New Roman" w:hAnsi="Times New Roman"/>
                <w:sz w:val="18"/>
                <w:szCs w:val="18"/>
              </w:rPr>
            </w:pPr>
            <w:r>
              <w:rPr>
                <w:rFonts w:ascii="Times New Roman" w:hAnsi="Times New Roman"/>
                <w:sz w:val="18"/>
                <w:szCs w:val="18"/>
              </w:rPr>
              <w:t>Common goal and specific interests</w:t>
            </w:r>
          </w:p>
        </w:tc>
        <w:tc>
          <w:tcPr>
            <w:tcW w:w="1022" w:type="pct"/>
            <w:shd w:val="clear" w:color="auto" w:fill="auto"/>
          </w:tcPr>
          <w:p>
            <w:pPr>
              <w:rPr>
                <w:rFonts w:ascii="Times New Roman" w:hAnsi="Times New Roman" w:cs="Times New Roman"/>
                <w:sz w:val="18"/>
                <w:szCs w:val="18"/>
                <w:lang w:val="en-GB"/>
              </w:rPr>
            </w:pPr>
            <w:r>
              <w:rPr>
                <w:rFonts w:ascii="Times New Roman" w:hAnsi="Times New Roman" w:cs="Times New Roman"/>
                <w:kern w:val="0"/>
                <w:sz w:val="18"/>
                <w:szCs w:val="18"/>
                <w:lang w:val="en-GB"/>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restart"/>
            <w:shd w:val="clear" w:color="auto" w:fill="auto"/>
            <w:vAlign w:val="center"/>
          </w:tcPr>
          <w:p>
            <w:pPr>
              <w:pStyle w:val="16"/>
              <w:spacing w:line="240" w:lineRule="auto"/>
              <w:jc w:val="center"/>
              <w:rPr>
                <w:rFonts w:ascii="Times New Roman" w:hAnsi="Times New Roman"/>
                <w:sz w:val="18"/>
                <w:szCs w:val="18"/>
              </w:rPr>
            </w:pPr>
          </w:p>
          <w:p>
            <w:pPr>
              <w:pStyle w:val="16"/>
              <w:spacing w:line="240" w:lineRule="auto"/>
              <w:jc w:val="center"/>
              <w:rPr>
                <w:rFonts w:ascii="Times New Roman" w:hAnsi="Times New Roman"/>
                <w:sz w:val="18"/>
                <w:szCs w:val="18"/>
              </w:rPr>
            </w:pPr>
            <w:r>
              <w:rPr>
                <w:rFonts w:ascii="Times New Roman" w:hAnsi="Times New Roman" w:eastAsiaTheme="minorEastAsia"/>
                <w:b/>
                <w:bCs/>
                <w:color w:val="000000"/>
                <w:sz w:val="18"/>
                <w:szCs w:val="18"/>
              </w:rPr>
              <w:t>Feasibility contextual criteria</w:t>
            </w:r>
          </w:p>
          <w:p>
            <w:pPr>
              <w:pStyle w:val="16"/>
              <w:spacing w:line="240" w:lineRule="auto"/>
              <w:jc w:val="center"/>
              <w:rPr>
                <w:rFonts w:ascii="Times New Roman" w:hAnsi="Times New Roman"/>
                <w:sz w:val="18"/>
                <w:szCs w:val="18"/>
              </w:rPr>
            </w:pPr>
          </w:p>
          <w:p>
            <w:pPr>
              <w:pStyle w:val="16"/>
              <w:spacing w:line="240" w:lineRule="auto"/>
              <w:jc w:val="center"/>
              <w:rPr>
                <w:rFonts w:ascii="Times New Roman" w:hAnsi="Times New Roman"/>
                <w:sz w:val="18"/>
                <w:szCs w:val="18"/>
              </w:rPr>
            </w:pPr>
          </w:p>
        </w:tc>
        <w:tc>
          <w:tcPr>
            <w:tcW w:w="2294" w:type="pct"/>
            <w:shd w:val="clear" w:color="auto" w:fill="auto"/>
            <w:vAlign w:val="center"/>
          </w:tcPr>
          <w:p>
            <w:pPr>
              <w:pStyle w:val="16"/>
              <w:spacing w:line="240" w:lineRule="auto"/>
              <w:rPr>
                <w:rFonts w:ascii="Times New Roman" w:hAnsi="Times New Roman"/>
                <w:sz w:val="18"/>
                <w:szCs w:val="18"/>
              </w:rPr>
            </w:pPr>
            <w:r>
              <w:rPr>
                <w:rFonts w:ascii="Times New Roman" w:hAnsi="Times New Roman"/>
                <w:sz w:val="18"/>
                <w:szCs w:val="18"/>
              </w:rPr>
              <w:t>System capacity and appropriate use of the intervention</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both"/>
              <w:rPr>
                <w:rFonts w:ascii="Times New Roman" w:hAnsi="Times New Roman"/>
                <w:sz w:val="18"/>
                <w:szCs w:val="18"/>
              </w:rPr>
            </w:pPr>
          </w:p>
        </w:tc>
        <w:tc>
          <w:tcPr>
            <w:tcW w:w="2294" w:type="pct"/>
            <w:shd w:val="clear" w:color="auto" w:fill="auto"/>
            <w:vAlign w:val="center"/>
          </w:tcPr>
          <w:p>
            <w:pPr>
              <w:pStyle w:val="16"/>
              <w:spacing w:line="240" w:lineRule="auto"/>
              <w:rPr>
                <w:rFonts w:ascii="Times New Roman" w:hAnsi="Times New Roman"/>
                <w:sz w:val="18"/>
                <w:szCs w:val="18"/>
              </w:rPr>
            </w:pPr>
            <w:r>
              <w:rPr>
                <w:rFonts w:ascii="Times New Roman" w:hAnsi="Times New Roman"/>
                <w:sz w:val="18"/>
                <w:szCs w:val="18"/>
              </w:rPr>
              <w:t>Government objectives and policy priorities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Stakeholder’s opinion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both"/>
              <w:rPr>
                <w:rFonts w:ascii="Times New Roman" w:hAnsi="Times New Roman"/>
                <w:sz w:val="18"/>
                <w:szCs w:val="18"/>
              </w:rPr>
            </w:pPr>
          </w:p>
        </w:tc>
        <w:tc>
          <w:tcPr>
            <w:tcW w:w="2294" w:type="pct"/>
            <w:shd w:val="clear" w:color="auto" w:fill="auto"/>
            <w:vAlign w:val="center"/>
          </w:tcPr>
          <w:p>
            <w:pPr>
              <w:pStyle w:val="16"/>
              <w:spacing w:line="240" w:lineRule="auto"/>
              <w:rPr>
                <w:rFonts w:ascii="Times New Roman" w:hAnsi="Times New Roman"/>
                <w:sz w:val="18"/>
                <w:szCs w:val="18"/>
              </w:rPr>
            </w:pPr>
            <w:r>
              <w:rPr>
                <w:rFonts w:ascii="Times New Roman" w:hAnsi="Times New Roman"/>
                <w:sz w:val="18"/>
                <w:szCs w:val="18"/>
              </w:rPr>
              <w:t>Aid program sustainability</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Stakeholder’s opinion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both"/>
              <w:rPr>
                <w:rFonts w:ascii="Times New Roman" w:hAnsi="Times New Roman"/>
                <w:sz w:val="18"/>
                <w:szCs w:val="18"/>
              </w:rPr>
            </w:pPr>
          </w:p>
        </w:tc>
        <w:tc>
          <w:tcPr>
            <w:tcW w:w="2294" w:type="pct"/>
            <w:shd w:val="clear" w:color="auto" w:fill="auto"/>
            <w:vAlign w:val="center"/>
          </w:tcPr>
          <w:p>
            <w:pPr>
              <w:pStyle w:val="16"/>
              <w:spacing w:line="240" w:lineRule="auto"/>
              <w:rPr>
                <w:rFonts w:ascii="Times New Roman" w:hAnsi="Times New Roman"/>
                <w:sz w:val="18"/>
                <w:szCs w:val="18"/>
              </w:rPr>
            </w:pPr>
            <w:r>
              <w:rPr>
                <w:rFonts w:ascii="Times New Roman" w:hAnsi="Times New Roman"/>
                <w:sz w:val="18"/>
                <w:szCs w:val="18"/>
              </w:rPr>
              <w:t>Technological innovation</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Stakeholder’s opinion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1683" w:type="pct"/>
            <w:vMerge w:val="continue"/>
            <w:shd w:val="clear" w:color="auto" w:fill="auto"/>
            <w:vAlign w:val="center"/>
          </w:tcPr>
          <w:p>
            <w:pPr>
              <w:pStyle w:val="16"/>
              <w:spacing w:line="240" w:lineRule="auto"/>
              <w:jc w:val="both"/>
              <w:rPr>
                <w:rFonts w:ascii="Times New Roman" w:hAnsi="Times New Roman"/>
                <w:sz w:val="18"/>
                <w:szCs w:val="18"/>
              </w:rPr>
            </w:pPr>
          </w:p>
        </w:tc>
        <w:tc>
          <w:tcPr>
            <w:tcW w:w="2294" w:type="pct"/>
            <w:shd w:val="clear" w:color="auto" w:fill="auto"/>
            <w:vAlign w:val="center"/>
          </w:tcPr>
          <w:p>
            <w:pPr>
              <w:pStyle w:val="16"/>
              <w:spacing w:line="240" w:lineRule="auto"/>
              <w:rPr>
                <w:rFonts w:ascii="Times New Roman" w:hAnsi="Times New Roman"/>
                <w:sz w:val="18"/>
                <w:szCs w:val="18"/>
              </w:rPr>
            </w:pPr>
            <w:r>
              <w:rPr>
                <w:rFonts w:ascii="Times New Roman" w:hAnsi="Times New Roman"/>
                <w:sz w:val="18"/>
                <w:szCs w:val="18"/>
              </w:rPr>
              <w:t>Affordability of medical insurance funds</w:t>
            </w:r>
          </w:p>
        </w:tc>
        <w:tc>
          <w:tcPr>
            <w:tcW w:w="1022" w:type="pct"/>
            <w:shd w:val="clear" w:color="auto" w:fill="auto"/>
          </w:tcPr>
          <w:p>
            <w:pPr>
              <w:pStyle w:val="16"/>
              <w:spacing w:line="240" w:lineRule="auto"/>
              <w:jc w:val="both"/>
              <w:rPr>
                <w:rFonts w:ascii="Times New Roman" w:hAnsi="Times New Roman"/>
                <w:sz w:val="18"/>
                <w:szCs w:val="18"/>
              </w:rPr>
            </w:pPr>
            <w:r>
              <w:rPr>
                <w:rFonts w:ascii="Times New Roman" w:hAnsi="Times New Roman"/>
                <w:sz w:val="18"/>
                <w:szCs w:val="18"/>
              </w:rPr>
              <w:t>EVIDEM framework</w:t>
            </w:r>
          </w:p>
        </w:tc>
      </w:tr>
    </w:tbl>
    <w:p>
      <w:pPr>
        <w:rPr>
          <w:rFonts w:ascii="Times New Roman" w:hAnsi="Times New Roman" w:cs="Times New Roman"/>
          <w:highlight w:val="green"/>
        </w:rPr>
      </w:pPr>
    </w:p>
    <w:p>
      <w:pPr>
        <w:jc w:val="left"/>
        <w:sectPr>
          <w:pgSz w:w="12240" w:h="15839"/>
          <w:pgMar w:top="1418" w:right="1418" w:bottom="1418" w:left="1418" w:header="851" w:footer="992" w:gutter="0"/>
          <w:cols w:space="425" w:num="1"/>
          <w:docGrid w:linePitch="312" w:charSpace="0"/>
        </w:sectPr>
      </w:pPr>
    </w:p>
    <w:p>
      <w:pPr>
        <w:spacing w:line="276" w:lineRule="auto"/>
        <w:rPr>
          <w:rFonts w:ascii="Times New Roman" w:hAnsi="Times New Roman" w:cs="Times New Roman"/>
          <w:szCs w:val="21"/>
        </w:rPr>
      </w:pPr>
      <w:r>
        <w:rPr>
          <w:rFonts w:ascii="Times New Roman" w:hAnsi="Times New Roman" w:cs="Times New Roman"/>
          <w:b/>
          <w:bCs/>
          <w:szCs w:val="21"/>
        </w:rPr>
        <w:t>Appendix Table 2：</w:t>
      </w:r>
      <w:r>
        <w:rPr>
          <w:rFonts w:ascii="Times New Roman" w:hAnsi="Times New Roman" w:cs="Times New Roman"/>
          <w:szCs w:val="21"/>
        </w:rPr>
        <w:t>Empirical data sources and search terms of three orphan drugs</w:t>
      </w:r>
      <w:bookmarkEnd w:id="2"/>
    </w:p>
    <w:bookmarkEnd w:id="3"/>
    <w:p>
      <w:pPr>
        <w:pStyle w:val="5"/>
        <w:rPr>
          <w:rFonts w:ascii="Times New Roman" w:hAnsi="Times New Roman" w:cs="Times New Roman"/>
        </w:rPr>
      </w:pPr>
      <w:bookmarkStart w:id="4" w:name="_Toc103172195"/>
      <w:bookmarkStart w:id="5" w:name="_Toc102116714"/>
      <w:bookmarkStart w:id="6" w:name="_Toc102692547"/>
      <w:r>
        <w:rPr>
          <w:rFonts w:ascii="Times New Roman" w:hAnsi="Times New Roman" w:cs="Times New Roman"/>
        </w:rPr>
        <w:t>Table 2.1 Dimethyl fumarate</w:t>
      </w:r>
      <w:bookmarkEnd w:id="4"/>
      <w:bookmarkEnd w:id="5"/>
      <w:bookmarkEnd w:id="6"/>
      <w:r>
        <w:rPr>
          <w:rFonts w:ascii="Times New Roman" w:hAnsi="Times New Roman" w:cs="Times New Roman"/>
        </w:rPr>
        <w:t xml:space="preserve"> data sources and search terms</w:t>
      </w:r>
    </w:p>
    <w:tbl>
      <w:tblPr>
        <w:tblStyle w:val="10"/>
        <w:tblW w:w="5088" w:type="pct"/>
        <w:tblInd w:w="0"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3"/>
        <w:gridCol w:w="1670"/>
        <w:gridCol w:w="6946"/>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 w:type="pct"/>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ascii="Times New Roman" w:hAnsi="Times New Roman" w:cs="Times New Roman"/>
              </w:rPr>
              <w:t>Dimension</w:t>
            </w:r>
          </w:p>
        </w:tc>
        <w:tc>
          <w:tcPr>
            <w:tcW w:w="945" w:type="pct"/>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ascii="Times New Roman" w:hAnsi="Times New Roman" w:cs="Times New Roman"/>
              </w:rPr>
              <w:t>Search terms</w:t>
            </w:r>
          </w:p>
        </w:tc>
        <w:tc>
          <w:tcPr>
            <w:tcW w:w="3640" w:type="pct"/>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hint="eastAsia" w:ascii="Times New Roman" w:hAnsi="Times New Roman" w:cs="Times New Roman"/>
              </w:rPr>
              <w:t>R</w:t>
            </w:r>
            <w:r>
              <w:rPr>
                <w:rFonts w:ascii="Times New Roman" w:hAnsi="Times New Roman" w:cs="Times New Roman"/>
              </w:rPr>
              <w:t>etrieve literature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000" w:type="pct"/>
            <w:gridSpan w:val="3"/>
            <w:tcBorders>
              <w:top w:val="single" w:color="auto" w:sz="18" w:space="0"/>
              <w:left w:val="nil"/>
              <w:bottom w:val="nil"/>
              <w:right w:val="nil"/>
            </w:tcBorders>
          </w:tcPr>
          <w:p>
            <w:pPr>
              <w:pStyle w:val="15"/>
              <w:rPr>
                <w:rFonts w:ascii="Times New Roman" w:hAnsi="Times New Roman" w:cs="Times New Roman"/>
              </w:rPr>
            </w:pPr>
            <w:bookmarkStart w:id="7" w:name="OLE_LINK4"/>
            <w:r>
              <w:rPr>
                <w:rFonts w:ascii="Times New Roman" w:hAnsi="Times New Roman" w:cs="Times New Roman"/>
              </w:rPr>
              <w:t>Effects on mortality, morbidity, and quality of life</w:t>
            </w:r>
            <w:bookmarkEnd w:id="7"/>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rPr>
            </w:pPr>
            <w:r>
              <w:rPr>
                <w:rFonts w:ascii="Times New Roman" w:hAnsi="Times New Roman"/>
              </w:rPr>
              <w:t>Mutiple sclerosis、severity</w:t>
            </w:r>
          </w:p>
        </w:tc>
        <w:tc>
          <w:tcPr>
            <w:tcW w:w="3640" w:type="pct"/>
            <w:tcBorders>
              <w:top w:val="nil"/>
              <w:left w:val="nil"/>
              <w:bottom w:val="nil"/>
              <w:right w:val="nil"/>
            </w:tcBorders>
          </w:tcPr>
          <w:p>
            <w:pPr>
              <w:pStyle w:val="16"/>
              <w:numPr>
                <w:ilvl w:val="0"/>
                <w:numId w:val="1"/>
              </w:numPr>
              <w:rPr>
                <w:rFonts w:ascii="Times New Roman" w:hAnsi="Times New Roman" w:eastAsia="Times New Roman"/>
              </w:rPr>
            </w:pPr>
            <w:r>
              <w:rPr>
                <w:rFonts w:ascii="Times New Roman" w:hAnsi="Times New Roman"/>
              </w:rPr>
              <w:t>Narapureddy B, Dubey D. Clinical evaluation of dimethyl fumarate for the treatment of relapsing-remitting multiple sclerosis: efficacy, safety, patient experience and adherence. Patient Prefer Adherence. 2019;13:1655-1666. Published 2019 Oct 1. doi:10.2147/PPA.S187529；</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Access to drugs for rare diseases: multiple sclerosis</w:t>
            </w:r>
            <w:r>
              <w:rPr>
                <w:rFonts w:ascii="Times New Roman" w:hAnsi="Times New Roman"/>
                <w:lang w:val="en-US"/>
              </w:rPr>
              <w:t>, 2020 China Rare Diseases Conference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rPr>
            </w:pPr>
            <w:r>
              <w:rPr>
                <w:rFonts w:ascii="Times New Roman" w:hAnsi="Times New Roman"/>
              </w:rPr>
              <w:t xml:space="preserve">Mutiple sclerosis、MS、patient reported outcome </w:t>
            </w:r>
          </w:p>
        </w:tc>
        <w:tc>
          <w:tcPr>
            <w:tcW w:w="3640" w:type="pct"/>
            <w:tcBorders>
              <w:top w:val="nil"/>
              <w:left w:val="nil"/>
              <w:bottom w:val="nil"/>
              <w:right w:val="nil"/>
            </w:tcBorders>
          </w:tcPr>
          <w:p>
            <w:pPr>
              <w:pStyle w:val="16"/>
              <w:numPr>
                <w:ilvl w:val="0"/>
                <w:numId w:val="2"/>
              </w:numPr>
              <w:rPr>
                <w:rFonts w:ascii="Times New Roman" w:hAnsi="Times New Roman" w:eastAsia="Times New Roman"/>
              </w:rPr>
            </w:pPr>
            <w:r>
              <w:rPr>
                <w:rFonts w:ascii="Times New Roman" w:hAnsi="Times New Roman"/>
              </w:rPr>
              <w:t>Ozel O, Vaughn CB, Eckert SP, Jakimovski D, Lizarraga AA, Weinstock-Guttman B. Dimethyl Fumarate in the Treatment of Relapsing-Remitting Multiple Sclerosis: Patient Reported Outcomes and Perspectives. Patient Relat Outcome Meas. 2019; 10:373-384. Published 2019 Dec 11. doi:10.2147/PROM.S168095</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Hersh CM, Love TE, Bandyopadhyay A, et al. Comparative efficacy and discontinuation of dimethyl fumarate and fingolimod in clinical practice at 24-month follow-up. Mult Scler J Exp Transl Clin. 2017;3（3）:2055217317715485. Published 2017 Aug 24. doi:10.1177/2055217317715485</w:t>
            </w:r>
          </w:p>
          <w:p>
            <w:pPr>
              <w:pStyle w:val="16"/>
              <w:rPr>
                <w:rFonts w:ascii="Times New Roman" w:hAnsi="Times New Roman"/>
              </w:rPr>
            </w:pP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bCs/>
                <w:lang w:val="en-CA"/>
              </w:rPr>
            </w:pPr>
            <w:r>
              <w:rPr>
                <w:rFonts w:ascii="Times New Roman" w:hAnsi="Times New Roman"/>
              </w:rPr>
              <w:t>Mutiple sclerosis、dimethyl fumarate、Quality of Life 、health-related quality of life</w:t>
            </w:r>
          </w:p>
        </w:tc>
        <w:tc>
          <w:tcPr>
            <w:tcW w:w="3640" w:type="pct"/>
            <w:tcBorders>
              <w:top w:val="nil"/>
              <w:left w:val="nil"/>
              <w:bottom w:val="nil"/>
              <w:right w:val="nil"/>
            </w:tcBorders>
          </w:tcPr>
          <w:p>
            <w:pPr>
              <w:pStyle w:val="16"/>
              <w:numPr>
                <w:ilvl w:val="0"/>
                <w:numId w:val="3"/>
              </w:numPr>
              <w:rPr>
                <w:rFonts w:ascii="Times New Roman" w:hAnsi="Times New Roman"/>
              </w:rPr>
            </w:pPr>
            <w:r>
              <w:rPr>
                <w:rFonts w:ascii="Times New Roman" w:hAnsi="Times New Roman"/>
              </w:rPr>
              <w:t xml:space="preserve">Viglietta V, Miller D, Bar-Or A, et al. Ann Clin Transl Neurol, 2015, 2（2）: 103-118; </w:t>
            </w:r>
          </w:p>
          <w:p>
            <w:pPr>
              <w:pStyle w:val="16"/>
              <w:rPr>
                <w:rFonts w:ascii="Times New Roman" w:hAnsi="Times New Roman"/>
              </w:rPr>
            </w:pPr>
            <w:r>
              <w:rPr>
                <w:rFonts w:ascii="Times New Roman" w:hAnsi="Times New Roman"/>
              </w:rPr>
              <w:t xml:space="preserve">Nakamura K et al. The 31st Annual Meeting of the Japanese Society for Neuroimmunology. 2019. Japan; </w:t>
            </w:r>
          </w:p>
          <w:p>
            <w:pPr>
              <w:pStyle w:val="16"/>
              <w:rPr>
                <w:rFonts w:ascii="Times New Roman" w:hAnsi="Times New Roman"/>
              </w:rPr>
            </w:pPr>
            <w:r>
              <w:rPr>
                <w:rFonts w:ascii="Times New Roman" w:hAnsi="Times New Roman"/>
              </w:rPr>
              <w:t>Miller D, et al. 28th ECTRIMS Congress, 10–13 October, 2012, Lyon, France</w:t>
            </w:r>
          </w:p>
          <w:p>
            <w:pPr>
              <w:pStyle w:val="16"/>
              <w:rPr>
                <w:rFonts w:ascii="Times New Roman" w:hAnsi="Times New Roman"/>
              </w:rPr>
            </w:pPr>
            <w:r>
              <w:rPr>
                <w:rFonts w:ascii="Times New Roman" w:hAnsi="Times New Roman"/>
              </w:rPr>
              <w:t>2. Kita M, Kappos L, Fox R, Gold R, Giovannoni G, Phillips JT, et al. Quality of Life in Patients With Relapsing-Remitting Multiple Sclerosis Treated With Delayed-Release Dimethyl Fumarate: A Three-Year Interim Analysis of ENDORSE （P7.236）. Neurology 2015 Apr 6;84（14 Supplement）.</w:t>
            </w:r>
          </w:p>
          <w:p>
            <w:pPr>
              <w:pStyle w:val="16"/>
              <w:rPr>
                <w:rFonts w:ascii="Times New Roman" w:hAnsi="Times New Roman"/>
              </w:rPr>
            </w:pPr>
            <w:r>
              <w:rPr>
                <w:rFonts w:ascii="Times New Roman" w:hAnsi="Times New Roman"/>
              </w:rPr>
              <w:t>3. Kita M, Fox RJ, Gold R, Giovannoni G, Phillips JT, Sarda SP, et al. Effects of delayed-release dimethyl fumarate （DMF） on health-related quality of life in patients with relapsing-remitting multiple sclerosis: an integrated analysis of the phase 3 DEFINE and CONFIRM studies. Clin Ther 2014 Dec 1;36（12）:1958-71.</w:t>
            </w:r>
          </w:p>
          <w:p>
            <w:pPr>
              <w:pStyle w:val="16"/>
              <w:rPr>
                <w:rFonts w:ascii="Times New Roman" w:hAnsi="Times New Roman"/>
              </w:rPr>
            </w:pP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000" w:type="pct"/>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Epidemiological data</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4"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i/>
              </w:rPr>
            </w:pPr>
            <w:bookmarkStart w:id="8" w:name="OLE_LINK3"/>
            <w:r>
              <w:rPr>
                <w:rFonts w:ascii="Times New Roman" w:hAnsi="Times New Roman"/>
              </w:rPr>
              <w:t>Mutiple sclerosis</w:t>
            </w:r>
            <w:bookmarkEnd w:id="8"/>
            <w:r>
              <w:rPr>
                <w:rFonts w:ascii="Times New Roman" w:hAnsi="Times New Roman"/>
              </w:rPr>
              <w:t>、epidemiology、dimethyl fumarate</w:t>
            </w:r>
          </w:p>
        </w:tc>
        <w:tc>
          <w:tcPr>
            <w:tcW w:w="3640" w:type="pct"/>
            <w:tcBorders>
              <w:top w:val="nil"/>
              <w:left w:val="nil"/>
              <w:bottom w:val="nil"/>
              <w:right w:val="nil"/>
            </w:tcBorders>
          </w:tcPr>
          <w:p>
            <w:pPr>
              <w:pStyle w:val="16"/>
              <w:rPr>
                <w:rFonts w:ascii="Times New Roman" w:hAnsi="Times New Roman"/>
                <w:i/>
                <w:lang w:val="en-CA"/>
              </w:rPr>
            </w:pPr>
            <w:r>
              <w:rPr>
                <w:rFonts w:ascii="Times New Roman" w:hAnsi="Times New Roman"/>
              </w:rPr>
              <w:t>Hersh CM, Love TE, Bandyopadhyay A, Cohn S, Hara-Cleaver C, Bermel RA, Fox RJ, Cohen JA, Ontaneda D. Comparative efficacy and discontinuation of dimethyl fumarate and fingolimod in clinical practice at 24-month follow-up. Mult Scler J Exp Transl Clin. 2017 Aug 24;3（3）:2055217317715485. doi: 10.1177/2055217317715485. PMID: 28890796; PMCID: PMC5574489.</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000" w:type="pct"/>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clinical guideline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lang w:val="en-US"/>
              </w:rPr>
            </w:pPr>
            <w:r>
              <w:rPr>
                <w:rFonts w:ascii="Times New Roman" w:hAnsi="Times New Roman"/>
              </w:rPr>
              <w:t>Mutiple sclerosis、</w:t>
            </w:r>
            <w:r>
              <w:rPr>
                <w:rFonts w:ascii="Times New Roman" w:hAnsi="Times New Roman"/>
                <w:lang w:val="en-US"/>
              </w:rPr>
              <w:t>guideline</w:t>
            </w:r>
          </w:p>
        </w:tc>
        <w:tc>
          <w:tcPr>
            <w:tcW w:w="3640" w:type="pct"/>
            <w:tcBorders>
              <w:top w:val="nil"/>
              <w:left w:val="nil"/>
              <w:bottom w:val="nil"/>
              <w:right w:val="nil"/>
            </w:tcBorders>
          </w:tcPr>
          <w:p>
            <w:pPr>
              <w:pStyle w:val="16"/>
              <w:rPr>
                <w:rFonts w:ascii="Times New Roman" w:hAnsi="Times New Roman"/>
              </w:rPr>
            </w:pPr>
            <w:r>
              <w:rPr>
                <w:rFonts w:ascii="Times New Roman" w:hAnsi="Times New Roman"/>
              </w:rPr>
              <w:t>Chinese expert consensus on diagnosis and treatment of multiple sclerosis (2018 edition)</w:t>
            </w:r>
            <w:r>
              <w:rPr>
                <w:rFonts w:ascii="Times New Roman" w:hAnsi="Times New Roman"/>
                <w:lang w:val="en-US"/>
              </w:rPr>
              <w:t xml:space="preserve"> </w:t>
            </w:r>
            <w:r>
              <w:rPr>
                <w:rFonts w:ascii="Times New Roman" w:hAnsi="Times New Roman"/>
              </w:rPr>
              <w:t>[J].Chinese Journal of Neuroimmunology and Neurology,</w:t>
            </w:r>
            <w:r>
              <w:rPr>
                <w:rFonts w:ascii="Times New Roman" w:hAnsi="Times New Roman"/>
                <w:lang w:val="en-US"/>
              </w:rPr>
              <w:t xml:space="preserve"> </w:t>
            </w:r>
            <w:r>
              <w:rPr>
                <w:rFonts w:ascii="Times New Roman" w:hAnsi="Times New Roman"/>
              </w:rPr>
              <w:t>2018,25（06）:387-394.</w:t>
            </w:r>
          </w:p>
          <w:p>
            <w:pPr>
              <w:pStyle w:val="16"/>
              <w:rPr>
                <w:rFonts w:ascii="Times New Roman" w:hAnsi="Times New Roman"/>
              </w:rPr>
            </w:pP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000" w:type="pct"/>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Current treatment and unmet need</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rPr>
            </w:pPr>
            <w:r>
              <w:rPr>
                <w:rFonts w:ascii="Times New Roman" w:hAnsi="Times New Roman"/>
              </w:rPr>
              <w:t>Mutiple sclerosis、dimethyl fumarate、clinical evaluation</w:t>
            </w:r>
          </w:p>
        </w:tc>
        <w:tc>
          <w:tcPr>
            <w:tcW w:w="3640" w:type="pct"/>
            <w:tcBorders>
              <w:top w:val="nil"/>
              <w:left w:val="nil"/>
              <w:bottom w:val="nil"/>
              <w:right w:val="nil"/>
            </w:tcBorders>
          </w:tcPr>
          <w:p>
            <w:pPr>
              <w:pStyle w:val="16"/>
              <w:rPr>
                <w:rFonts w:ascii="Times New Roman" w:hAnsi="Times New Roman"/>
              </w:rPr>
            </w:pPr>
            <w:r>
              <w:rPr>
                <w:rFonts w:ascii="Times New Roman" w:hAnsi="Times New Roman"/>
              </w:rPr>
              <w:t>1.（</w:t>
            </w:r>
            <w:r>
              <w:rPr>
                <w:rFonts w:ascii="Times New Roman" w:hAnsi="Times New Roman"/>
                <w:shd w:val="clear" w:color="auto" w:fill="FFFFFF"/>
              </w:rPr>
              <w:t>Narapureddy B, Dubey D. Clinical evaluation of dimethyl fumarate for the treatment of relapsing-remitting multiple sclerosis: efficacy, safety, patient experience and adherence. </w:t>
            </w:r>
            <w:r>
              <w:rPr>
                <w:rFonts w:ascii="Times New Roman" w:hAnsi="Times New Roman"/>
                <w:i/>
                <w:iCs/>
                <w:shd w:val="clear" w:color="auto" w:fill="FFFFFF"/>
              </w:rPr>
              <w:t>Patient Prefer Adherence</w:t>
            </w:r>
            <w:r>
              <w:rPr>
                <w:rFonts w:ascii="Times New Roman" w:hAnsi="Times New Roman"/>
                <w:shd w:val="clear" w:color="auto" w:fill="FFFFFF"/>
              </w:rPr>
              <w:t>. 2019;13:1655-1666. Published 2019 Oct 1. doi:10.2147/PPA.S187529</w:t>
            </w:r>
            <w:r>
              <w:rPr>
                <w:rFonts w:ascii="Times New Roman" w:hAnsi="Times New Roman"/>
              </w:rPr>
              <w:t xml:space="preserve"> ）</w:t>
            </w:r>
          </w:p>
          <w:p>
            <w:pPr>
              <w:pStyle w:val="16"/>
              <w:rPr>
                <w:rFonts w:ascii="Times New Roman" w:hAnsi="Times New Roman"/>
              </w:rPr>
            </w:pP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415" w:type="pct"/>
            <w:tcBorders>
              <w:top w:val="nil"/>
              <w:left w:val="nil"/>
              <w:bottom w:val="nil"/>
              <w:right w:val="nil"/>
            </w:tcBorders>
          </w:tcPr>
          <w:p>
            <w:pPr>
              <w:pStyle w:val="16"/>
              <w:rPr>
                <w:rFonts w:ascii="Times New Roman" w:hAnsi="Times New Roman"/>
              </w:rPr>
            </w:pPr>
          </w:p>
        </w:tc>
        <w:tc>
          <w:tcPr>
            <w:tcW w:w="945" w:type="pct"/>
            <w:tcBorders>
              <w:top w:val="nil"/>
              <w:left w:val="nil"/>
              <w:bottom w:val="nil"/>
              <w:right w:val="nil"/>
            </w:tcBorders>
          </w:tcPr>
          <w:p>
            <w:pPr>
              <w:pStyle w:val="16"/>
              <w:rPr>
                <w:rFonts w:ascii="Times New Roman" w:hAnsi="Times New Roman"/>
              </w:rPr>
            </w:pPr>
            <w:r>
              <w:rPr>
                <w:rFonts w:ascii="Times New Roman" w:hAnsi="Times New Roman"/>
              </w:rPr>
              <w:t>Enterprise provided data</w:t>
            </w:r>
          </w:p>
        </w:tc>
        <w:tc>
          <w:tcPr>
            <w:tcW w:w="3640" w:type="pct"/>
            <w:tcBorders>
              <w:top w:val="nil"/>
              <w:left w:val="nil"/>
              <w:bottom w:val="nil"/>
              <w:right w:val="nil"/>
            </w:tcBorders>
          </w:tcPr>
          <w:p>
            <w:pPr>
              <w:pStyle w:val="16"/>
              <w:numPr>
                <w:ilvl w:val="0"/>
                <w:numId w:val="4"/>
              </w:numPr>
              <w:rPr>
                <w:rFonts w:ascii="Times New Roman" w:hAnsi="Times New Roman"/>
              </w:rPr>
            </w:pPr>
            <w:r>
              <w:rPr>
                <w:rFonts w:ascii="Times New Roman" w:hAnsi="Times New Roman"/>
              </w:rPr>
              <w:t xml:space="preserve">Chinese expert consensus on diagnosis and treatment of multiple sclerosis (2018 edition) </w:t>
            </w:r>
          </w:p>
          <w:p>
            <w:pPr>
              <w:pStyle w:val="16"/>
              <w:rPr>
                <w:rFonts w:ascii="Times New Roman" w:hAnsi="Times New Roman"/>
                <w:i/>
                <w:lang w:val="en-CA"/>
              </w:rPr>
            </w:pPr>
            <w:r>
              <w:rPr>
                <w:rFonts w:ascii="Times New Roman" w:hAnsi="Times New Roman"/>
              </w:rPr>
              <w:t>3.</w:t>
            </w:r>
            <w:r>
              <w:rPr>
                <w:rFonts w:hint="eastAsia" w:ascii="Times New Roman" w:hAnsi="Times New Roman"/>
                <w:lang w:val="en-US"/>
              </w:rPr>
              <w:t xml:space="preserve"> </w:t>
            </w:r>
            <w:r>
              <w:rPr>
                <w:rFonts w:ascii="Times New Roman" w:hAnsi="Times New Roman"/>
              </w:rPr>
              <w:t>Barten LJ, et al. Drug Design, Development and Therapy 2010:4 343-366;</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000" w:type="pct"/>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The economic cost of disease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 w:type="pct"/>
            <w:tcBorders>
              <w:top w:val="nil"/>
              <w:left w:val="nil"/>
              <w:bottom w:val="single" w:color="auto" w:sz="18" w:space="0"/>
              <w:right w:val="nil"/>
            </w:tcBorders>
          </w:tcPr>
          <w:p>
            <w:pPr>
              <w:pStyle w:val="16"/>
              <w:rPr>
                <w:rFonts w:ascii="Times New Roman" w:hAnsi="Times New Roman"/>
              </w:rPr>
            </w:pPr>
          </w:p>
        </w:tc>
        <w:tc>
          <w:tcPr>
            <w:tcW w:w="945" w:type="pct"/>
            <w:tcBorders>
              <w:top w:val="nil"/>
              <w:left w:val="nil"/>
              <w:bottom w:val="single" w:color="auto" w:sz="18" w:space="0"/>
              <w:right w:val="nil"/>
            </w:tcBorders>
          </w:tcPr>
          <w:p>
            <w:pPr>
              <w:pStyle w:val="16"/>
              <w:rPr>
                <w:rFonts w:ascii="Times New Roman" w:hAnsi="Times New Roman"/>
                <w:lang w:val="en-CA"/>
              </w:rPr>
            </w:pPr>
            <w:r>
              <w:rPr>
                <w:rFonts w:ascii="Times New Roman" w:hAnsi="Times New Roman"/>
              </w:rPr>
              <w:t>Mutiple sclerosis、dimethyl fumarate、disease burden、cost</w:t>
            </w:r>
          </w:p>
        </w:tc>
        <w:tc>
          <w:tcPr>
            <w:tcW w:w="3640" w:type="pct"/>
            <w:tcBorders>
              <w:top w:val="nil"/>
              <w:left w:val="nil"/>
              <w:bottom w:val="single" w:color="auto" w:sz="18" w:space="0"/>
              <w:right w:val="nil"/>
            </w:tcBorders>
          </w:tcPr>
          <w:p>
            <w:pPr>
              <w:pStyle w:val="16"/>
              <w:numPr>
                <w:ilvl w:val="0"/>
                <w:numId w:val="5"/>
              </w:numPr>
              <w:rPr>
                <w:rFonts w:ascii="Times New Roman" w:hAnsi="Times New Roman"/>
              </w:rPr>
            </w:pPr>
            <w:r>
              <w:rPr>
                <w:rFonts w:ascii="Times New Roman" w:hAnsi="Times New Roman"/>
              </w:rPr>
              <w:t>Nicholas J, Boster A, Wu N, et al. Comparison of Disease-Modifying Therapies for the Management of Multiple Sclerosis: Analysis of Healthcare Resource Utilization and Relapse Rates from US Insurance Claims Data. Pharmacoecon Open. 2018;2（1）:31-41. doi:10.1007/s41669-017-0035-2</w:t>
            </w:r>
          </w:p>
          <w:p>
            <w:pPr>
              <w:pStyle w:val="16"/>
              <w:rPr>
                <w:rFonts w:ascii="Times New Roman" w:hAnsi="Times New Roman"/>
                <w:i/>
                <w:lang w:val="en-CA"/>
              </w:rPr>
            </w:pPr>
            <w:r>
              <w:rPr>
                <w:rFonts w:ascii="Times New Roman" w:hAnsi="Times New Roman"/>
              </w:rPr>
              <w:t>2.</w:t>
            </w:r>
            <w:r>
              <w:rPr>
                <w:rFonts w:hint="eastAsia" w:ascii="Times New Roman" w:hAnsi="Times New Roman"/>
                <w:lang w:val="en-US"/>
              </w:rPr>
              <w:t xml:space="preserve"> </w:t>
            </w:r>
            <w:r>
              <w:rPr>
                <w:rFonts w:ascii="Times New Roman" w:hAnsi="Times New Roman"/>
              </w:rPr>
              <w:t>Asadollahi M, Darvishi A, Azimi A, Annabi M, Jafariazar Z, Heshmat R. Estimation the medical cost of multiple sclerosis in Iran; 2019-2020. BMC Health Serv Res. 2022;22（1）:137. Published 2022 Feb 2. doi:10.1186/s12913-022-07551-z</w:t>
            </w:r>
          </w:p>
        </w:tc>
      </w:tr>
    </w:tbl>
    <w:p>
      <w:pPr>
        <w:ind w:firstLine="422"/>
        <w:rPr>
          <w:b/>
        </w:rPr>
      </w:pPr>
    </w:p>
    <w:p>
      <w:pPr>
        <w:pStyle w:val="5"/>
        <w:rPr>
          <w:rFonts w:ascii="Times New Roman" w:hAnsi="Times New Roman" w:cs="Times New Roman"/>
        </w:rPr>
      </w:pPr>
      <w:bookmarkStart w:id="9" w:name="OLE_LINK7"/>
      <w:bookmarkStart w:id="10" w:name="_Toc103172196"/>
      <w:bookmarkStart w:id="11" w:name="_Toc102116715"/>
      <w:bookmarkStart w:id="12" w:name="_Toc102692548"/>
      <w:r>
        <w:rPr>
          <w:rFonts w:ascii="Times New Roman" w:hAnsi="Times New Roman" w:cs="Times New Roman"/>
        </w:rPr>
        <w:t>Table 2.2</w:t>
      </w:r>
      <w:bookmarkEnd w:id="9"/>
      <w:r>
        <w:rPr>
          <w:rFonts w:ascii="Times New Roman" w:hAnsi="Times New Roman" w:cs="Times New Roman"/>
        </w:rPr>
        <w:t xml:space="preserve"> </w:t>
      </w:r>
      <w:bookmarkStart w:id="13" w:name="OLE_LINK6"/>
      <w:r>
        <w:rPr>
          <w:rFonts w:ascii="Times New Roman" w:hAnsi="Times New Roman" w:cs="Times New Roman"/>
        </w:rPr>
        <w:t>Laronidase</w:t>
      </w:r>
      <w:bookmarkEnd w:id="10"/>
      <w:bookmarkEnd w:id="11"/>
      <w:bookmarkEnd w:id="12"/>
      <w:bookmarkEnd w:id="13"/>
      <w:r>
        <w:rPr>
          <w:rFonts w:ascii="Times New Roman" w:hAnsi="Times New Roman" w:cs="Times New Roman"/>
        </w:rPr>
        <w:t xml:space="preserve"> </w:t>
      </w:r>
      <w:bookmarkStart w:id="14" w:name="OLE_LINK8"/>
      <w:r>
        <w:rPr>
          <w:rFonts w:ascii="Times New Roman" w:hAnsi="Times New Roman" w:cs="Times New Roman"/>
        </w:rPr>
        <w:t>data sources and search terms</w:t>
      </w:r>
      <w:bookmarkEnd w:id="14"/>
    </w:p>
    <w:tbl>
      <w:tblPr>
        <w:tblStyle w:val="10"/>
        <w:tblW w:w="4999" w:type="pct"/>
        <w:tblInd w:w="0"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28"/>
        <w:gridCol w:w="2728"/>
        <w:gridCol w:w="5562"/>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6" w:type="dxa"/>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ascii="Times New Roman" w:hAnsi="Times New Roman" w:cs="Times New Roman"/>
              </w:rPr>
              <w:t>Dimension</w:t>
            </w:r>
          </w:p>
        </w:tc>
        <w:tc>
          <w:tcPr>
            <w:tcW w:w="2406" w:type="dxa"/>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ascii="Times New Roman" w:hAnsi="Times New Roman" w:cs="Times New Roman"/>
              </w:rPr>
              <w:t>Search terms</w:t>
            </w:r>
          </w:p>
        </w:tc>
        <w:tc>
          <w:tcPr>
            <w:tcW w:w="4912" w:type="dxa"/>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hint="eastAsia" w:ascii="Times New Roman" w:hAnsi="Times New Roman" w:cs="Times New Roman"/>
              </w:rPr>
              <w:t>R</w:t>
            </w:r>
            <w:r>
              <w:rPr>
                <w:rFonts w:ascii="Times New Roman" w:hAnsi="Times New Roman" w:cs="Times New Roman"/>
              </w:rPr>
              <w:t>etrieve literature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4" w:type="dxa"/>
            <w:gridSpan w:val="3"/>
            <w:tcBorders>
              <w:top w:val="single" w:color="auto" w:sz="18" w:space="0"/>
              <w:left w:val="nil"/>
              <w:bottom w:val="nil"/>
              <w:right w:val="nil"/>
            </w:tcBorders>
          </w:tcPr>
          <w:p>
            <w:pPr>
              <w:pStyle w:val="15"/>
              <w:rPr>
                <w:rFonts w:ascii="Times New Roman" w:hAnsi="Times New Roman" w:cs="Times New Roman"/>
                <w:i/>
              </w:rPr>
            </w:pPr>
            <w:r>
              <w:rPr>
                <w:rFonts w:ascii="Times New Roman" w:hAnsi="Times New Roman" w:cs="Times New Roman"/>
              </w:rPr>
              <w:t>Effects on mortality, morbidity, and quality of life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1.</w:t>
            </w:r>
          </w:p>
        </w:tc>
        <w:tc>
          <w:tcPr>
            <w:tcW w:w="2406" w:type="dxa"/>
            <w:tcBorders>
              <w:top w:val="nil"/>
              <w:left w:val="nil"/>
              <w:bottom w:val="nil"/>
              <w:right w:val="nil"/>
            </w:tcBorders>
          </w:tcPr>
          <w:p>
            <w:pPr>
              <w:pStyle w:val="16"/>
              <w:rPr>
                <w:rFonts w:ascii="Times New Roman" w:hAnsi="Times New Roman"/>
              </w:rPr>
            </w:pPr>
            <w:r>
              <w:rPr>
                <w:rFonts w:ascii="Times New Roman" w:hAnsi="Times New Roman"/>
              </w:rPr>
              <w:t>mucopolysaccharidosis/ MPS、severity</w:t>
            </w:r>
          </w:p>
        </w:tc>
        <w:tc>
          <w:tcPr>
            <w:tcW w:w="4912" w:type="dxa"/>
            <w:tcBorders>
              <w:top w:val="nil"/>
              <w:left w:val="nil"/>
              <w:bottom w:val="nil"/>
              <w:right w:val="nil"/>
            </w:tcBorders>
          </w:tcPr>
          <w:p>
            <w:pPr>
              <w:pStyle w:val="16"/>
              <w:numPr>
                <w:ilvl w:val="0"/>
                <w:numId w:val="6"/>
              </w:numPr>
              <w:rPr>
                <w:rFonts w:ascii="Times New Roman" w:hAnsi="Times New Roman"/>
                <w:i/>
              </w:rPr>
            </w:pPr>
            <w:r>
              <w:rPr>
                <w:rFonts w:ascii="Times New Roman" w:hAnsi="Times New Roman"/>
              </w:rPr>
              <w:t>Clarke, L. A. （2002）. Mucopolysaccharidosis Type I. In M. P. Adam （Eds.） et. al., GeneReviews®. University of Washington, Seattle.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2.</w:t>
            </w:r>
          </w:p>
        </w:tc>
        <w:tc>
          <w:tcPr>
            <w:tcW w:w="2406" w:type="dxa"/>
            <w:tcBorders>
              <w:top w:val="nil"/>
              <w:left w:val="nil"/>
              <w:bottom w:val="nil"/>
              <w:right w:val="nil"/>
            </w:tcBorders>
          </w:tcPr>
          <w:p>
            <w:pPr>
              <w:pStyle w:val="16"/>
              <w:rPr>
                <w:rFonts w:ascii="Times New Roman" w:hAnsi="Times New Roman"/>
              </w:rPr>
            </w:pPr>
            <w:r>
              <w:rPr>
                <w:rFonts w:ascii="Times New Roman" w:hAnsi="Times New Roman"/>
              </w:rPr>
              <w:t>mucopolysaccharidosis/ MPS、patient reported outcome、Quality of Life 、health-related quality of life、utility</w:t>
            </w:r>
          </w:p>
        </w:tc>
        <w:tc>
          <w:tcPr>
            <w:tcW w:w="4912" w:type="dxa"/>
            <w:tcBorders>
              <w:top w:val="nil"/>
              <w:left w:val="nil"/>
              <w:bottom w:val="nil"/>
              <w:right w:val="nil"/>
            </w:tcBorders>
          </w:tcPr>
          <w:p>
            <w:pPr>
              <w:pStyle w:val="16"/>
              <w:numPr>
                <w:ilvl w:val="0"/>
                <w:numId w:val="7"/>
              </w:numPr>
              <w:rPr>
                <w:rFonts w:ascii="Times New Roman" w:hAnsi="Times New Roman"/>
              </w:rPr>
            </w:pPr>
            <w:r>
              <w:rPr>
                <w:rFonts w:ascii="Times New Roman" w:hAnsi="Times New Roman"/>
              </w:rPr>
              <w:t>P Wraith, J. E., Clarke, L. A., Beck, M., Kolodny, E. H., Pastores, G. M., Muenzer, J., ... &amp; Cox, G. F. （2004）. Enzyme replacement therapy for mucopolysaccharidosis I: a randomized, double-blinded, placebo-controlled, multinational study of recombinant human α-L-iduronidase （laronidase）. The Journal of pediatrics, 144（5）, 581-588</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 xml:space="preserve">Cox GF, et al. American Society of Human Genetics Meeting, Honolulu （HI, USA）. 2009. </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4" w:type="dxa"/>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Epidemiological data</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1.</w:t>
            </w:r>
          </w:p>
        </w:tc>
        <w:tc>
          <w:tcPr>
            <w:tcW w:w="2406" w:type="dxa"/>
            <w:tcBorders>
              <w:top w:val="nil"/>
              <w:left w:val="nil"/>
              <w:bottom w:val="nil"/>
              <w:right w:val="nil"/>
            </w:tcBorders>
          </w:tcPr>
          <w:p>
            <w:pPr>
              <w:pStyle w:val="16"/>
              <w:rPr>
                <w:rFonts w:ascii="Times New Roman" w:hAnsi="Times New Roman"/>
                <w:i/>
              </w:rPr>
            </w:pPr>
            <w:bookmarkStart w:id="15" w:name="OLE_LINK5"/>
            <w:r>
              <w:rPr>
                <w:rFonts w:ascii="Times New Roman" w:hAnsi="Times New Roman"/>
              </w:rPr>
              <w:t>Mucopolysaccharidosis</w:t>
            </w:r>
            <w:bookmarkEnd w:id="15"/>
            <w:r>
              <w:rPr>
                <w:rFonts w:ascii="Times New Roman" w:hAnsi="Times New Roman"/>
              </w:rPr>
              <w:t xml:space="preserve"> type I/ MPS I、epidemiology、review</w:t>
            </w:r>
          </w:p>
        </w:tc>
        <w:tc>
          <w:tcPr>
            <w:tcW w:w="4912" w:type="dxa"/>
            <w:tcBorders>
              <w:top w:val="nil"/>
              <w:left w:val="nil"/>
              <w:bottom w:val="nil"/>
              <w:right w:val="nil"/>
            </w:tcBorders>
          </w:tcPr>
          <w:p>
            <w:pPr>
              <w:pStyle w:val="16"/>
              <w:rPr>
                <w:rFonts w:ascii="Times New Roman" w:hAnsi="Times New Roman"/>
                <w:i/>
                <w:lang w:val="en-CA"/>
              </w:rPr>
            </w:pPr>
            <w:r>
              <w:rPr>
                <w:rFonts w:ascii="Times New Roman" w:hAnsi="Times New Roman"/>
              </w:rPr>
              <w:t>1.Clarke, L. A. （2002）. Mucopolysaccharidosis Type I. In M. P. Adam （Eds.） et. al., GeneReviews®. University of Washington, Seattle.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4" w:type="dxa"/>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clinical guideline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1.</w:t>
            </w:r>
          </w:p>
        </w:tc>
        <w:tc>
          <w:tcPr>
            <w:tcW w:w="2406" w:type="dxa"/>
            <w:tcBorders>
              <w:top w:val="nil"/>
              <w:left w:val="nil"/>
              <w:bottom w:val="nil"/>
              <w:right w:val="nil"/>
            </w:tcBorders>
          </w:tcPr>
          <w:p>
            <w:pPr>
              <w:pStyle w:val="16"/>
              <w:rPr>
                <w:rFonts w:ascii="Times New Roman" w:hAnsi="Times New Roman"/>
                <w:lang w:val="en-US"/>
              </w:rPr>
            </w:pPr>
            <w:r>
              <w:rPr>
                <w:rFonts w:ascii="Times New Roman" w:hAnsi="Times New Roman"/>
              </w:rPr>
              <w:t>Mucopolysaccharidosis、</w:t>
            </w:r>
            <w:r>
              <w:rPr>
                <w:rFonts w:ascii="Times New Roman" w:hAnsi="Times New Roman"/>
                <w:lang w:val="en-US"/>
              </w:rPr>
              <w:t>guideline</w:t>
            </w:r>
          </w:p>
        </w:tc>
        <w:tc>
          <w:tcPr>
            <w:tcW w:w="4912" w:type="dxa"/>
            <w:tcBorders>
              <w:top w:val="nil"/>
              <w:left w:val="nil"/>
              <w:bottom w:val="nil"/>
              <w:right w:val="nil"/>
            </w:tcBorders>
          </w:tcPr>
          <w:p>
            <w:pPr>
              <w:pStyle w:val="16"/>
              <w:numPr>
                <w:ilvl w:val="0"/>
                <w:numId w:val="8"/>
              </w:numPr>
              <w:rPr>
                <w:rFonts w:ascii="Times New Roman" w:hAnsi="Times New Roman"/>
              </w:rPr>
            </w:pPr>
            <w:r>
              <w:rPr>
                <w:rFonts w:ascii="Times New Roman" w:hAnsi="Times New Roman"/>
              </w:rPr>
              <w:t>Muenzer, J., Wraith, J. E., Clarke, L. A., &amp; International Consensus Panel on Management and Treatment of Mucopolysaccharidosis I （2009）. Mucopolysaccharidosis I: management and treatment guidelines. Pediatrics, 123（1）, 19–29. https://doi.org/10.1542/peds.2008-0416</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de Ru, M. H., Boelens, J. J., Das, A. M., Jones, S. A., van der Lee, J. H., Mahlaoui, N., Mengel, E., Offringa, M., O'Meara, A., Parini, R., Rovelli, A., Sykora, K. W., Valayannopoulos, V., Vellodi, A., Wynn, R. F., &amp; Wijburg, F. A. （2011）. Enzyme replacement therapy and/or hematopoietic stem cell transplantation at diagnosis in patients with mucopolysaccharidosis type I: results of a European consensus procedure. Orphanet journal of rare diseases, 6, 55. https://doi.org/10.1186/1750-1172-6-55</w:t>
            </w:r>
          </w:p>
          <w:p>
            <w:pPr>
              <w:pStyle w:val="16"/>
              <w:rPr>
                <w:rFonts w:ascii="Times New Roman" w:hAnsi="Times New Roman"/>
                <w:i/>
                <w:lang w:val="en-CA"/>
              </w:rPr>
            </w:pPr>
            <w:r>
              <w:rPr>
                <w:rFonts w:ascii="Times New Roman" w:hAnsi="Times New Roman"/>
              </w:rPr>
              <w:t>3.</w:t>
            </w:r>
            <w:r>
              <w:rPr>
                <w:rFonts w:hint="eastAsia" w:ascii="Times New Roman" w:hAnsi="Times New Roman"/>
                <w:lang w:val="en-US"/>
              </w:rPr>
              <w:t xml:space="preserve"> </w:t>
            </w:r>
            <w:r>
              <w:rPr>
                <w:rFonts w:ascii="Times New Roman" w:hAnsi="Times New Roman"/>
              </w:rPr>
              <w:t>Guidelines for the diagnosis and treatment of rare diseases</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2.</w:t>
            </w:r>
          </w:p>
        </w:tc>
        <w:tc>
          <w:tcPr>
            <w:tcW w:w="2406" w:type="dxa"/>
            <w:tcBorders>
              <w:top w:val="nil"/>
              <w:left w:val="nil"/>
              <w:bottom w:val="nil"/>
              <w:right w:val="nil"/>
            </w:tcBorders>
          </w:tcPr>
          <w:p>
            <w:pPr>
              <w:pStyle w:val="16"/>
              <w:rPr>
                <w:rFonts w:ascii="Times New Roman" w:hAnsi="Times New Roman"/>
              </w:rPr>
            </w:pPr>
            <w:r>
              <w:rPr>
                <w:rFonts w:ascii="Times New Roman" w:hAnsi="Times New Roman"/>
              </w:rPr>
              <w:t>Enterprise provided data</w:t>
            </w:r>
          </w:p>
        </w:tc>
        <w:tc>
          <w:tcPr>
            <w:tcW w:w="4912" w:type="dxa"/>
            <w:tcBorders>
              <w:top w:val="nil"/>
              <w:left w:val="nil"/>
              <w:bottom w:val="nil"/>
              <w:right w:val="nil"/>
            </w:tcBorders>
          </w:tcPr>
          <w:p>
            <w:pPr>
              <w:pStyle w:val="16"/>
              <w:rPr>
                <w:rFonts w:ascii="Times New Roman" w:hAnsi="Times New Roman"/>
              </w:rPr>
            </w:pP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4" w:type="dxa"/>
            <w:gridSpan w:val="3"/>
            <w:tcBorders>
              <w:top w:val="nil"/>
              <w:left w:val="nil"/>
              <w:bottom w:val="nil"/>
              <w:right w:val="nil"/>
            </w:tcBorders>
          </w:tcPr>
          <w:p>
            <w:pPr>
              <w:pStyle w:val="15"/>
              <w:rPr>
                <w:rFonts w:ascii="Times New Roman" w:hAnsi="Times New Roman" w:cs="Times New Roman"/>
                <w:i/>
              </w:rPr>
            </w:pPr>
            <w:r>
              <w:rPr>
                <w:rFonts w:ascii="Times New Roman" w:hAnsi="Times New Roman" w:cs="Times New Roman"/>
              </w:rPr>
              <w:t>Current treatment and unmet need</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1.</w:t>
            </w:r>
          </w:p>
        </w:tc>
        <w:tc>
          <w:tcPr>
            <w:tcW w:w="2406" w:type="dxa"/>
            <w:tcBorders>
              <w:top w:val="nil"/>
              <w:left w:val="nil"/>
              <w:bottom w:val="nil"/>
              <w:right w:val="nil"/>
            </w:tcBorders>
          </w:tcPr>
          <w:p>
            <w:pPr>
              <w:pStyle w:val="16"/>
              <w:rPr>
                <w:rFonts w:ascii="Times New Roman" w:hAnsi="Times New Roman"/>
              </w:rPr>
            </w:pPr>
            <w:r>
              <w:rPr>
                <w:rFonts w:ascii="Times New Roman" w:hAnsi="Times New Roman"/>
              </w:rPr>
              <w:t>Mucopolysaccharidosis type I/ MPS I、review、progress</w:t>
            </w:r>
          </w:p>
        </w:tc>
        <w:tc>
          <w:tcPr>
            <w:tcW w:w="4912" w:type="dxa"/>
            <w:tcBorders>
              <w:top w:val="nil"/>
              <w:left w:val="nil"/>
              <w:bottom w:val="nil"/>
              <w:right w:val="nil"/>
            </w:tcBorders>
          </w:tcPr>
          <w:p>
            <w:pPr>
              <w:pStyle w:val="16"/>
              <w:numPr>
                <w:ilvl w:val="0"/>
                <w:numId w:val="9"/>
              </w:numPr>
              <w:rPr>
                <w:rFonts w:ascii="Times New Roman" w:hAnsi="Times New Roman"/>
              </w:rPr>
            </w:pPr>
            <w:r>
              <w:rPr>
                <w:rFonts w:ascii="Times New Roman" w:hAnsi="Times New Roman"/>
              </w:rPr>
              <w:t>Clarke, L. A. （2002）. Mucopolysaccharidosis Type I. In M. P. Adam （Eds.） et. al., GeneReviews®. University of Washington, Seattle.</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 xml:space="preserve">Parini, R., Deodato, F., Di Rocco, M., Lanino, E., Locatelli, F., Messina, C., Rovelli, A., &amp; Scarpa, M. （2017）. Open issues in Mucopolysaccharidosis type I-Hurler. Orphanet journal of rare diseases, 12（1）, 112. </w:t>
            </w:r>
            <w:r>
              <w:fldChar w:fldCharType="begin"/>
            </w:r>
            <w:r>
              <w:instrText xml:space="preserve"> HYPERLINK "https://doi.org/10.1186/s13023-017-0662-9" </w:instrText>
            </w:r>
            <w:r>
              <w:fldChar w:fldCharType="separate"/>
            </w:r>
            <w:r>
              <w:rPr>
                <w:rStyle w:val="14"/>
                <w:rFonts w:ascii="Times New Roman" w:hAnsi="Times New Roman"/>
                <w:sz w:val="18"/>
                <w:szCs w:val="18"/>
              </w:rPr>
              <w:t>https://doi.org/10.1186/s13023-017-0662-9</w:t>
            </w:r>
            <w:r>
              <w:rPr>
                <w:rStyle w:val="14"/>
                <w:rFonts w:ascii="Times New Roman" w:hAnsi="Times New Roman"/>
                <w:sz w:val="18"/>
                <w:szCs w:val="18"/>
              </w:rPr>
              <w:fldChar w:fldCharType="end"/>
            </w:r>
          </w:p>
          <w:p>
            <w:pPr>
              <w:pStyle w:val="16"/>
              <w:rPr>
                <w:rFonts w:ascii="Times New Roman" w:hAnsi="Times New Roman"/>
              </w:rPr>
            </w:pPr>
            <w:r>
              <w:rPr>
                <w:rFonts w:ascii="Times New Roman" w:hAnsi="Times New Roman"/>
              </w:rPr>
              <w:t>3.</w:t>
            </w:r>
            <w:r>
              <w:rPr>
                <w:rFonts w:hint="eastAsia" w:ascii="Times New Roman" w:hAnsi="Times New Roman"/>
                <w:lang w:val="en-US"/>
              </w:rPr>
              <w:t xml:space="preserve"> </w:t>
            </w:r>
            <w:r>
              <w:rPr>
                <w:rFonts w:ascii="Times New Roman" w:hAnsi="Times New Roman"/>
              </w:rPr>
              <w:t>P Wraith, J. E., Clarke, L. A., Beck, M., Kolodny, E. H., Pastores, G. M., Muenzer, J., ... &amp; Cox, G. F. （2004）. Enzyme replacement therapy for mucopolysaccharidosis I: a randomized, double-blinded, placebo-controlled, multinational study of recombinant human α-L-iduronidase （laronidase）. The Journal of pediatrics, 144（5）, 581-588</w:t>
            </w:r>
          </w:p>
          <w:p>
            <w:pPr>
              <w:pStyle w:val="16"/>
              <w:rPr>
                <w:rFonts w:ascii="Times New Roman" w:hAnsi="Times New Roman"/>
              </w:rPr>
            </w:pPr>
            <w:r>
              <w:rPr>
                <w:rFonts w:ascii="Times New Roman" w:hAnsi="Times New Roman"/>
              </w:rPr>
              <w:t>4.</w:t>
            </w:r>
            <w:r>
              <w:rPr>
                <w:rFonts w:hint="eastAsia" w:ascii="Times New Roman" w:hAnsi="Times New Roman"/>
                <w:lang w:val="en-US"/>
              </w:rPr>
              <w:t xml:space="preserve"> </w:t>
            </w:r>
            <w:r>
              <w:rPr>
                <w:rFonts w:ascii="Times New Roman" w:hAnsi="Times New Roman"/>
              </w:rPr>
              <w:t>Xue, Y., Richards, S. M., Mahmood, A., &amp; Cox, G. F. （2016）. Effect of anti-laronidase antibodies on efficacy and safety of laronidase enzyme replacement therapy for MPS I: A comprehensive meta-analysis of pooled data from multiple studies. Molecular genetics and metabolism, 117（4）, 419-426.</w:t>
            </w:r>
          </w:p>
          <w:p>
            <w:pPr>
              <w:pStyle w:val="16"/>
              <w:rPr>
                <w:rFonts w:ascii="Times New Roman" w:hAnsi="Times New Roman"/>
              </w:rPr>
            </w:pPr>
            <w:r>
              <w:rPr>
                <w:rFonts w:ascii="Times New Roman" w:hAnsi="Times New Roman"/>
              </w:rPr>
              <w:t>5.</w:t>
            </w:r>
            <w:r>
              <w:rPr>
                <w:rFonts w:hint="eastAsia" w:ascii="Times New Roman" w:hAnsi="Times New Roman"/>
                <w:lang w:val="en-US"/>
              </w:rPr>
              <w:t xml:space="preserve"> </w:t>
            </w:r>
            <w:r>
              <w:rPr>
                <w:rFonts w:ascii="Times New Roman" w:hAnsi="Times New Roman"/>
              </w:rPr>
              <w:t>Instruction manual</w:t>
            </w:r>
            <w:r>
              <w:rPr>
                <w:rFonts w:ascii="Times New Roman" w:hAnsi="Times New Roman"/>
                <w:lang w:val="en-US"/>
              </w:rPr>
              <w:t xml:space="preserve"> of Laronidase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6" w:type="dxa"/>
            <w:tcBorders>
              <w:top w:val="nil"/>
              <w:left w:val="nil"/>
              <w:bottom w:val="nil"/>
              <w:right w:val="nil"/>
            </w:tcBorders>
          </w:tcPr>
          <w:p>
            <w:pPr>
              <w:pStyle w:val="16"/>
              <w:rPr>
                <w:rFonts w:ascii="Times New Roman" w:hAnsi="Times New Roman"/>
              </w:rPr>
            </w:pPr>
            <w:r>
              <w:rPr>
                <w:rFonts w:ascii="Times New Roman" w:hAnsi="Times New Roman"/>
              </w:rPr>
              <w:t>2.</w:t>
            </w:r>
          </w:p>
        </w:tc>
        <w:tc>
          <w:tcPr>
            <w:tcW w:w="2406" w:type="dxa"/>
            <w:tcBorders>
              <w:top w:val="nil"/>
              <w:left w:val="nil"/>
              <w:bottom w:val="nil"/>
              <w:right w:val="nil"/>
            </w:tcBorders>
          </w:tcPr>
          <w:p>
            <w:pPr>
              <w:pStyle w:val="16"/>
              <w:rPr>
                <w:rFonts w:ascii="Times New Roman" w:hAnsi="Times New Roman"/>
              </w:rPr>
            </w:pPr>
            <w:r>
              <w:rPr>
                <w:rFonts w:ascii="Times New Roman" w:hAnsi="Times New Roman"/>
              </w:rPr>
              <w:t>Enterprise provided data</w:t>
            </w:r>
          </w:p>
        </w:tc>
        <w:tc>
          <w:tcPr>
            <w:tcW w:w="4912" w:type="dxa"/>
            <w:tcBorders>
              <w:top w:val="nil"/>
              <w:left w:val="nil"/>
              <w:bottom w:val="nil"/>
              <w:right w:val="nil"/>
            </w:tcBorders>
          </w:tcPr>
          <w:p>
            <w:pPr>
              <w:pStyle w:val="16"/>
              <w:rPr>
                <w:rFonts w:ascii="Times New Roman" w:hAnsi="Times New Roman"/>
              </w:rPr>
            </w:pP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4" w:type="dxa"/>
            <w:gridSpan w:val="3"/>
            <w:tcBorders>
              <w:top w:val="nil"/>
              <w:left w:val="nil"/>
              <w:bottom w:val="nil"/>
              <w:right w:val="nil"/>
            </w:tcBorders>
          </w:tcPr>
          <w:p>
            <w:pPr>
              <w:pStyle w:val="15"/>
              <w:rPr>
                <w:rFonts w:ascii="Times New Roman" w:hAnsi="Times New Roman" w:cs="Times New Roman"/>
                <w:i/>
              </w:rPr>
            </w:pPr>
            <w:bookmarkStart w:id="16" w:name="OLE_LINK11"/>
            <w:r>
              <w:rPr>
                <w:rFonts w:ascii="Times New Roman" w:hAnsi="Times New Roman" w:cs="Times New Roman"/>
              </w:rPr>
              <w:t>The economic cost of disease</w:t>
            </w:r>
            <w:bookmarkEnd w:id="16"/>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6" w:type="dxa"/>
            <w:tcBorders>
              <w:top w:val="nil"/>
              <w:left w:val="nil"/>
              <w:bottom w:val="single" w:color="auto" w:sz="18" w:space="0"/>
              <w:right w:val="nil"/>
            </w:tcBorders>
          </w:tcPr>
          <w:p>
            <w:pPr>
              <w:pStyle w:val="16"/>
              <w:rPr>
                <w:rFonts w:ascii="Times New Roman" w:hAnsi="Times New Roman"/>
              </w:rPr>
            </w:pPr>
            <w:r>
              <w:rPr>
                <w:rFonts w:ascii="Times New Roman" w:hAnsi="Times New Roman"/>
              </w:rPr>
              <w:t>1.</w:t>
            </w:r>
          </w:p>
        </w:tc>
        <w:tc>
          <w:tcPr>
            <w:tcW w:w="2406" w:type="dxa"/>
            <w:tcBorders>
              <w:top w:val="nil"/>
              <w:left w:val="nil"/>
              <w:bottom w:val="single" w:color="auto" w:sz="18" w:space="0"/>
              <w:right w:val="nil"/>
            </w:tcBorders>
          </w:tcPr>
          <w:p>
            <w:pPr>
              <w:pStyle w:val="16"/>
              <w:rPr>
                <w:rFonts w:ascii="Times New Roman" w:hAnsi="Times New Roman"/>
                <w:lang w:val="en-CA"/>
              </w:rPr>
            </w:pPr>
            <w:r>
              <w:rPr>
                <w:rFonts w:ascii="Times New Roman" w:hAnsi="Times New Roman"/>
              </w:rPr>
              <w:t>Mucopolysaccharidosis type I/ MPS I disease burden、cost</w:t>
            </w:r>
          </w:p>
        </w:tc>
        <w:tc>
          <w:tcPr>
            <w:tcW w:w="4912" w:type="dxa"/>
            <w:tcBorders>
              <w:top w:val="nil"/>
              <w:left w:val="nil"/>
              <w:bottom w:val="single" w:color="auto" w:sz="18" w:space="0"/>
              <w:right w:val="nil"/>
            </w:tcBorders>
          </w:tcPr>
          <w:p>
            <w:pPr>
              <w:pStyle w:val="16"/>
              <w:rPr>
                <w:rFonts w:ascii="Times New Roman" w:hAnsi="Times New Roman"/>
                <w:i/>
                <w:lang w:val="en-CA"/>
              </w:rPr>
            </w:pPr>
            <w:r>
              <w:rPr>
                <w:rFonts w:ascii="Times New Roman" w:hAnsi="Times New Roman"/>
                <w:iCs/>
                <w:lang w:val="en-CA"/>
              </w:rPr>
              <w:t xml:space="preserve">Price data </w:t>
            </w:r>
            <w:r>
              <w:rPr>
                <w:rFonts w:ascii="Times New Roman" w:hAnsi="Times New Roman"/>
                <w:iCs/>
                <w:lang w:val="en-US"/>
              </w:rPr>
              <w:t>from</w:t>
            </w:r>
            <w:r>
              <w:rPr>
                <w:rFonts w:ascii="Times New Roman" w:hAnsi="Times New Roman"/>
                <w:iCs/>
                <w:lang w:val="en-CA"/>
              </w:rPr>
              <w:t xml:space="preserve"> Class III Grade A hospitals</w:t>
            </w:r>
          </w:p>
        </w:tc>
      </w:tr>
    </w:tbl>
    <w:p>
      <w:pPr>
        <w:pStyle w:val="7"/>
        <w:pBdr>
          <w:top w:val="none" w:color="auto" w:sz="0" w:space="0"/>
          <w:left w:val="none" w:color="auto" w:sz="0" w:space="0"/>
          <w:bottom w:val="none" w:color="auto" w:sz="0" w:space="0"/>
          <w:right w:val="none" w:color="auto" w:sz="0" w:space="0"/>
        </w:pBdr>
        <w:tabs>
          <w:tab w:val="left" w:pos="420"/>
        </w:tabs>
        <w:ind w:firstLine="361"/>
        <w:rPr>
          <w:rFonts w:eastAsia="Times New Roman"/>
          <w:b/>
          <w:szCs w:val="18"/>
        </w:rPr>
      </w:pPr>
    </w:p>
    <w:p>
      <w:pPr>
        <w:pStyle w:val="5"/>
        <w:rPr>
          <w:rFonts w:ascii="Times New Roman" w:hAnsi="Times New Roman" w:cs="Times New Roman"/>
        </w:rPr>
      </w:pPr>
      <w:bookmarkStart w:id="17" w:name="_Toc103172197"/>
      <w:bookmarkStart w:id="18" w:name="_Toc102116716"/>
      <w:bookmarkStart w:id="19" w:name="_Toc102692549"/>
      <w:r>
        <w:rPr>
          <w:rFonts w:ascii="Times New Roman" w:hAnsi="Times New Roman" w:cs="Times New Roman"/>
        </w:rPr>
        <w:t xml:space="preserve">Table 2.3 </w:t>
      </w:r>
      <w:bookmarkStart w:id="20" w:name="OLE_LINK9"/>
      <w:r>
        <w:rPr>
          <w:rFonts w:ascii="Times New Roman" w:hAnsi="Times New Roman" w:cs="Times New Roman"/>
        </w:rPr>
        <w:t>Emicizumab</w:t>
      </w:r>
      <w:bookmarkEnd w:id="17"/>
      <w:bookmarkEnd w:id="18"/>
      <w:bookmarkEnd w:id="19"/>
      <w:bookmarkEnd w:id="20"/>
      <w:r>
        <w:rPr>
          <w:rFonts w:ascii="Times New Roman" w:hAnsi="Times New Roman" w:cs="Times New Roman"/>
        </w:rPr>
        <w:t xml:space="preserve"> data sources and search terms</w:t>
      </w:r>
    </w:p>
    <w:tbl>
      <w:tblPr>
        <w:tblStyle w:val="10"/>
        <w:tblW w:w="5000" w:type="pct"/>
        <w:tblInd w:w="0"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68"/>
        <w:gridCol w:w="1618"/>
        <w:gridCol w:w="6634"/>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9" w:type="dxa"/>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ascii="Times New Roman" w:hAnsi="Times New Roman" w:cs="Times New Roman"/>
              </w:rPr>
              <w:t>Dimension</w:t>
            </w:r>
          </w:p>
        </w:tc>
        <w:tc>
          <w:tcPr>
            <w:tcW w:w="1419" w:type="dxa"/>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ascii="Times New Roman" w:hAnsi="Times New Roman" w:cs="Times New Roman"/>
              </w:rPr>
              <w:t>Search terms</w:t>
            </w:r>
          </w:p>
        </w:tc>
        <w:tc>
          <w:tcPr>
            <w:tcW w:w="5817" w:type="dxa"/>
            <w:tcBorders>
              <w:top w:val="single" w:color="auto" w:sz="18" w:space="0"/>
              <w:left w:val="nil"/>
              <w:bottom w:val="single" w:color="auto" w:sz="18" w:space="0"/>
              <w:right w:val="nil"/>
            </w:tcBorders>
            <w:shd w:val="clear" w:color="auto" w:fill="FFFFFF" w:themeFill="background1"/>
          </w:tcPr>
          <w:p>
            <w:pPr>
              <w:pStyle w:val="15"/>
              <w:rPr>
                <w:rFonts w:ascii="Times New Roman" w:hAnsi="Times New Roman" w:cs="Times New Roman"/>
              </w:rPr>
            </w:pPr>
            <w:r>
              <w:rPr>
                <w:rFonts w:hint="eastAsia" w:ascii="Times New Roman" w:hAnsi="Times New Roman" w:cs="Times New Roman"/>
              </w:rPr>
              <w:t>R</w:t>
            </w:r>
            <w:r>
              <w:rPr>
                <w:rFonts w:ascii="Times New Roman" w:hAnsi="Times New Roman" w:cs="Times New Roman"/>
              </w:rPr>
              <w:t>etrieve literature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5" w:type="dxa"/>
            <w:gridSpan w:val="3"/>
            <w:tcBorders>
              <w:top w:val="single" w:color="auto" w:sz="18" w:space="0"/>
              <w:left w:val="nil"/>
              <w:bottom w:val="nil"/>
              <w:right w:val="nil"/>
            </w:tcBorders>
          </w:tcPr>
          <w:p>
            <w:pPr>
              <w:pStyle w:val="15"/>
              <w:rPr>
                <w:rFonts w:ascii="Times New Roman" w:hAnsi="Times New Roman" w:cs="Times New Roman"/>
              </w:rPr>
            </w:pPr>
            <w:bookmarkStart w:id="21" w:name="OLE_LINK15"/>
            <w:r>
              <w:rPr>
                <w:rFonts w:hint="eastAsia" w:ascii="Times New Roman" w:hAnsi="Times New Roman" w:cs="Times New Roman"/>
              </w:rPr>
              <w:t>Need for drugs</w:t>
            </w:r>
            <w:bookmarkEnd w:id="21"/>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rPr>
            </w:pPr>
            <w:r>
              <w:rPr>
                <w:rFonts w:ascii="Times New Roman" w:hAnsi="Times New Roman"/>
              </w:rPr>
              <w:t>Life expectancy、hemophilia</w:t>
            </w:r>
          </w:p>
        </w:tc>
        <w:tc>
          <w:tcPr>
            <w:tcW w:w="5817" w:type="dxa"/>
            <w:tcBorders>
              <w:top w:val="nil"/>
              <w:left w:val="nil"/>
              <w:bottom w:val="nil"/>
              <w:right w:val="nil"/>
            </w:tcBorders>
          </w:tcPr>
          <w:p>
            <w:pPr>
              <w:pStyle w:val="16"/>
              <w:numPr>
                <w:ilvl w:val="0"/>
                <w:numId w:val="10"/>
              </w:numPr>
              <w:rPr>
                <w:rFonts w:ascii="Times New Roman" w:hAnsi="Times New Roman"/>
                <w:lang w:val="en-CA" w:eastAsia="en-US"/>
              </w:rPr>
            </w:pPr>
            <w:r>
              <w:rPr>
                <w:rFonts w:ascii="Times New Roman" w:hAnsi="Times New Roman"/>
              </w:rPr>
              <w:t>Alam, Arafat Ul, et al. "All‐cause mortality and causes of death in persons with haemophilia: A systematic review and meta‐analysis." Haemophilia 27.6 （2021）: 897-910.</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rPr>
            </w:pPr>
            <w:r>
              <w:rPr>
                <w:rFonts w:ascii="Times New Roman" w:hAnsi="Times New Roman"/>
              </w:rPr>
              <w:t>Patient quality of life、hemophilia</w:t>
            </w:r>
          </w:p>
        </w:tc>
        <w:tc>
          <w:tcPr>
            <w:tcW w:w="5817" w:type="dxa"/>
            <w:tcBorders>
              <w:top w:val="nil"/>
              <w:left w:val="nil"/>
              <w:bottom w:val="nil"/>
              <w:right w:val="nil"/>
            </w:tcBorders>
          </w:tcPr>
          <w:p>
            <w:pPr>
              <w:pStyle w:val="16"/>
              <w:numPr>
                <w:ilvl w:val="0"/>
                <w:numId w:val="11"/>
              </w:numPr>
              <w:rPr>
                <w:rFonts w:ascii="Times New Roman" w:hAnsi="Times New Roman"/>
              </w:rPr>
            </w:pPr>
            <w:r>
              <w:rPr>
                <w:rFonts w:ascii="Times New Roman" w:hAnsi="Times New Roman"/>
              </w:rPr>
              <w:t>Disturbance and coping behaviors of adult hemophiliacs with disease, body image change</w:t>
            </w:r>
          </w:p>
          <w:p>
            <w:pPr>
              <w:pStyle w:val="16"/>
              <w:rPr>
                <w:rFonts w:ascii="Times New Roman" w:hAnsi="Times New Roman"/>
                <w:lang w:eastAsia="en-US"/>
              </w:rPr>
            </w:pPr>
            <w:r>
              <w:rPr>
                <w:rFonts w:ascii="Times New Roman" w:hAnsi="Times New Roman"/>
                <w:lang w:eastAsia="en-US"/>
              </w:rPr>
              <w:t>2.</w:t>
            </w:r>
            <w:r>
              <w:rPr>
                <w:rFonts w:ascii="Times New Roman" w:hAnsi="Times New Roman"/>
              </w:rPr>
              <w:t xml:space="preserve"> </w:t>
            </w:r>
            <w:r>
              <w:rPr>
                <w:rFonts w:ascii="Times New Roman" w:hAnsi="Times New Roman"/>
                <w:lang w:eastAsia="en-US"/>
              </w:rPr>
              <w:t>Allen, Karen Neuman, and Ellen Kachalsky. "Aging with hemophilia: Implications for social work practice." Social work in health care 49.4 （2010）: 327-344.</w:t>
            </w:r>
          </w:p>
          <w:p>
            <w:pPr>
              <w:pStyle w:val="16"/>
              <w:rPr>
                <w:rFonts w:ascii="Times New Roman" w:hAnsi="Times New Roman"/>
              </w:rPr>
            </w:pPr>
            <w:r>
              <w:rPr>
                <w:rFonts w:ascii="Times New Roman" w:hAnsi="Times New Roman"/>
                <w:lang w:val="en-US"/>
              </w:rPr>
              <w:t>3.</w:t>
            </w:r>
            <w:r>
              <w:rPr>
                <w:rFonts w:hint="eastAsia" w:ascii="Times New Roman" w:hAnsi="Times New Roman"/>
                <w:lang w:val="en-US"/>
              </w:rPr>
              <w:t xml:space="preserve"> </w:t>
            </w:r>
            <w:r>
              <w:rPr>
                <w:rFonts w:ascii="Times New Roman" w:hAnsi="Times New Roman"/>
              </w:rPr>
              <w:t>Experience of hemophiliacs and AIDS in Taiwan</w:t>
            </w:r>
          </w:p>
          <w:p>
            <w:pPr>
              <w:pStyle w:val="16"/>
              <w:rPr>
                <w:rFonts w:ascii="Times New Roman" w:hAnsi="Times New Roman"/>
              </w:rPr>
            </w:pPr>
            <w:r>
              <w:rPr>
                <w:rFonts w:ascii="Times New Roman" w:hAnsi="Times New Roman"/>
              </w:rPr>
              <w:t>4.</w:t>
            </w:r>
            <w:r>
              <w:rPr>
                <w:rFonts w:hint="eastAsia" w:ascii="Times New Roman" w:hAnsi="Times New Roman"/>
                <w:lang w:val="en-US"/>
              </w:rPr>
              <w:t xml:space="preserve"> </w:t>
            </w:r>
            <w:r>
              <w:rPr>
                <w:rFonts w:ascii="Times New Roman" w:hAnsi="Times New Roman"/>
              </w:rPr>
              <w:t xml:space="preserve">Long-term management of hemophilia, how to "reduce the burden" for patients? _ Tencent News </w:t>
            </w:r>
            <w:r>
              <w:rPr>
                <w:rFonts w:ascii="Times New Roman" w:hAnsi="Times New Roman"/>
                <w:lang w:val="en-US"/>
              </w:rPr>
              <w:t>(</w:t>
            </w:r>
            <w:r>
              <w:rPr>
                <w:rFonts w:ascii="Times New Roman" w:hAnsi="Times New Roman"/>
              </w:rPr>
              <w:t>qq.com</w:t>
            </w:r>
            <w:r>
              <w:rPr>
                <w:rFonts w:ascii="Times New Roman" w:hAnsi="Times New Roman"/>
                <w:lang w:val="en-US"/>
              </w:rPr>
              <w:t>)</w:t>
            </w:r>
            <w:r>
              <w:rPr>
                <w:rFonts w:ascii="Times New Roman" w:hAnsi="Times New Roman"/>
              </w:rPr>
              <w:t xml:space="preserve"> https://new.qq.com/omn/20200930/20200930A0H57N00.html</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rPr>
            </w:pPr>
            <w:r>
              <w:rPr>
                <w:rFonts w:ascii="Times New Roman" w:hAnsi="Times New Roman"/>
              </w:rPr>
              <w:t>Family members、 hemophilia</w:t>
            </w:r>
          </w:p>
        </w:tc>
        <w:tc>
          <w:tcPr>
            <w:tcW w:w="5817" w:type="dxa"/>
            <w:tcBorders>
              <w:top w:val="nil"/>
              <w:left w:val="nil"/>
              <w:bottom w:val="nil"/>
              <w:right w:val="nil"/>
            </w:tcBorders>
          </w:tcPr>
          <w:p>
            <w:pPr>
              <w:pStyle w:val="16"/>
              <w:rPr>
                <w:rFonts w:ascii="Times New Roman" w:hAnsi="Times New Roman"/>
                <w:lang w:eastAsia="en-US"/>
              </w:rPr>
            </w:pPr>
            <w:r>
              <w:rPr>
                <w:rFonts w:ascii="Times New Roman" w:hAnsi="Times New Roman"/>
                <w:lang w:eastAsia="en-US"/>
              </w:rPr>
              <w:t>1.</w:t>
            </w:r>
            <w:r>
              <w:rPr>
                <w:rFonts w:ascii="Times New Roman" w:hAnsi="Times New Roman"/>
              </w:rPr>
              <w:t xml:space="preserve"> </w:t>
            </w:r>
            <w:r>
              <w:rPr>
                <w:rFonts w:ascii="Times New Roman" w:hAnsi="Times New Roman"/>
                <w:lang w:eastAsia="en-US"/>
              </w:rPr>
              <w:t>Salk, Lee, Margaret Hilgartner, and Belle Granich. "The psycho-social impact of hemophilia on the patient and his family." Social Science &amp; Medicine （1967） 6.4 （1972）: 491-505.</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A study on stressors and related factors in mothers of children with hemophilia</w:t>
            </w:r>
          </w:p>
          <w:p>
            <w:pPr>
              <w:pStyle w:val="16"/>
              <w:rPr>
                <w:rFonts w:ascii="Times New Roman" w:hAnsi="Times New Roman"/>
                <w:lang w:eastAsia="en-US"/>
              </w:rPr>
            </w:pPr>
            <w:r>
              <w:rPr>
                <w:rFonts w:ascii="Times New Roman" w:hAnsi="Times New Roman"/>
                <w:lang w:eastAsia="en-US"/>
              </w:rPr>
              <w:t>3.</w:t>
            </w:r>
            <w:r>
              <w:rPr>
                <w:rFonts w:ascii="Times New Roman" w:hAnsi="Times New Roman"/>
              </w:rPr>
              <w:t xml:space="preserve"> </w:t>
            </w:r>
            <w:r>
              <w:rPr>
                <w:rFonts w:ascii="Times New Roman" w:hAnsi="Times New Roman"/>
                <w:lang w:eastAsia="en-US"/>
              </w:rPr>
              <w:t>Khair, Kate, and Steve Chaplin. "The impact on parents of having a child with haemophilia." The Journal of haemophilia practice 3.2 （2016）: 4-14.</w:t>
            </w:r>
          </w:p>
          <w:p>
            <w:pPr>
              <w:pStyle w:val="16"/>
              <w:rPr>
                <w:rFonts w:ascii="Times New Roman" w:hAnsi="Times New Roman"/>
                <w:lang w:eastAsia="en-US"/>
              </w:rPr>
            </w:pPr>
            <w:r>
              <w:rPr>
                <w:rFonts w:ascii="Times New Roman" w:hAnsi="Times New Roman"/>
                <w:lang w:eastAsia="en-US"/>
              </w:rPr>
              <w:t>4</w:t>
            </w:r>
            <w:r>
              <w:rPr>
                <w:rFonts w:ascii="Times New Roman" w:hAnsi="Times New Roman"/>
              </w:rPr>
              <w:t>.</w:t>
            </w:r>
            <w:r>
              <w:rPr>
                <w:rFonts w:hint="eastAsia" w:ascii="Times New Roman" w:hAnsi="Times New Roman"/>
                <w:lang w:val="en-US"/>
              </w:rPr>
              <w:t xml:space="preserve"> </w:t>
            </w:r>
            <w:r>
              <w:rPr>
                <w:rFonts w:ascii="Times New Roman" w:hAnsi="Times New Roman"/>
                <w:lang w:eastAsia="en-US"/>
              </w:rPr>
              <w:t>Katz, Alfred H. "Some psychosocial problems in hemophilia." Social Casework 40.6 （1959）: 321-326.</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rPr>
            </w:pPr>
            <w:r>
              <w:rPr>
                <w:rFonts w:ascii="Times New Roman" w:hAnsi="Times New Roman"/>
              </w:rPr>
              <w:t>Unmet needs、hemophilia</w:t>
            </w:r>
          </w:p>
        </w:tc>
        <w:tc>
          <w:tcPr>
            <w:tcW w:w="5817" w:type="dxa"/>
            <w:tcBorders>
              <w:top w:val="nil"/>
              <w:left w:val="nil"/>
              <w:bottom w:val="nil"/>
              <w:right w:val="nil"/>
            </w:tcBorders>
          </w:tcPr>
          <w:p>
            <w:pPr>
              <w:pStyle w:val="16"/>
              <w:numPr>
                <w:ilvl w:val="0"/>
                <w:numId w:val="12"/>
              </w:numPr>
              <w:rPr>
                <w:rFonts w:ascii="Times New Roman" w:hAnsi="Times New Roman"/>
                <w:lang w:eastAsia="en-US"/>
              </w:rPr>
            </w:pPr>
            <w:r>
              <w:rPr>
                <w:rFonts w:ascii="Times New Roman" w:hAnsi="Times New Roman"/>
              </w:rPr>
              <w:t>Hemophilia Treatment Outlook and Market</w:t>
            </w:r>
            <w:r>
              <w:rPr>
                <w:rFonts w:ascii="Times New Roman" w:hAnsi="Times New Roman"/>
                <w:lang w:val="en-US"/>
              </w:rPr>
              <w:t xml:space="preserve"> </w:t>
            </w:r>
            <w:r>
              <w:rPr>
                <w:rFonts w:ascii="Times New Roman" w:hAnsi="Times New Roman"/>
              </w:rPr>
              <w:t>Analysis</w:t>
            </w:r>
            <w:r>
              <w:rPr>
                <w:rFonts w:ascii="Times New Roman" w:hAnsi="Times New Roman"/>
                <w:lang w:val="en-US"/>
              </w:rPr>
              <w:t xml:space="preserve"> </w:t>
            </w:r>
            <w:r>
              <w:rPr>
                <w:rFonts w:ascii="Times New Roman" w:hAnsi="Times New Roman"/>
                <w:lang w:eastAsia="en-US"/>
              </w:rPr>
              <w:t>https://www.pharmcube.com/index/news/article/3255</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Article read | Amy the bead sheet resistance type A hemophiliac hope in life - health industry（cn-healthcare.com）https://www.cn-healthcare.com/articlewm/20181205/content-1042445.html</w:t>
            </w:r>
          </w:p>
          <w:p>
            <w:pPr>
              <w:pStyle w:val="16"/>
              <w:rPr>
                <w:rFonts w:ascii="Times New Roman" w:hAnsi="Times New Roman"/>
              </w:rPr>
            </w:pPr>
            <w:r>
              <w:rPr>
                <w:rFonts w:ascii="Times New Roman" w:hAnsi="Times New Roman"/>
              </w:rPr>
              <w:t>3.</w:t>
            </w:r>
            <w:r>
              <w:rPr>
                <w:rFonts w:hint="eastAsia" w:ascii="Times New Roman" w:hAnsi="Times New Roman"/>
                <w:lang w:val="en-US"/>
              </w:rPr>
              <w:t xml:space="preserve"> </w:t>
            </w:r>
            <w:r>
              <w:rPr>
                <w:rFonts w:ascii="Times New Roman" w:hAnsi="Times New Roman"/>
              </w:rPr>
              <w:t xml:space="preserve">The drug dilemma of ten thousand hemophilia patients; Guangming Net </w:t>
            </w:r>
            <w:r>
              <w:rPr>
                <w:rFonts w:ascii="Times New Roman" w:hAnsi="Times New Roman"/>
                <w:lang w:val="en-US"/>
              </w:rPr>
              <w:t>(</w:t>
            </w:r>
            <w:r>
              <w:rPr>
                <w:rFonts w:ascii="Times New Roman" w:hAnsi="Times New Roman"/>
              </w:rPr>
              <w:t>gmw.cn</w:t>
            </w:r>
            <w:r>
              <w:rPr>
                <w:rFonts w:ascii="Times New Roman" w:hAnsi="Times New Roman"/>
                <w:lang w:val="en-US"/>
              </w:rPr>
              <w:t xml:space="preserve">) </w:t>
            </w:r>
            <w:r>
              <w:rPr>
                <w:rFonts w:ascii="Times New Roman" w:hAnsi="Times New Roman"/>
              </w:rPr>
              <w:t>https://health.gmw.cn/2021-05/26/content_34876199.htm</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5" w:type="dxa"/>
            <w:gridSpan w:val="3"/>
            <w:tcBorders>
              <w:top w:val="nil"/>
              <w:left w:val="nil"/>
              <w:bottom w:val="nil"/>
              <w:right w:val="nil"/>
            </w:tcBorders>
          </w:tcPr>
          <w:p>
            <w:pPr>
              <w:pStyle w:val="15"/>
              <w:rPr>
                <w:rFonts w:ascii="Times New Roman" w:hAnsi="Times New Roman" w:cs="Times New Roman"/>
              </w:rPr>
            </w:pPr>
            <w:r>
              <w:rPr>
                <w:rFonts w:ascii="Times New Roman" w:hAnsi="Times New Roman" w:cs="Times New Roman"/>
              </w:rPr>
              <w:t>Comparative outcome</w:t>
            </w:r>
            <w:r>
              <w:rPr>
                <w:rFonts w:hint="eastAsia" w:ascii="Times New Roman" w:hAnsi="Times New Roman" w:cs="Times New Roman"/>
              </w:rPr>
              <w:t>s</w:t>
            </w:r>
            <w:r>
              <w:rPr>
                <w:rFonts w:ascii="Times New Roman" w:hAnsi="Times New Roman" w:cs="Times New Roman"/>
              </w:rPr>
              <w:t xml:space="preserve"> of drugs</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bCs/>
                <w:lang w:val="en-CA"/>
              </w:rPr>
            </w:pPr>
            <w:r>
              <w:rPr>
                <w:rFonts w:ascii="Times New Roman" w:hAnsi="Times New Roman"/>
                <w:bCs/>
                <w:lang w:val="en-CA"/>
              </w:rPr>
              <w:t xml:space="preserve">Curative effect + </w:t>
            </w:r>
            <w:bookmarkStart w:id="22" w:name="OLE_LINK10"/>
            <w:r>
              <w:rPr>
                <w:rFonts w:ascii="Times New Roman" w:hAnsi="Times New Roman"/>
              </w:rPr>
              <w:t>Emicizumab</w:t>
            </w:r>
            <w:bookmarkEnd w:id="22"/>
          </w:p>
        </w:tc>
        <w:tc>
          <w:tcPr>
            <w:tcW w:w="5817" w:type="dxa"/>
            <w:tcBorders>
              <w:top w:val="nil"/>
              <w:left w:val="nil"/>
              <w:bottom w:val="nil"/>
              <w:right w:val="nil"/>
            </w:tcBorders>
          </w:tcPr>
          <w:p>
            <w:pPr>
              <w:pStyle w:val="16"/>
              <w:rPr>
                <w:rFonts w:ascii="Times New Roman" w:hAnsi="Times New Roman"/>
                <w:lang w:eastAsia="en-US"/>
              </w:rPr>
            </w:pPr>
            <w:r>
              <w:rPr>
                <w:rFonts w:ascii="Times New Roman" w:hAnsi="Times New Roman"/>
                <w:lang w:eastAsia="en-US"/>
              </w:rPr>
              <w:t>1.</w:t>
            </w:r>
            <w:r>
              <w:rPr>
                <w:rFonts w:ascii="Times New Roman" w:hAnsi="Times New Roman"/>
              </w:rPr>
              <w:t xml:space="preserve"> </w:t>
            </w:r>
            <w:r>
              <w:rPr>
                <w:rFonts w:ascii="Times New Roman" w:hAnsi="Times New Roman"/>
                <w:lang w:eastAsia="en-US"/>
              </w:rPr>
              <w:t>Oldenburg, Johannes, et al. "Emicizumab prophylaxis in hemophilia A with inhibitors." New England Journal of Medicine 377.9 （2017）: 809-818.</w:t>
            </w:r>
          </w:p>
          <w:p>
            <w:pPr>
              <w:pStyle w:val="16"/>
              <w:rPr>
                <w:rFonts w:ascii="Times New Roman" w:hAnsi="Times New Roman"/>
                <w:lang w:eastAsia="en-US"/>
              </w:rPr>
            </w:pPr>
            <w:r>
              <w:rPr>
                <w:rFonts w:ascii="Times New Roman" w:hAnsi="Times New Roman"/>
                <w:lang w:eastAsia="en-US"/>
              </w:rPr>
              <w:t>2.</w:t>
            </w:r>
            <w:r>
              <w:rPr>
                <w:rFonts w:ascii="Times New Roman" w:hAnsi="Times New Roman"/>
              </w:rPr>
              <w:t xml:space="preserve"> </w:t>
            </w:r>
            <w:r>
              <w:rPr>
                <w:rFonts w:ascii="Times New Roman" w:hAnsi="Times New Roman"/>
                <w:lang w:eastAsia="en-US"/>
              </w:rPr>
              <w:t>Lillicrap, David, et al. "Patients with hemophilia A and inhibitors: prevention and evolving treatment paradigms." Expert Review of Hematology 13.4 （2020）: 313-321.</w:t>
            </w:r>
          </w:p>
          <w:p>
            <w:pPr>
              <w:pStyle w:val="16"/>
              <w:rPr>
                <w:rFonts w:ascii="Times New Roman" w:hAnsi="Times New Roman"/>
                <w:lang w:eastAsia="en-US"/>
              </w:rPr>
            </w:pPr>
            <w:r>
              <w:rPr>
                <w:rFonts w:ascii="Times New Roman" w:hAnsi="Times New Roman"/>
                <w:lang w:eastAsia="en-US"/>
              </w:rPr>
              <w:t>3.</w:t>
            </w:r>
            <w:r>
              <w:rPr>
                <w:rFonts w:ascii="Times New Roman" w:hAnsi="Times New Roman"/>
              </w:rPr>
              <w:t xml:space="preserve"> </w:t>
            </w:r>
            <w:r>
              <w:rPr>
                <w:rFonts w:ascii="Times New Roman" w:hAnsi="Times New Roman"/>
                <w:lang w:eastAsia="en-US"/>
              </w:rPr>
              <w:t>Mahlangu, Johnny, et al. "Emicizumab prophylaxis in patients who have hemophilia A without inhibitors." New England Journal of Medicine 379.9 （2018）: 811-822.</w:t>
            </w:r>
          </w:p>
          <w:p>
            <w:pPr>
              <w:pStyle w:val="16"/>
              <w:rPr>
                <w:rFonts w:ascii="Times New Roman" w:hAnsi="Times New Roman"/>
                <w:lang w:eastAsia="en-US"/>
              </w:rPr>
            </w:pPr>
            <w:r>
              <w:rPr>
                <w:rFonts w:ascii="Times New Roman" w:hAnsi="Times New Roman"/>
                <w:lang w:eastAsia="en-US"/>
              </w:rPr>
              <w:t>4.</w:t>
            </w:r>
            <w:r>
              <w:rPr>
                <w:rFonts w:ascii="Times New Roman" w:hAnsi="Times New Roman"/>
              </w:rPr>
              <w:t xml:space="preserve"> </w:t>
            </w:r>
            <w:r>
              <w:rPr>
                <w:rFonts w:ascii="Times New Roman" w:hAnsi="Times New Roman"/>
                <w:lang w:eastAsia="en-US"/>
              </w:rPr>
              <w:t>Pipe, Steven W., et al. "Efficacy, safety, and pharmacokinetics of emicizumab prophylaxis given every 4 weeks in people with haemophilia A （HAVEN 4）: a multicentre, open-label, non-randomised phase 3 study." The Lancet Haematology 6.6 （2019）: e295-e305.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rPr>
            </w:pPr>
            <w:r>
              <w:rPr>
                <w:rFonts w:ascii="Times New Roman" w:hAnsi="Times New Roman"/>
              </w:rPr>
              <w:t>Safety/tolerability+Emicizumab</w:t>
            </w:r>
          </w:p>
        </w:tc>
        <w:tc>
          <w:tcPr>
            <w:tcW w:w="5817" w:type="dxa"/>
            <w:tcBorders>
              <w:top w:val="nil"/>
              <w:left w:val="nil"/>
              <w:bottom w:val="nil"/>
              <w:right w:val="nil"/>
            </w:tcBorders>
          </w:tcPr>
          <w:p>
            <w:pPr>
              <w:pStyle w:val="16"/>
              <w:rPr>
                <w:rFonts w:ascii="Times New Roman" w:hAnsi="Times New Roman"/>
                <w:lang w:eastAsia="en-US"/>
              </w:rPr>
            </w:pPr>
            <w:r>
              <w:rPr>
                <w:rFonts w:ascii="Times New Roman" w:hAnsi="Times New Roman"/>
                <w:lang w:eastAsia="en-US"/>
              </w:rPr>
              <w:t>1.</w:t>
            </w:r>
            <w:r>
              <w:rPr>
                <w:rFonts w:ascii="Times New Roman" w:hAnsi="Times New Roman"/>
              </w:rPr>
              <w:t xml:space="preserve"> </w:t>
            </w:r>
            <w:r>
              <w:rPr>
                <w:rFonts w:ascii="Times New Roman" w:hAnsi="Times New Roman"/>
                <w:lang w:eastAsia="en-US"/>
              </w:rPr>
              <w:t>Oldenburg, Johannes, et al. "Emicizumab prophylaxis in hemophilia A with inhibitors." New England Journal of Medicine 377.9 （2017）: 809-818.</w:t>
            </w:r>
          </w:p>
          <w:p>
            <w:pPr>
              <w:pStyle w:val="16"/>
              <w:rPr>
                <w:rFonts w:ascii="Times New Roman" w:hAnsi="Times New Roman"/>
                <w:lang w:eastAsia="en-US"/>
              </w:rPr>
            </w:pPr>
            <w:r>
              <w:rPr>
                <w:rFonts w:ascii="Times New Roman" w:hAnsi="Times New Roman"/>
                <w:lang w:eastAsia="en-US"/>
              </w:rPr>
              <w:t>2.</w:t>
            </w:r>
            <w:r>
              <w:rPr>
                <w:rFonts w:ascii="Times New Roman" w:hAnsi="Times New Roman"/>
              </w:rPr>
              <w:t xml:space="preserve"> </w:t>
            </w:r>
            <w:r>
              <w:rPr>
                <w:rFonts w:ascii="Times New Roman" w:hAnsi="Times New Roman"/>
                <w:lang w:eastAsia="en-US"/>
              </w:rPr>
              <w:t>Lillicrap, David, et al. "Patients with hemophilia A and inhibitors: prevention and evolving treatment paradigms." Expert Review of Hematology 13.4 （2020）: 313-321.</w:t>
            </w:r>
          </w:p>
          <w:p>
            <w:pPr>
              <w:pStyle w:val="16"/>
              <w:rPr>
                <w:rFonts w:ascii="Times New Roman" w:hAnsi="Times New Roman"/>
                <w:lang w:eastAsia="en-US"/>
              </w:rPr>
            </w:pPr>
            <w:r>
              <w:rPr>
                <w:rFonts w:ascii="Times New Roman" w:hAnsi="Times New Roman"/>
                <w:lang w:eastAsia="en-US"/>
              </w:rPr>
              <w:t>3.</w:t>
            </w:r>
            <w:r>
              <w:rPr>
                <w:rFonts w:ascii="Times New Roman" w:hAnsi="Times New Roman"/>
              </w:rPr>
              <w:t xml:space="preserve"> </w:t>
            </w:r>
            <w:r>
              <w:rPr>
                <w:rFonts w:ascii="Times New Roman" w:hAnsi="Times New Roman"/>
                <w:lang w:eastAsia="en-US"/>
              </w:rPr>
              <w:t>Mahlangu, Johnny, et al. "Emicizumab prophylaxis in patients who have hemophilia A without inhibitors." New England Journal of Medicine 379.9 （2018）: 811-822.</w:t>
            </w:r>
          </w:p>
          <w:p>
            <w:pPr>
              <w:pStyle w:val="16"/>
              <w:rPr>
                <w:rFonts w:ascii="Times New Roman" w:hAnsi="Times New Roman"/>
                <w:lang w:val="en-CA"/>
              </w:rPr>
            </w:pPr>
            <w:r>
              <w:rPr>
                <w:rFonts w:ascii="Times New Roman" w:hAnsi="Times New Roman"/>
                <w:lang w:eastAsia="en-US"/>
              </w:rPr>
              <w:t>4.</w:t>
            </w:r>
            <w:r>
              <w:rPr>
                <w:rFonts w:ascii="Times New Roman" w:hAnsi="Times New Roman"/>
              </w:rPr>
              <w:t xml:space="preserve"> </w:t>
            </w:r>
            <w:r>
              <w:rPr>
                <w:rFonts w:ascii="Times New Roman" w:hAnsi="Times New Roman"/>
                <w:lang w:eastAsia="en-US"/>
              </w:rPr>
              <w:t>Pipe, Steven W., et al. "Efficacy, safety, and pharmacokinetics of emicizumab prophylaxis given every 4 weeks in people with haemophilia A （HAVEN 4）: a multicentre, open-label, non-randomised phase 3 study." The Lancet Haematology 6.6 （2019）: e295-e305.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nil"/>
              <w:right w:val="nil"/>
            </w:tcBorders>
          </w:tcPr>
          <w:p>
            <w:pPr>
              <w:pStyle w:val="16"/>
              <w:rPr>
                <w:rFonts w:ascii="Times New Roman" w:hAnsi="Times New Roman"/>
              </w:rPr>
            </w:pPr>
          </w:p>
        </w:tc>
        <w:tc>
          <w:tcPr>
            <w:tcW w:w="1419" w:type="dxa"/>
            <w:tcBorders>
              <w:top w:val="nil"/>
              <w:left w:val="nil"/>
              <w:bottom w:val="nil"/>
              <w:right w:val="nil"/>
            </w:tcBorders>
          </w:tcPr>
          <w:p>
            <w:pPr>
              <w:pStyle w:val="16"/>
              <w:rPr>
                <w:rFonts w:ascii="Times New Roman" w:hAnsi="Times New Roman"/>
              </w:rPr>
            </w:pPr>
            <w:r>
              <w:rPr>
                <w:rFonts w:ascii="Times New Roman" w:hAnsi="Times New Roman"/>
              </w:rPr>
              <w:t>Patient quality of life</w:t>
            </w:r>
            <w:r>
              <w:rPr>
                <w:rFonts w:ascii="Times New Roman" w:hAnsi="Times New Roman"/>
                <w:lang w:val="en-US"/>
              </w:rPr>
              <w:t xml:space="preserve"> </w:t>
            </w:r>
            <w:r>
              <w:rPr>
                <w:rFonts w:ascii="Times New Roman" w:hAnsi="Times New Roman"/>
              </w:rPr>
              <w:t>+Emicizumab</w:t>
            </w:r>
          </w:p>
        </w:tc>
        <w:tc>
          <w:tcPr>
            <w:tcW w:w="5817" w:type="dxa"/>
            <w:tcBorders>
              <w:top w:val="nil"/>
              <w:left w:val="nil"/>
              <w:bottom w:val="nil"/>
              <w:right w:val="nil"/>
            </w:tcBorders>
          </w:tcPr>
          <w:p>
            <w:pPr>
              <w:pStyle w:val="16"/>
              <w:numPr>
                <w:ilvl w:val="0"/>
                <w:numId w:val="13"/>
              </w:numPr>
              <w:rPr>
                <w:rFonts w:ascii="Times New Roman" w:hAnsi="Times New Roman"/>
                <w:lang w:val="en-CA"/>
              </w:rPr>
            </w:pPr>
            <w:r>
              <w:rPr>
                <w:rFonts w:ascii="Times New Roman" w:hAnsi="Times New Roman"/>
                <w:lang w:eastAsia="en-US"/>
              </w:rPr>
              <w:t>Clinical Review Report: Emicizumab （Hemlibra） https://www.ncbi.nlm.nih.gov/books/NBK570372/</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35" w:type="dxa"/>
            <w:gridSpan w:val="3"/>
            <w:tcBorders>
              <w:top w:val="nil"/>
              <w:left w:val="nil"/>
              <w:bottom w:val="nil"/>
              <w:right w:val="nil"/>
            </w:tcBorders>
          </w:tcPr>
          <w:p>
            <w:pPr>
              <w:pStyle w:val="15"/>
              <w:rPr>
                <w:rFonts w:ascii="Times New Roman" w:hAnsi="Times New Roman" w:cs="Times New Roman"/>
              </w:rPr>
            </w:pPr>
            <w:r>
              <w:rPr>
                <w:rFonts w:ascii="Times New Roman" w:hAnsi="Times New Roman" w:cs="Times New Roman"/>
              </w:rPr>
              <w:t>The economic cost of disease</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99" w:type="dxa"/>
            <w:tcBorders>
              <w:top w:val="nil"/>
              <w:left w:val="nil"/>
              <w:bottom w:val="single" w:color="auto" w:sz="18" w:space="0"/>
              <w:right w:val="nil"/>
            </w:tcBorders>
          </w:tcPr>
          <w:p>
            <w:pPr>
              <w:pStyle w:val="16"/>
              <w:rPr>
                <w:rFonts w:ascii="Times New Roman" w:hAnsi="Times New Roman"/>
              </w:rPr>
            </w:pPr>
          </w:p>
        </w:tc>
        <w:tc>
          <w:tcPr>
            <w:tcW w:w="1419" w:type="dxa"/>
            <w:tcBorders>
              <w:top w:val="nil"/>
              <w:left w:val="nil"/>
              <w:bottom w:val="single" w:color="auto" w:sz="18" w:space="0"/>
              <w:right w:val="nil"/>
            </w:tcBorders>
          </w:tcPr>
          <w:p>
            <w:pPr>
              <w:pStyle w:val="16"/>
              <w:rPr>
                <w:rFonts w:ascii="Times New Roman" w:hAnsi="Times New Roman"/>
                <w:lang w:eastAsia="en-US"/>
              </w:rPr>
            </w:pPr>
            <w:r>
              <w:rPr>
                <w:rFonts w:ascii="Times New Roman" w:hAnsi="Times New Roman"/>
              </w:rPr>
              <w:t>treatment cost</w:t>
            </w:r>
            <w:r>
              <w:rPr>
                <w:rFonts w:ascii="Times New Roman" w:hAnsi="Times New Roman"/>
                <w:lang w:val="en-US"/>
              </w:rPr>
              <w:t xml:space="preserve"> </w:t>
            </w:r>
            <w:r>
              <w:rPr>
                <w:rFonts w:ascii="Times New Roman" w:hAnsi="Times New Roman"/>
              </w:rPr>
              <w:t>+Emicizumab</w:t>
            </w:r>
          </w:p>
        </w:tc>
        <w:tc>
          <w:tcPr>
            <w:tcW w:w="5817" w:type="dxa"/>
            <w:tcBorders>
              <w:top w:val="nil"/>
              <w:left w:val="nil"/>
              <w:bottom w:val="single" w:color="auto" w:sz="18" w:space="0"/>
              <w:right w:val="nil"/>
            </w:tcBorders>
          </w:tcPr>
          <w:p>
            <w:pPr>
              <w:pStyle w:val="16"/>
              <w:numPr>
                <w:ilvl w:val="0"/>
                <w:numId w:val="14"/>
              </w:numPr>
              <w:rPr>
                <w:rFonts w:ascii="Times New Roman" w:hAnsi="Times New Roman"/>
              </w:rPr>
            </w:pPr>
            <w:r>
              <w:rPr>
                <w:rFonts w:ascii="Times New Roman" w:hAnsi="Times New Roman"/>
              </w:rPr>
              <w:t xml:space="preserve">Drug bid-winning price _ Drug bid-winning information query - Yao Zhi data </w:t>
            </w:r>
            <w:r>
              <w:rPr>
                <w:rFonts w:ascii="Times New Roman" w:hAnsi="Times New Roman"/>
                <w:lang w:val="en-US"/>
              </w:rPr>
              <w:t>(</w:t>
            </w:r>
            <w:r>
              <w:rPr>
                <w:rFonts w:ascii="Times New Roman" w:hAnsi="Times New Roman"/>
              </w:rPr>
              <w:t>yaozh.com</w:t>
            </w:r>
            <w:r>
              <w:rPr>
                <w:rFonts w:ascii="Times New Roman" w:hAnsi="Times New Roman"/>
                <w:lang w:val="en-US"/>
              </w:rPr>
              <w:t xml:space="preserve">) </w:t>
            </w:r>
            <w:r>
              <w:rPr>
                <w:rFonts w:ascii="Times New Roman" w:hAnsi="Times New Roman"/>
              </w:rPr>
              <w:t>https://db.yaozh.com/yaopinzhongbiao?comprehensivesearchcontent=%E8%89%BE%E7%BE%8E%E8%B5%9B%E7%8F%A0&amp;</w:t>
            </w:r>
          </w:p>
          <w:p>
            <w:pPr>
              <w:pStyle w:val="16"/>
              <w:rPr>
                <w:rFonts w:ascii="Times New Roman" w:hAnsi="Times New Roman"/>
              </w:rPr>
            </w:pPr>
            <w:r>
              <w:rPr>
                <w:rFonts w:ascii="Times New Roman" w:hAnsi="Times New Roman"/>
              </w:rPr>
              <w:t>2.</w:t>
            </w:r>
            <w:r>
              <w:rPr>
                <w:rFonts w:hint="eastAsia" w:ascii="Times New Roman" w:hAnsi="Times New Roman"/>
                <w:lang w:val="en-US"/>
              </w:rPr>
              <w:t xml:space="preserve"> </w:t>
            </w:r>
            <w:r>
              <w:rPr>
                <w:rFonts w:ascii="Times New Roman" w:hAnsi="Times New Roman"/>
              </w:rPr>
              <w:t>New drug for hemophilia approved in China: clear efficacy and controllable risk, annual cost may cost millions</w:t>
            </w:r>
            <w:r>
              <w:rPr>
                <w:rFonts w:ascii="Times New Roman" w:hAnsi="Times New Roman"/>
                <w:lang w:val="en-US"/>
              </w:rPr>
              <w:t xml:space="preserve"> (</w:t>
            </w:r>
            <w:r>
              <w:rPr>
                <w:rFonts w:ascii="Times New Roman" w:hAnsi="Times New Roman"/>
              </w:rPr>
              <w:t>qq.com</w:t>
            </w:r>
            <w:r>
              <w:rPr>
                <w:rFonts w:ascii="Times New Roman" w:hAnsi="Times New Roman"/>
                <w:lang w:val="en-US"/>
              </w:rPr>
              <w:t xml:space="preserve">) </w:t>
            </w:r>
            <w:r>
              <w:rPr>
                <w:rFonts w:ascii="Times New Roman" w:hAnsi="Times New Roman"/>
              </w:rPr>
              <w:t>https://new.qq.com/cmsn/20181206/20181206002895.html#:~:text=%E6%8D%AE%E5%AA%92%E4%BD%93%E6%8A%AB%E9%9C%B2%E7%9A%84%E4%BB%B7%E6%A0%BC,00%E4%B8%87%E5%85%83%E4%BA%BA%E6%B0%91%E5%B8%81%E3%80%82</w:t>
            </w:r>
          </w:p>
          <w:p>
            <w:pPr>
              <w:pStyle w:val="16"/>
              <w:rPr>
                <w:rFonts w:ascii="Times New Roman" w:hAnsi="Times New Roman"/>
              </w:rPr>
            </w:pPr>
            <w:r>
              <w:rPr>
                <w:rFonts w:ascii="Times New Roman" w:hAnsi="Times New Roman"/>
              </w:rPr>
              <w:t>3.</w:t>
            </w:r>
            <w:r>
              <w:rPr>
                <w:rFonts w:hint="eastAsia" w:ascii="Times New Roman" w:hAnsi="Times New Roman"/>
                <w:lang w:val="en-US"/>
              </w:rPr>
              <w:t xml:space="preserve"> </w:t>
            </w:r>
            <w:r>
              <w:rPr>
                <w:rFonts w:ascii="Times New Roman" w:hAnsi="Times New Roman"/>
              </w:rPr>
              <w:t xml:space="preserve">How to chew the ten billion dollars of hemophilia market this hard bone, first from the long-acting coagulation factor market </w:t>
            </w:r>
            <w:r>
              <w:rPr>
                <w:rFonts w:ascii="Times New Roman" w:hAnsi="Times New Roman"/>
                <w:lang w:val="en-US"/>
              </w:rPr>
              <w:t>(</w:t>
            </w:r>
            <w:r>
              <w:rPr>
                <w:rFonts w:ascii="Times New Roman" w:hAnsi="Times New Roman"/>
              </w:rPr>
              <w:t>iyiou.com</w:t>
            </w:r>
            <w:r>
              <w:rPr>
                <w:rFonts w:ascii="Times New Roman" w:hAnsi="Times New Roman"/>
                <w:lang w:val="en-US"/>
              </w:rPr>
              <w:t xml:space="preserve">) </w:t>
            </w:r>
            <w:r>
              <w:rPr>
                <w:rFonts w:ascii="Times New Roman" w:hAnsi="Times New Roman"/>
              </w:rPr>
              <w:t>https://www.iyiou.com/analysis/2018022766907</w:t>
            </w:r>
          </w:p>
          <w:p>
            <w:pPr>
              <w:pStyle w:val="16"/>
              <w:rPr>
                <w:rFonts w:ascii="Times New Roman" w:hAnsi="Times New Roman"/>
              </w:rPr>
            </w:pPr>
            <w:r>
              <w:rPr>
                <w:rFonts w:ascii="Times New Roman" w:hAnsi="Times New Roman"/>
              </w:rPr>
              <w:t>4.</w:t>
            </w:r>
            <w:r>
              <w:rPr>
                <w:rFonts w:hint="eastAsia" w:ascii="Times New Roman" w:hAnsi="Times New Roman"/>
                <w:lang w:val="en-US"/>
              </w:rPr>
              <w:t xml:space="preserve"> </w:t>
            </w:r>
            <w:r>
              <w:rPr>
                <w:rFonts w:ascii="Times New Roman" w:hAnsi="Times New Roman"/>
              </w:rPr>
              <w:t>The drug dilemma of ten thousand hemophilia patients; Guangming Net</w:t>
            </w:r>
            <w:r>
              <w:rPr>
                <w:rFonts w:ascii="Times New Roman" w:hAnsi="Times New Roman"/>
                <w:lang w:val="en-US"/>
              </w:rPr>
              <w:t xml:space="preserve"> </w:t>
            </w:r>
            <w:r>
              <w:rPr>
                <w:rFonts w:ascii="Times New Roman" w:hAnsi="Times New Roman"/>
              </w:rPr>
              <w:t xml:space="preserve"> </w:t>
            </w:r>
            <w:r>
              <w:rPr>
                <w:rFonts w:ascii="Times New Roman" w:hAnsi="Times New Roman"/>
                <w:lang w:val="en-US"/>
              </w:rPr>
              <w:t>(</w:t>
            </w:r>
            <w:r>
              <w:rPr>
                <w:rFonts w:ascii="Times New Roman" w:hAnsi="Times New Roman"/>
              </w:rPr>
              <w:t>gmw.cn</w:t>
            </w:r>
            <w:r>
              <w:rPr>
                <w:rFonts w:ascii="Times New Roman" w:hAnsi="Times New Roman"/>
                <w:lang w:val="en-US"/>
              </w:rPr>
              <w:t xml:space="preserve">) </w:t>
            </w:r>
            <w:r>
              <w:rPr>
                <w:rFonts w:ascii="Times New Roman" w:hAnsi="Times New Roman"/>
              </w:rPr>
              <w:t>https://health.gmw.cn/2021-05/26/content_34876199.htm</w:t>
            </w:r>
          </w:p>
        </w:tc>
      </w:tr>
    </w:tbl>
    <w:p>
      <w:pPr>
        <w:pStyle w:val="7"/>
        <w:tabs>
          <w:tab w:val="left" w:pos="420"/>
        </w:tabs>
        <w:ind w:firstLine="361"/>
        <w:rPr>
          <w:rFonts w:ascii="宋体" w:hAnsi="宋体" w:cs="宋体"/>
          <w:b/>
        </w:rPr>
        <w:sectPr>
          <w:endnotePr>
            <w:numFmt w:val="decimal"/>
          </w:endnotePr>
          <w:pgSz w:w="12240" w:h="15839"/>
          <w:pgMar w:top="1418" w:right="1418" w:bottom="1418" w:left="1418" w:header="850" w:footer="992" w:gutter="0"/>
          <w:cols w:space="720" w:num="1"/>
          <w:docGrid w:linePitch="485" w:charSpace="0"/>
        </w:sectPr>
      </w:pPr>
    </w:p>
    <w:p>
      <w:pPr>
        <w:spacing w:line="276" w:lineRule="auto"/>
        <w:rPr>
          <w:rFonts w:ascii="Times New Roman" w:hAnsi="Times New Roman" w:cs="Times New Roman"/>
          <w:szCs w:val="21"/>
        </w:rPr>
      </w:pPr>
      <w:r>
        <w:rPr>
          <w:rFonts w:ascii="Times New Roman" w:hAnsi="Times New Roman" w:cs="Times New Roman"/>
          <w:b/>
          <w:bCs/>
          <w:szCs w:val="21"/>
        </w:rPr>
        <w:t>Appendix Table 3：</w:t>
      </w:r>
      <w:r>
        <w:rPr>
          <w:rFonts w:ascii="Times New Roman" w:hAnsi="Times New Roman" w:cs="Times New Roman"/>
          <w:szCs w:val="21"/>
        </w:rPr>
        <w:t>Empirical data results of three orphan drugs</w:t>
      </w:r>
    </w:p>
    <w:p>
      <w:pPr>
        <w:rPr>
          <w:rFonts w:ascii="Times New Roman" w:hAnsi="Times New Roman" w:cs="Times New Roman"/>
        </w:rPr>
      </w:pPr>
      <w:r>
        <w:rPr>
          <w:rFonts w:hint="eastAsia" w:ascii="Times New Roman" w:hAnsi="Times New Roman" w:cs="Times New Roman"/>
        </w:rPr>
        <w:t xml:space="preserve">3.1 The basic information of </w:t>
      </w:r>
      <w:bookmarkStart w:id="23" w:name="OLE_LINK14"/>
      <w:r>
        <w:rPr>
          <w:rFonts w:hint="eastAsia" w:ascii="Times New Roman" w:hAnsi="Times New Roman" w:cs="Times New Roman"/>
        </w:rPr>
        <w:t>dimethyl fumarate</w:t>
      </w:r>
      <w:bookmarkEnd w:id="23"/>
      <w:r>
        <w:rPr>
          <w:rFonts w:hint="eastAsia" w:ascii="Times New Roman" w:hAnsi="Times New Roman" w:cs="Times New Roman"/>
        </w:rPr>
        <w:t xml:space="preserve"> is as follows: Drug category: sustained release capsule; Indications: Multiple sclerosis (MS); Administration instructions: For the first week, 120 mg orally twice a day. After a week, 240 mg was given orally twice a day; Intervention duration: continuous use (twice daily); Comparative intervention: Fingolmod.</w:t>
      </w:r>
    </w:p>
    <w:p>
      <w:pPr>
        <w:rPr>
          <w:rFonts w:ascii="Times New Roman" w:hAnsi="Times New Roman" w:cs="Times New Roman"/>
        </w:rPr>
      </w:pPr>
    </w:p>
    <w:p>
      <w:pPr>
        <w:rPr>
          <w:rFonts w:ascii="Times New Roman" w:hAnsi="Times New Roman" w:cs="Times New Roman"/>
        </w:rPr>
      </w:pPr>
      <w:r>
        <w:rPr>
          <w:rFonts w:hint="eastAsia" w:ascii="Times New Roman" w:hAnsi="Times New Roman" w:cs="Times New Roman"/>
        </w:rPr>
        <w:t>Table 3.1.1 Quantitative criteria empirical data set of Dimethyl fumarate</w:t>
      </w:r>
    </w:p>
    <w:tbl>
      <w:tblPr>
        <w:tblStyle w:val="17"/>
        <w:tblW w:w="5000" w:type="pct"/>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6"/>
        <w:gridCol w:w="7180"/>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PrEx>
        <w:trPr>
          <w:trHeight w:val="283" w:hRule="atLeast"/>
          <w:tblHeader/>
        </w:trPr>
        <w:tc>
          <w:tcPr>
            <w:tcW w:w="1134" w:type="pct"/>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lang w:val="en-US"/>
              </w:rPr>
            </w:pPr>
            <w:bookmarkStart w:id="24" w:name="OLE_LINK44" w:colFirst="0" w:colLast="0"/>
            <w:bookmarkStart w:id="25" w:name="OLE_LINK13"/>
            <w:bookmarkStart w:id="26" w:name="_Hlk97726373"/>
            <w:r>
              <w:rPr>
                <w:rFonts w:ascii="Times New Roman" w:hAnsi="Times New Roman" w:eastAsiaTheme="minorEastAsia"/>
                <w:b/>
                <w:bCs/>
                <w:kern w:val="2"/>
                <w:lang w:val="en-US"/>
              </w:rPr>
              <w:t>Criteria</w:t>
            </w:r>
          </w:p>
        </w:tc>
        <w:tc>
          <w:tcPr>
            <w:tcW w:w="3865" w:type="pct"/>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lang w:val="en-US"/>
              </w:rPr>
            </w:pPr>
            <w:r>
              <w:rPr>
                <w:rFonts w:ascii="Times New Roman" w:hAnsi="Times New Roman" w:eastAsiaTheme="minorEastAsia"/>
                <w:b/>
                <w:bCs/>
                <w:kern w:val="2"/>
                <w:lang w:val="en-US"/>
              </w:rPr>
              <w:t>Empirical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op w:val="single" w:color="000000" w:themeColor="text1" w:sz="8" w:space="0"/>
            </w:tcBorders>
          </w:tcPr>
          <w:p>
            <w:pPr>
              <w:pStyle w:val="18"/>
              <w:rPr>
                <w:rFonts w:ascii="Times New Roman" w:hAnsi="Times New Roman" w:cs="Times New Roman"/>
                <w:b/>
                <w:bCs/>
              </w:rPr>
            </w:pPr>
            <w:r>
              <w:rPr>
                <w:rFonts w:ascii="Times New Roman" w:hAnsi="Times New Roman" w:cs="Times New Roman"/>
                <w:b w:val="0"/>
                <w:bCs w:val="0"/>
                <w:sz w:val="21"/>
                <w:szCs w:val="21"/>
              </w:rPr>
              <w:t>EVIDEM core model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PrEx>
        <w:trPr>
          <w:trHeight w:val="350" w:hRule="atLeast"/>
        </w:trPr>
        <w:tc>
          <w:tcPr>
            <w:tcW w:w="5000" w:type="pct"/>
            <w:gridSpan w:val="2"/>
          </w:tcPr>
          <w:p>
            <w:pPr>
              <w:pStyle w:val="16"/>
              <w:spacing w:line="240" w:lineRule="auto"/>
              <w:rPr>
                <w:rFonts w:ascii="Times New Roman" w:hAnsi="Times New Roman" w:eastAsiaTheme="minorEastAsia"/>
                <w:b/>
                <w:bCs/>
                <w:kern w:val="2"/>
              </w:rPr>
            </w:pPr>
            <w:r>
              <w:rPr>
                <w:rFonts w:ascii="Times New Roman" w:hAnsi="Times New Roman" w:eastAsiaTheme="minorEastAsia"/>
                <w:b/>
                <w:bCs/>
                <w:color w:val="000000"/>
                <w:kern w:val="2"/>
                <w:sz w:val="20"/>
                <w:szCs w:val="20"/>
              </w:rPr>
              <w:t>Need for drugs</w:t>
            </w:r>
          </w:p>
        </w:tc>
      </w:tr>
      <w:bookmarkEnd w:id="24"/>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Disease severity</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Theme="minorEastAsia"/>
                <w:kern w:val="2"/>
              </w:rPr>
              <w:t>Multiple sclerosis is a chronic, inflammatory, auto-central nervous system disease that disrupts communication between the brain and the rest of the body.</w:t>
            </w:r>
            <w:r>
              <w:rPr>
                <w:rFonts w:ascii="Times New Roman" w:hAnsi="Times New Roman" w:eastAsiaTheme="minorEastAsia"/>
                <w:kern w:val="2"/>
                <w:lang w:val="en-US"/>
              </w:rPr>
              <w:t xml:space="preserve"> </w:t>
            </w:r>
            <w:r>
              <w:rPr>
                <w:rFonts w:ascii="Times New Roman" w:hAnsi="Times New Roman" w:eastAsiaTheme="minorEastAsia"/>
                <w:kern w:val="2"/>
              </w:rPr>
              <w:t>It is the most common cause of neurological disease in adolescents, and most people with MS experience their first symptoms, such as vision problems or muscle weakness, between the ages of 20 and 40.</w:t>
            </w:r>
            <w:r>
              <w:rPr>
                <w:rFonts w:ascii="Times New Roman" w:hAnsi="Times New Roman" w:eastAsiaTheme="minorEastAsia"/>
                <w:kern w:val="2"/>
                <w:lang w:val="en-US"/>
              </w:rPr>
              <w:t xml:space="preserve"> </w:t>
            </w:r>
            <w:r>
              <w:rPr>
                <w:rFonts w:ascii="Times New Roman" w:hAnsi="Times New Roman" w:eastAsiaTheme="minorEastAsia"/>
                <w:kern w:val="2"/>
              </w:rPr>
              <w:t>Two to five percent of people with MS develop symptoms before the age of 18.</w:t>
            </w:r>
          </w:p>
          <w:p>
            <w:pPr>
              <w:pStyle w:val="16"/>
              <w:spacing w:line="240" w:lineRule="auto"/>
              <w:rPr>
                <w:rFonts w:ascii="Times New Roman" w:hAnsi="Times New Roman" w:eastAsiaTheme="minorEastAsia"/>
                <w:kern w:val="2"/>
              </w:rPr>
            </w:pPr>
            <w:r>
              <w:rPr>
                <w:rFonts w:ascii="Times New Roman" w:hAnsi="Times New Roman" w:eastAsiaTheme="minorEastAsia"/>
                <w:kern w:val="2"/>
              </w:rPr>
              <w:t>Multiple sclerosis lesions are more diffuse, neuritis, retrobulbar optic neuritis, ophthalmoplegia, limb paralysis, pyramidal tract signs and psychiatric symptoms may occur.</w:t>
            </w:r>
            <w:r>
              <w:rPr>
                <w:rFonts w:ascii="Times New Roman" w:hAnsi="Times New Roman" w:eastAsiaTheme="minorEastAsia"/>
                <w:kern w:val="2"/>
                <w:lang w:val="en-US"/>
              </w:rPr>
              <w:t xml:space="preserve"> Ataxia, limb tremor, and nystagmus occur when the lesion is located in the cerebellum.The lesion impinges on the medial longitudinal fasciculus, resulting in persistent, irregular and multiple forms of involuntary ocular myoclonus. In the early stage of the disease, there may be fluctuating acoustic nerve deafness and vertigo. Because of the multiple lesions, the symptoms are complex and vary with the location of the lesion. If there are demyelination areas or sclerosed plaques in the brainstem and cerebellum that damage the vestibular nucleus or structures associated with the vestibule, the clinical manifestation is persistent vertigo, which worsens with head rotation and is accompanied by nausea and vomiting. Tinnitus and deafness are less common. Chinese patients with MS progress to later stages of the disease in an average of 6.6 years, with limited mobility and shortened life expectancy of about 7-14 years.</w:t>
            </w:r>
          </w:p>
          <w:p>
            <w:pPr>
              <w:pStyle w:val="16"/>
              <w:spacing w:line="240" w:lineRule="auto"/>
              <w:rPr>
                <w:rFonts w:ascii="Times New Roman" w:hAnsi="Times New Roman" w:eastAsiaTheme="minorEastAsia"/>
                <w:kern w:val="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Unmet needs</w:t>
            </w:r>
          </w:p>
        </w:tc>
        <w:tc>
          <w:tcPr>
            <w:tcW w:w="3865" w:type="pct"/>
          </w:tcPr>
          <w:p>
            <w:pPr>
              <w:pStyle w:val="16"/>
              <w:numPr>
                <w:ilvl w:val="0"/>
                <w:numId w:val="15"/>
              </w:numPr>
              <w:spacing w:line="240" w:lineRule="auto"/>
              <w:rPr>
                <w:rFonts w:ascii="Times New Roman" w:hAnsi="Times New Roman" w:eastAsiaTheme="minorEastAsia"/>
                <w:kern w:val="2"/>
                <w:lang w:val="en-US"/>
              </w:rPr>
            </w:pPr>
            <w:r>
              <w:rPr>
                <w:rFonts w:ascii="Times New Roman" w:hAnsi="Times New Roman" w:eastAsiaTheme="minorEastAsia"/>
                <w:kern w:val="2"/>
                <w:lang w:val="en-US"/>
              </w:rPr>
              <w:t>The diagnosis time of multiple sclerosis patients in China is long, with an average of more than one year; 60% of confirmed patients did not receive systemic treatment;</w:t>
            </w:r>
          </w:p>
          <w:p>
            <w:pPr>
              <w:pStyle w:val="16"/>
              <w:numPr>
                <w:ilvl w:val="0"/>
                <w:numId w:val="15"/>
              </w:numPr>
              <w:spacing w:line="240" w:lineRule="auto"/>
              <w:rPr>
                <w:rFonts w:ascii="Times New Roman" w:hAnsi="Times New Roman" w:eastAsiaTheme="minorEastAsia"/>
                <w:kern w:val="2"/>
                <w:lang w:val="en-US"/>
              </w:rPr>
            </w:pPr>
            <w:r>
              <w:rPr>
                <w:rFonts w:ascii="Times New Roman" w:hAnsi="Times New Roman" w:eastAsiaTheme="minorEastAsia"/>
                <w:kern w:val="2"/>
                <w:lang w:val="en-US"/>
              </w:rPr>
              <w:t>The utilization rate of guideline-recommended disease modification therapy (DMT) is less than 20% in China, and there is a lack of therapeutic drug options that take into account both benefits and risks; Dimethyl fumarate, as an oral drug with relatively good risk and benefit, is usually listed as a first-line drug.</w:t>
            </w:r>
          </w:p>
          <w:p>
            <w:pPr>
              <w:pStyle w:val="16"/>
              <w:numPr>
                <w:ilvl w:val="0"/>
                <w:numId w:val="15"/>
              </w:numPr>
              <w:spacing w:line="240" w:lineRule="auto"/>
              <w:rPr>
                <w:rFonts w:ascii="Times New Roman" w:hAnsi="Times New Roman" w:eastAsiaTheme="minorEastAsia"/>
                <w:kern w:val="2"/>
                <w:lang w:val="en-US"/>
              </w:rPr>
            </w:pPr>
            <w:r>
              <w:rPr>
                <w:rFonts w:ascii="Times New Roman" w:hAnsi="Times New Roman" w:eastAsiaTheme="minorEastAsia"/>
                <w:kern w:val="2"/>
                <w:lang w:val="en-US"/>
              </w:rPr>
              <w:t>MS patients lack therapeutic options that balance benefits and risks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5000" w:type="pct"/>
            <w:gridSpan w:val="2"/>
          </w:tcPr>
          <w:p>
            <w:pPr>
              <w:pStyle w:val="16"/>
              <w:spacing w:line="240" w:lineRule="auto"/>
              <w:rPr>
                <w:rFonts w:ascii="Times New Roman" w:hAnsi="Times New Roman" w:eastAsiaTheme="minorEastAsia"/>
                <w:b/>
                <w:bCs/>
                <w:caps/>
                <w:kern w:val="2"/>
              </w:rPr>
            </w:pPr>
            <w:r>
              <w:rPr>
                <w:rFonts w:ascii="Times New Roman" w:hAnsi="Times New Roman" w:eastAsiaTheme="minorEastAsia"/>
                <w:b/>
                <w:bCs/>
                <w:color w:val="000000"/>
                <w:kern w:val="2"/>
                <w:sz w:val="20"/>
                <w:szCs w:val="20"/>
              </w:rPr>
              <w:t>Comparative outcomes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134" w:type="pct"/>
          </w:tcPr>
          <w:p>
            <w:pPr>
              <w:pStyle w:val="19"/>
              <w:rPr>
                <w:rFonts w:ascii="Times New Roman" w:hAnsi="Times New Roman" w:cs="Times New Roman"/>
                <w:b w:val="0"/>
                <w:bCs/>
              </w:rPr>
            </w:pPr>
            <w:bookmarkStart w:id="27" w:name="_Hlk97726401"/>
            <w:r>
              <w:rPr>
                <w:rFonts w:ascii="Times New Roman" w:hAnsi="Times New Roman" w:cs="Times New Roman"/>
                <w:b/>
                <w:bCs w:val="0"/>
                <w:szCs w:val="21"/>
              </w:rPr>
              <w:t>Comparative effectiveness</w:t>
            </w:r>
          </w:p>
        </w:tc>
        <w:tc>
          <w:tcPr>
            <w:tcW w:w="3865" w:type="pct"/>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rPr>
              <w:t>Validity data：</w:t>
            </w:r>
          </w:p>
          <w:p>
            <w:pPr>
              <w:pStyle w:val="16"/>
              <w:spacing w:line="240" w:lineRule="auto"/>
              <w:rPr>
                <w:rFonts w:ascii="Times New Roman" w:hAnsi="Times New Roman" w:eastAsiaTheme="minorEastAsia"/>
                <w:kern w:val="2"/>
                <w:lang w:val="en-US"/>
              </w:rPr>
            </w:pPr>
            <w:r>
              <w:rPr>
                <w:rFonts w:ascii="Times New Roman" w:hAnsi="Times New Roman" w:eastAsiaTheme="minorEastAsia"/>
                <w:kern w:val="2"/>
                <w:lang w:val="en-US"/>
              </w:rPr>
              <w:t>Based on retrospective observational cohort study data</w:t>
            </w:r>
          </w:p>
          <w:p>
            <w:pPr>
              <w:pStyle w:val="16"/>
              <w:spacing w:line="240" w:lineRule="auto"/>
              <w:rPr>
                <w:rFonts w:ascii="Times New Roman" w:hAnsi="Times New Roman" w:eastAsiaTheme="minorEastAsia"/>
                <w:kern w:val="2"/>
                <w:lang w:val="en-US"/>
              </w:rPr>
            </w:pPr>
            <w:r>
              <w:rPr>
                <w:rFonts w:ascii="Times New Roman" w:hAnsi="Times New Roman" w:eastAsiaTheme="minorEastAsia"/>
                <w:kern w:val="2"/>
                <w:lang w:val="en-US"/>
              </w:rPr>
              <w:t>The study included 458 patients who received Dimethyl fumarate and 317 who received Fingolimod.</w:t>
            </w:r>
          </w:p>
          <w:p>
            <w:pPr>
              <w:pStyle w:val="16"/>
              <w:spacing w:line="240" w:lineRule="auto"/>
              <w:rPr>
                <w:rFonts w:ascii="Times New Roman" w:hAnsi="Times New Roman" w:eastAsiaTheme="minorEastAsia"/>
                <w:kern w:val="2"/>
                <w:lang w:val="en-US"/>
              </w:rPr>
            </w:pPr>
            <w:r>
              <w:rPr>
                <w:rFonts w:ascii="Times New Roman" w:hAnsi="Times New Roman" w:eastAsiaTheme="minorEastAsia"/>
                <w:kern w:val="2"/>
                <w:lang w:val="en-US"/>
              </w:rPr>
              <w:t>Results show the annualized recurrence rate of dimethyl fumarate was 0.16 (95%CI (0.12, 0.18)), and that of</w:t>
            </w:r>
            <w:bookmarkStart w:id="28" w:name="OLE_LINK16"/>
            <w:r>
              <w:rPr>
                <w:rFonts w:ascii="Times New Roman" w:hAnsi="Times New Roman" w:eastAsiaTheme="minorEastAsia"/>
                <w:kern w:val="2"/>
                <w:lang w:val="en-US"/>
              </w:rPr>
              <w:t xml:space="preserve"> fingolimod </w:t>
            </w:r>
            <w:bookmarkEnd w:id="28"/>
            <w:r>
              <w:rPr>
                <w:rFonts w:ascii="Times New Roman" w:hAnsi="Times New Roman" w:eastAsiaTheme="minorEastAsia"/>
                <w:kern w:val="2"/>
                <w:lang w:val="en-US"/>
              </w:rPr>
              <w:t>was 0.13 (95%CI (0.08, 0.16)). The efficacy data for both are close and the differences are not significant.</w:t>
            </w:r>
          </w:p>
          <w:p>
            <w:pPr>
              <w:pStyle w:val="15"/>
              <w:rPr>
                <w:rFonts w:ascii="Times New Roman" w:hAnsi="Times New Roman" w:cs="Times New Roman"/>
              </w:rPr>
            </w:pPr>
            <w:r>
              <w:rPr>
                <w:rFonts w:ascii="Times New Roman" w:hAnsi="Times New Roman" w:cs="Times New Roman"/>
              </w:rPr>
              <w:t>Main efficacy indicators:</w:t>
            </w:r>
          </w:p>
          <w:tbl>
            <w:tblPr>
              <w:tblStyle w:val="10"/>
              <w:tblW w:w="651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31"/>
              <w:gridCol w:w="228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 w:hRule="atLeast"/>
              </w:trPr>
              <w:tc>
                <w:tcPr>
                  <w:tcW w:w="6514" w:type="dxa"/>
                  <w:gridSpan w:val="2"/>
                  <w:tcBorders>
                    <w:top w:val="single" w:color="auto" w:sz="4" w:space="0"/>
                    <w:bottom w:val="nil"/>
                  </w:tcBorders>
                  <w:shd w:val="clear" w:color="auto" w:fill="auto"/>
                  <w:noWrap/>
                  <w:vAlign w:val="center"/>
                </w:tcPr>
                <w:p>
                  <w:pPr>
                    <w:pStyle w:val="16"/>
                    <w:spacing w:line="240" w:lineRule="auto"/>
                    <w:rPr>
                      <w:rFonts w:ascii="Times New Roman" w:hAnsi="Times New Roman" w:eastAsiaTheme="minorEastAsia"/>
                      <w:lang w:val="en-US"/>
                    </w:rPr>
                  </w:pPr>
                  <w:r>
                    <w:rPr>
                      <w:rFonts w:ascii="Times New Roman" w:hAnsi="Times New Roman" w:eastAsia="Segoe UI"/>
                      <w:color w:val="2A2B2E"/>
                      <w:shd w:val="clear" w:color="auto" w:fill="FFFFFF"/>
                    </w:rPr>
                    <w:t>Dimethyl fumarate versus</w:t>
                  </w:r>
                  <w:r>
                    <w:rPr>
                      <w:rFonts w:ascii="Times New Roman" w:hAnsi="Times New Roman" w:eastAsiaTheme="minorEastAsia"/>
                      <w:kern w:val="2"/>
                    </w:rPr>
                    <w:t xml:space="preserve"> fingolimod </w:t>
                  </w:r>
                  <w:r>
                    <w:rPr>
                      <w:rFonts w:ascii="Times New Roman" w:hAnsi="Times New Roman" w:eastAsia="Segoe UI"/>
                      <w:b/>
                      <w:bCs/>
                      <w:color w:val="2A2B2E"/>
                      <w:shd w:val="clear" w:color="auto" w:fill="FFFFFF"/>
                    </w:rPr>
                    <w:t>Propensity score matching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trPr>
              <w:tc>
                <w:tcPr>
                  <w:tcW w:w="6514" w:type="dxa"/>
                  <w:gridSpan w:val="2"/>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Average Treatment effect on the Treated</w:t>
                  </w:r>
                  <w:r>
                    <w:rPr>
                      <w:rFonts w:ascii="Times New Roman" w:hAnsi="Times New Roman"/>
                      <w:lang w:val="en-US"/>
                    </w:rPr>
                    <w:t xml:space="preserve"> w</w:t>
                  </w:r>
                  <w:r>
                    <w:rPr>
                      <w:rFonts w:ascii="Times New Roman" w:hAnsi="Times New Roman"/>
                    </w:rPr>
                    <w:t>eighted result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trPr>
              <w:tc>
                <w:tcPr>
                  <w:tcW w:w="4231"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rPr>
                    <w:t>Annual recurrence rate (ARR)</w:t>
                  </w:r>
                </w:p>
              </w:tc>
              <w:tc>
                <w:tcPr>
                  <w:tcW w:w="2283"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rPr>
                    <w:t>1.56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231"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ARR (95% CI)</w:t>
                  </w:r>
                </w:p>
              </w:tc>
              <w:tc>
                <w:tcPr>
                  <w:tcW w:w="2283"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(0.78, 3.14)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231"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2A2B2E"/>
                      <w:shd w:val="clear" w:color="auto" w:fill="FFFFFF"/>
                    </w:rPr>
                    <w:t>Time to first recurrence</w:t>
                  </w:r>
                </w:p>
              </w:tc>
              <w:tc>
                <w:tcPr>
                  <w:tcW w:w="2283"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rPr>
                    <w:t xml:space="preserve">1.64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4231"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2A2B2E"/>
                      <w:shd w:val="clear" w:color="auto" w:fill="FFFFFF"/>
                    </w:rPr>
                    <w:t>Relative hazard ratio</w:t>
                  </w:r>
                  <w:r>
                    <w:rPr>
                      <w:rFonts w:ascii="Times New Roman" w:hAnsi="Times New Roman"/>
                    </w:rPr>
                    <w:t xml:space="preserve"> (95% CI)</w:t>
                  </w:r>
                </w:p>
              </w:tc>
              <w:tc>
                <w:tcPr>
                  <w:tcW w:w="2283"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(1.10, 2.46)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231"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Timed 25-foot walks</w:t>
                  </w:r>
                </w:p>
              </w:tc>
              <w:tc>
                <w:tcPr>
                  <w:tcW w:w="2283"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rPr>
                    <w: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231"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lang w:val="en-US"/>
                    </w:rPr>
                    <w:t>difference</w:t>
                  </w:r>
                  <w:r>
                    <w:rPr>
                      <w:rFonts w:ascii="Times New Roman" w:hAnsi="Times New Roman"/>
                    </w:rPr>
                    <w:t xml:space="preserve"> (95% </w:t>
                  </w:r>
                  <w:bookmarkStart w:id="29" w:name="OLE_LINK17"/>
                  <w:r>
                    <w:rPr>
                      <w:rFonts w:ascii="Times New Roman" w:hAnsi="Times New Roman"/>
                    </w:rPr>
                    <w:t>CI</w:t>
                  </w:r>
                  <w:bookmarkEnd w:id="29"/>
                  <w:r>
                    <w:rPr>
                      <w:rFonts w:ascii="Times New Roman" w:hAnsi="Times New Roman"/>
                    </w:rPr>
                    <w:t>)</w:t>
                  </w:r>
                </w:p>
              </w:tc>
              <w:tc>
                <w:tcPr>
                  <w:tcW w:w="2283"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w:t>
                  </w:r>
                  <w:r>
                    <w:rPr>
                      <w:rFonts w:ascii="Times New Roman" w:hAnsi="Times New Roman" w:eastAsia="微软雅黑"/>
                    </w:rPr>
                    <w:t>−</w:t>
                  </w:r>
                  <w:r>
                    <w:rPr>
                      <w:rFonts w:ascii="Times New Roman" w:hAnsi="Times New Roman"/>
                    </w:rPr>
                    <w:t>1.22, 1.23)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231"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 xml:space="preserve">Timed 25-foot walk </w:t>
                  </w:r>
                  <w:bookmarkStart w:id="30" w:name="OLE_LINK18"/>
                  <w:r>
                    <w:rPr>
                      <w:rFonts w:ascii="Times New Roman" w:hAnsi="Times New Roman" w:eastAsia="Segoe UI"/>
                      <w:color w:val="101214"/>
                      <w:shd w:val="clear" w:color="auto" w:fill="FFFFFF"/>
                    </w:rPr>
                    <w:t>20% worse</w:t>
                  </w:r>
                  <w:bookmarkEnd w:id="30"/>
                </w:p>
              </w:tc>
              <w:tc>
                <w:tcPr>
                  <w:tcW w:w="2283"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rPr>
                    <w:t>0.92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231"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OR（95% CI）</w:t>
                  </w:r>
                </w:p>
              </w:tc>
              <w:tc>
                <w:tcPr>
                  <w:tcW w:w="2283"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(0.57, 1.49)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trPr>
              <w:tc>
                <w:tcPr>
                  <w:tcW w:w="4231"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9 holes hand function test</w:t>
                  </w:r>
                </w:p>
              </w:tc>
              <w:tc>
                <w:tcPr>
                  <w:tcW w:w="2283" w:type="dxa"/>
                  <w:tcBorders>
                    <w:top w:val="single" w:color="auto" w:sz="4" w:space="0"/>
                    <w:bottom w:val="nil"/>
                  </w:tcBorders>
                  <w:shd w:val="clear" w:color="auto" w:fill="auto"/>
                  <w:noWrap/>
                  <w:vAlign w:val="center"/>
                </w:tcPr>
                <w:p>
                  <w:pPr>
                    <w:pStyle w:val="16"/>
                    <w:spacing w:line="240" w:lineRule="auto"/>
                    <w:rPr>
                      <w:rFonts w:ascii="Times New Roman" w:hAnsi="Times New Roman"/>
                    </w:rPr>
                  </w:pPr>
                  <w:r>
                    <w:rPr>
                      <w:rFonts w:ascii="Times New Roman" w:hAnsi="Times New Roman"/>
                    </w:rPr>
                    <w: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231"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lang w:val="en-US"/>
                    </w:rPr>
                    <w:t>difference</w:t>
                  </w:r>
                  <w:r>
                    <w:rPr>
                      <w:rFonts w:ascii="Times New Roman" w:hAnsi="Times New Roman"/>
                    </w:rPr>
                    <w:t xml:space="preserve"> (95% CI)</w:t>
                  </w:r>
                </w:p>
              </w:tc>
              <w:tc>
                <w:tcPr>
                  <w:tcW w:w="2283" w:type="dxa"/>
                  <w:tcBorders>
                    <w:top w:val="nil"/>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w:t>
                  </w:r>
                  <w:r>
                    <w:rPr>
                      <w:rFonts w:ascii="Times New Roman" w:hAnsi="Times New Roman" w:eastAsia="微软雅黑"/>
                    </w:rPr>
                    <w:t>−</w:t>
                  </w:r>
                  <w:r>
                    <w:rPr>
                      <w:rFonts w:ascii="Times New Roman" w:hAnsi="Times New Roman"/>
                    </w:rPr>
                    <w:t>0.06, 0.08)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trPr>
              <w:tc>
                <w:tcPr>
                  <w:tcW w:w="4231" w:type="dxa"/>
                  <w:tcBorders>
                    <w:top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9 holes hand function test</w:t>
                  </w:r>
                  <w:r>
                    <w:rPr>
                      <w:rFonts w:ascii="Times New Roman" w:hAnsi="Times New Roman"/>
                    </w:rPr>
                    <w:t xml:space="preserve"> </w:t>
                  </w:r>
                  <w:r>
                    <w:rPr>
                      <w:rFonts w:ascii="Times New Roman" w:hAnsi="Times New Roman" w:eastAsia="Segoe UI"/>
                      <w:color w:val="101214"/>
                      <w:shd w:val="clear" w:color="auto" w:fill="FFFFFF"/>
                    </w:rPr>
                    <w:t>20% worse</w:t>
                  </w:r>
                </w:p>
              </w:tc>
              <w:tc>
                <w:tcPr>
                  <w:tcW w:w="2283" w:type="dxa"/>
                  <w:tcBorders>
                    <w:top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1.06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trPr>
              <w:tc>
                <w:tcPr>
                  <w:tcW w:w="4231" w:type="dxa"/>
                  <w:shd w:val="clear" w:color="auto" w:fill="auto"/>
                  <w:noWrap/>
                  <w:vAlign w:val="center"/>
                </w:tcPr>
                <w:p>
                  <w:pPr>
                    <w:pStyle w:val="16"/>
                    <w:spacing w:line="240" w:lineRule="auto"/>
                    <w:rPr>
                      <w:rFonts w:ascii="Times New Roman" w:hAnsi="Times New Roman"/>
                    </w:rPr>
                  </w:pPr>
                  <w:r>
                    <w:rPr>
                      <w:rFonts w:ascii="Times New Roman" w:hAnsi="Times New Roman"/>
                    </w:rPr>
                    <w:t>OR（95% CI）</w:t>
                  </w:r>
                </w:p>
              </w:tc>
              <w:tc>
                <w:tcPr>
                  <w:tcW w:w="2283" w:type="dxa"/>
                  <w:shd w:val="clear" w:color="auto" w:fill="auto"/>
                  <w:noWrap/>
                  <w:vAlign w:val="center"/>
                </w:tcPr>
                <w:p>
                  <w:pPr>
                    <w:pStyle w:val="16"/>
                    <w:spacing w:line="240" w:lineRule="auto"/>
                    <w:rPr>
                      <w:rFonts w:ascii="Times New Roman" w:hAnsi="Times New Roman"/>
                    </w:rPr>
                  </w:pPr>
                  <w:r>
                    <w:rPr>
                      <w:rFonts w:ascii="Times New Roman" w:hAnsi="Times New Roman"/>
                    </w:rPr>
                    <w:t>(0.47, 2.42)</w:t>
                  </w:r>
                </w:p>
              </w:tc>
            </w:tr>
          </w:tbl>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rPr>
              <w:t xml:space="preserve">Secondary efficacy </w:t>
            </w:r>
            <w:r>
              <w:rPr>
                <w:rFonts w:ascii="Times New Roman" w:hAnsi="Times New Roman" w:eastAsiaTheme="minorEastAsia"/>
                <w:b/>
                <w:bCs/>
                <w:kern w:val="2"/>
                <w:lang w:val="en-US"/>
              </w:rPr>
              <w:t>indicators</w:t>
            </w:r>
            <w:r>
              <w:rPr>
                <w:rFonts w:ascii="Times New Roman" w:hAnsi="Times New Roman" w:eastAsiaTheme="minorEastAsia"/>
                <w:b/>
                <w:bCs/>
                <w:kern w:val="2"/>
              </w:rPr>
              <w:t>:</w:t>
            </w:r>
          </w:p>
          <w:p>
            <w:pPr>
              <w:pStyle w:val="16"/>
              <w:numPr>
                <w:ilvl w:val="0"/>
                <w:numId w:val="16"/>
              </w:numPr>
              <w:spacing w:line="240" w:lineRule="auto"/>
              <w:rPr>
                <w:rFonts w:ascii="Times New Roman" w:hAnsi="Times New Roman" w:eastAsiaTheme="minorEastAsia"/>
                <w:kern w:val="2"/>
              </w:rPr>
            </w:pPr>
            <w:r>
              <w:rPr>
                <w:rFonts w:ascii="Times New Roman" w:hAnsi="Times New Roman" w:eastAsiaTheme="minorEastAsia"/>
                <w:kern w:val="2"/>
              </w:rPr>
              <w:t>Dimethyl fumarate was more likely to develop new gadolinum-enhanced (GdE) lesions compared with fentomide (OR=2.19, 95% CI (1.10, 4.35)).</w:t>
            </w:r>
          </w:p>
          <w:p>
            <w:pPr>
              <w:pStyle w:val="16"/>
              <w:numPr>
                <w:ilvl w:val="0"/>
                <w:numId w:val="16"/>
              </w:numPr>
              <w:spacing w:line="240" w:lineRule="auto"/>
              <w:rPr>
                <w:rFonts w:ascii="Times New Roman" w:hAnsi="Times New Roman" w:eastAsiaTheme="minorEastAsia"/>
                <w:kern w:val="2"/>
              </w:rPr>
            </w:pPr>
            <w:r>
              <w:rPr>
                <w:rFonts w:ascii="Times New Roman" w:hAnsi="Times New Roman" w:eastAsiaTheme="minorEastAsia"/>
                <w:kern w:val="2"/>
              </w:rPr>
              <w:t>Based on real world research</w:t>
            </w:r>
          </w:p>
          <w:p>
            <w:pPr>
              <w:pStyle w:val="16"/>
              <w:spacing w:line="240" w:lineRule="auto"/>
              <w:rPr>
                <w:rFonts w:ascii="Times New Roman" w:hAnsi="Times New Roman" w:eastAsiaTheme="minorEastAsia"/>
                <w:kern w:val="2"/>
              </w:rPr>
            </w:pPr>
            <w:r>
              <w:rPr>
                <w:rFonts w:ascii="Times New Roman" w:hAnsi="Times New Roman" w:eastAsiaTheme="minorEastAsia"/>
                <w:kern w:val="2"/>
              </w:rPr>
              <w:t>Dimethyl fumarate and fingolimod showed similar results in measures related to neural performance, cognition, brain volume, and sNfL levels in the MS PATHS dataset.</w:t>
            </w:r>
            <w:r>
              <w:rPr>
                <w:rFonts w:ascii="Times New Roman" w:hAnsi="Times New Roman" w:eastAsiaTheme="minorEastAsia"/>
                <w:kern w:val="2"/>
                <w:lang w:val="en-US"/>
              </w:rPr>
              <w:t xml:space="preserve"> These data confirm and extend previous reports demonstrating comparable efficacy of dimethyl fumarate and fingolimod in the first 2-3 years of treatment, including equivalent MRI results.</w:t>
            </w:r>
          </w:p>
          <w:p>
            <w:pPr>
              <w:pStyle w:val="16"/>
              <w:numPr>
                <w:ilvl w:val="0"/>
                <w:numId w:val="16"/>
              </w:numPr>
              <w:spacing w:line="240" w:lineRule="auto"/>
              <w:rPr>
                <w:rFonts w:ascii="Times New Roman" w:hAnsi="Times New Roman" w:eastAsiaTheme="minorEastAsia"/>
                <w:kern w:val="2"/>
              </w:rPr>
            </w:pPr>
            <w:r>
              <w:rPr>
                <w:rFonts w:ascii="Times New Roman" w:hAnsi="Times New Roman" w:eastAsiaTheme="minorEastAsia"/>
                <w:kern w:val="2"/>
              </w:rPr>
              <w:t xml:space="preserve">Based on a </w:t>
            </w:r>
            <w:r>
              <w:rPr>
                <w:rFonts w:ascii="Times New Roman" w:hAnsi="Times New Roman" w:eastAsiaTheme="minorEastAsia"/>
                <w:kern w:val="2"/>
                <w:lang w:val="en-US"/>
              </w:rPr>
              <w:t>network</w:t>
            </w:r>
            <w:r>
              <w:rPr>
                <w:rFonts w:ascii="Times New Roman" w:hAnsi="Times New Roman" w:eastAsiaTheme="minorEastAsia"/>
                <w:kern w:val="2"/>
              </w:rPr>
              <w:t xml:space="preserve"> meta-analysis：Dimethyl fumarate and fingolimod have the same efficacy。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pct"/>
          </w:tcPr>
          <w:p>
            <w:pPr>
              <w:pStyle w:val="19"/>
              <w:rPr>
                <w:rFonts w:ascii="Times New Roman" w:hAnsi="Times New Roman" w:cs="Times New Roman"/>
                <w:b w:val="0"/>
                <w:bCs/>
              </w:rPr>
            </w:pPr>
            <w:r>
              <w:rPr>
                <w:rFonts w:ascii="Times New Roman" w:hAnsi="Times New Roman" w:cs="Times New Roman"/>
                <w:b/>
                <w:bCs w:val="0"/>
                <w:szCs w:val="21"/>
              </w:rPr>
              <w:t>Comparative safety/tolerability</w:t>
            </w:r>
          </w:p>
        </w:tc>
        <w:tc>
          <w:tcPr>
            <w:tcW w:w="3865" w:type="pct"/>
          </w:tcPr>
          <w:p>
            <w:pPr>
              <w:pStyle w:val="15"/>
              <w:rPr>
                <w:rFonts w:ascii="Times New Roman" w:hAnsi="Times New Roman" w:cs="Times New Roman"/>
              </w:rPr>
            </w:pPr>
            <w:r>
              <w:rPr>
                <w:rFonts w:ascii="Times New Roman" w:hAnsi="Times New Roman" w:cs="Times New Roman"/>
              </w:rPr>
              <w:t>Safety data:</w:t>
            </w:r>
          </w:p>
          <w:p>
            <w:pPr>
              <w:pStyle w:val="16"/>
              <w:numPr>
                <w:ilvl w:val="0"/>
                <w:numId w:val="17"/>
              </w:numPr>
              <w:spacing w:line="240" w:lineRule="auto"/>
              <w:rPr>
                <w:rFonts w:ascii="Times New Roman" w:hAnsi="Times New Roman" w:eastAsiaTheme="minorEastAsia"/>
                <w:kern w:val="2"/>
              </w:rPr>
            </w:pPr>
            <w:r>
              <w:rPr>
                <w:rFonts w:ascii="Times New Roman" w:hAnsi="Times New Roman" w:eastAsiaTheme="minorEastAsia"/>
                <w:kern w:val="2"/>
              </w:rPr>
              <w:t>Based on a retrospective cohort study</w:t>
            </w:r>
          </w:p>
          <w:p>
            <w:pPr>
              <w:pStyle w:val="16"/>
              <w:spacing w:line="240" w:lineRule="auto"/>
              <w:rPr>
                <w:rFonts w:ascii="Times New Roman" w:hAnsi="Times New Roman" w:eastAsiaTheme="minorEastAsia"/>
                <w:kern w:val="2"/>
              </w:rPr>
            </w:pPr>
            <w:r>
              <w:rPr>
                <w:rFonts w:ascii="Times New Roman" w:hAnsi="Times New Roman" w:eastAsiaTheme="minorEastAsia"/>
                <w:kern w:val="2"/>
              </w:rPr>
              <w:t>Dimethyl fumarate was better tolerated than fingolimod. Resistance to dimethyl fumarate was 3.54%, and fingolimod was 4.23%.</w:t>
            </w:r>
          </w:p>
          <w:p>
            <w:pPr>
              <w:pStyle w:val="16"/>
              <w:numPr>
                <w:ilvl w:val="0"/>
                <w:numId w:val="17"/>
              </w:numPr>
              <w:spacing w:line="240" w:lineRule="auto"/>
              <w:rPr>
                <w:rFonts w:ascii="Times New Roman" w:hAnsi="Times New Roman" w:eastAsiaTheme="minorEastAsia"/>
                <w:kern w:val="2"/>
              </w:rPr>
            </w:pPr>
            <w:r>
              <w:rPr>
                <w:rFonts w:ascii="Times New Roman" w:hAnsi="Times New Roman" w:eastAsiaTheme="minorEastAsia"/>
                <w:kern w:val="2"/>
              </w:rPr>
              <w:t>Based on a retrospective cohort study of 631 patients</w:t>
            </w:r>
          </w:p>
          <w:p>
            <w:pPr>
              <w:pStyle w:val="16"/>
              <w:spacing w:line="240" w:lineRule="auto"/>
              <w:rPr>
                <w:rFonts w:ascii="Times New Roman" w:hAnsi="Times New Roman" w:eastAsiaTheme="minorEastAsia"/>
                <w:kern w:val="2"/>
              </w:rPr>
            </w:pPr>
            <w:r>
              <w:rPr>
                <w:rFonts w:ascii="Times New Roman" w:hAnsi="Times New Roman" w:eastAsiaTheme="minorEastAsia"/>
                <w:kern w:val="2"/>
              </w:rPr>
              <w:t>There are differences in tolerance between fingolimod and dimethyl fumarate. Fingoliform is most commonly associated with nasopharyngitis, headache, fatigue, and diarrhea.</w:t>
            </w:r>
            <w:r>
              <w:rPr>
                <w:rFonts w:ascii="Times New Roman" w:hAnsi="Times New Roman" w:eastAsiaTheme="minorEastAsia"/>
                <w:kern w:val="2"/>
                <w:lang w:val="en-US"/>
              </w:rPr>
              <w:t xml:space="preserve"> In addition, Fingolimode requires an ophthalmic examination due to its association with macular edema and a 6-hour monitoring period after receiving the first dose due to the risk of rare cardiovascular AEs during the initiation of treatment. Common AEs associated with dimethyl fumarate include flushing, nausea, diarrhea, and vomiting, which are most severe during the first few weeks of treatment.</w:t>
            </w:r>
          </w:p>
          <w:p>
            <w:pPr>
              <w:pStyle w:val="16"/>
              <w:numPr>
                <w:ilvl w:val="0"/>
                <w:numId w:val="17"/>
              </w:numPr>
              <w:spacing w:line="240" w:lineRule="auto"/>
              <w:rPr>
                <w:rFonts w:ascii="Times New Roman" w:hAnsi="Times New Roman" w:eastAsiaTheme="minorEastAsia"/>
                <w:kern w:val="2"/>
                <w:sz w:val="22"/>
                <w:szCs w:val="22"/>
              </w:rPr>
            </w:pPr>
            <w:r>
              <w:rPr>
                <w:rFonts w:ascii="Times New Roman" w:hAnsi="Times New Roman" w:eastAsiaTheme="minorEastAsia"/>
                <w:kern w:val="2"/>
                <w:sz w:val="22"/>
                <w:szCs w:val="22"/>
              </w:rPr>
              <w:t>Based on FDA Adverse Reaction database studies</w:t>
            </w:r>
          </w:p>
          <w:p>
            <w:pPr>
              <w:pStyle w:val="16"/>
              <w:spacing w:line="240" w:lineRule="auto"/>
              <w:rPr>
                <w:rFonts w:ascii="Times New Roman" w:hAnsi="Times New Roman" w:eastAsiaTheme="minorEastAsia"/>
                <w:kern w:val="2"/>
              </w:rPr>
            </w:pPr>
            <w:r>
              <w:rPr>
                <w:rFonts w:ascii="Times New Roman" w:hAnsi="Times New Roman" w:eastAsiaTheme="minorEastAsia"/>
                <w:kern w:val="2"/>
              </w:rPr>
              <w:t>Fingolimod had a significantly higher risk of PML, viral infection, fungal infection, elevated transaminases, macular edema, and cryptococcal infection compared to dimethyl fumarate. Dimethyl fumarate caused significantly more flushing than fingolimod.</w:t>
            </w:r>
          </w:p>
          <w:p>
            <w:pPr>
              <w:pStyle w:val="16"/>
              <w:numPr>
                <w:ilvl w:val="0"/>
                <w:numId w:val="17"/>
              </w:numPr>
              <w:spacing w:line="240" w:lineRule="auto"/>
              <w:rPr>
                <w:rFonts w:ascii="Times New Roman" w:hAnsi="Times New Roman" w:eastAsiaTheme="minorEastAsia"/>
                <w:kern w:val="2"/>
              </w:rPr>
            </w:pPr>
            <w:r>
              <w:rPr>
                <w:rFonts w:ascii="Times New Roman" w:hAnsi="Times New Roman" w:eastAsiaTheme="minorEastAsia"/>
                <w:kern w:val="2"/>
              </w:rPr>
              <w:t>Based on a review</w:t>
            </w:r>
          </w:p>
          <w:p>
            <w:pPr>
              <w:pStyle w:val="16"/>
              <w:spacing w:line="240" w:lineRule="auto"/>
              <w:rPr>
                <w:rFonts w:ascii="Times New Roman" w:hAnsi="Times New Roman" w:eastAsiaTheme="minorEastAsia"/>
                <w:kern w:val="2"/>
              </w:rPr>
            </w:pPr>
            <w:r>
              <w:rPr>
                <w:rFonts w:ascii="Times New Roman" w:hAnsi="Times New Roman" w:eastAsiaTheme="minorEastAsia"/>
                <w:kern w:val="2"/>
              </w:rPr>
              <w:t>Dimethyl fumarate has little impact on patients' daily pregnancy preparation and vaccination (including COVID-19 vaccine). Fingolimod reduces the immune response to the flu vaccine.</w:t>
            </w:r>
          </w:p>
        </w:tc>
      </w:tr>
      <w:bookmarkEnd w:id="27"/>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Comparative patient-perceived health/patient-reported outcomes</w:t>
            </w:r>
          </w:p>
        </w:tc>
        <w:tc>
          <w:tcPr>
            <w:tcW w:w="3865" w:type="pct"/>
          </w:tcPr>
          <w:p>
            <w:pPr>
              <w:pStyle w:val="16"/>
              <w:spacing w:line="240" w:lineRule="auto"/>
              <w:rPr>
                <w:rFonts w:ascii="Times New Roman" w:hAnsi="Times New Roman" w:eastAsiaTheme="minorEastAsia"/>
                <w:b/>
                <w:bCs/>
                <w:kern w:val="2"/>
                <w:lang w:val="en-US"/>
              </w:rPr>
            </w:pPr>
            <w:r>
              <w:rPr>
                <w:rFonts w:hint="eastAsia" w:ascii="Times New Roman" w:hAnsi="Times New Roman" w:eastAsiaTheme="minorEastAsia"/>
                <w:b/>
                <w:bCs/>
                <w:kern w:val="2"/>
                <w:lang w:val="en-US"/>
              </w:rPr>
              <w:t>P</w:t>
            </w:r>
            <w:r>
              <w:rPr>
                <w:rFonts w:ascii="Times New Roman" w:hAnsi="Times New Roman" w:eastAsiaTheme="minorEastAsia"/>
                <w:b/>
                <w:bCs/>
                <w:kern w:val="2"/>
              </w:rPr>
              <w:t>atient-reported outcome</w:t>
            </w:r>
            <w:r>
              <w:rPr>
                <w:rFonts w:ascii="Times New Roman" w:hAnsi="Times New Roman" w:eastAsiaTheme="minorEastAsia"/>
                <w:b/>
                <w:bCs/>
                <w:kern w:val="2"/>
                <w:lang w:val="en-US"/>
              </w:rPr>
              <w:t>:</w:t>
            </w:r>
          </w:p>
          <w:tbl>
            <w:tblPr>
              <w:tblStyle w:val="10"/>
              <w:tblpPr w:leftFromText="180" w:rightFromText="180" w:vertAnchor="page" w:horzAnchor="page" w:tblpX="129" w:tblpY="1867"/>
              <w:tblOverlap w:val="never"/>
              <w:tblW w:w="4935"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05"/>
              <w:gridCol w:w="1439"/>
              <w:gridCol w:w="1584"/>
              <w:gridCol w:w="154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5000" w:type="pct"/>
                  <w:gridSpan w:val="4"/>
                  <w:shd w:val="clear" w:color="auto" w:fill="auto"/>
                  <w:noWrap/>
                  <w:vAlign w:val="center"/>
                </w:tcPr>
                <w:p>
                  <w:pPr>
                    <w:widowControl/>
                    <w:ind w:firstLine="420"/>
                    <w:rPr>
                      <w:rFonts w:ascii="Times New Roman" w:hAnsi="Times New Roman" w:cs="Times New Roman"/>
                      <w:szCs w:val="21"/>
                    </w:rPr>
                  </w:pPr>
                  <w:r>
                    <w:rPr>
                      <w:rFonts w:ascii="Times New Roman" w:hAnsi="Times New Roman" w:cs="Times New Roman"/>
                      <w:szCs w:val="21"/>
                    </w:rPr>
                    <w:t>Patient outcomes were reported after 12 months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5000" w:type="pct"/>
                  <w:gridSpan w:val="4"/>
                  <w:tcBorders>
                    <w:bottom w:val="single" w:color="auto" w:sz="4" w:space="0"/>
                  </w:tcBorders>
                  <w:shd w:val="clear" w:color="auto" w:fill="auto"/>
                  <w:vAlign w:val="center"/>
                </w:tcPr>
                <w:p>
                  <w:pPr>
                    <w:widowControl/>
                    <w:ind w:firstLine="420"/>
                    <w:rPr>
                      <w:rFonts w:ascii="Times New Roman" w:hAnsi="Times New Roman" w:cs="Times New Roman"/>
                      <w:szCs w:val="21"/>
                    </w:rPr>
                  </w:pPr>
                  <w:r>
                    <w:rPr>
                      <w:rFonts w:ascii="Times New Roman" w:hAnsi="Times New Roman" w:cs="Times New Roman"/>
                    </w:rPr>
                    <w:t>Dimethyl fumarate versus Fingolimod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677" w:type="pct"/>
                  <w:tcBorders>
                    <w:top w:val="single" w:color="auto" w:sz="4" w:space="0"/>
                    <w:bottom w:val="nil"/>
                  </w:tcBorders>
                  <w:shd w:val="clear" w:color="auto" w:fill="auto"/>
                  <w:vAlign w:val="center"/>
                </w:tcPr>
                <w:p>
                  <w:pPr>
                    <w:pStyle w:val="15"/>
                    <w:rPr>
                      <w:rFonts w:ascii="Times New Roman" w:hAnsi="Times New Roman" w:cs="Times New Roman"/>
                      <w:b w:val="0"/>
                      <w:bCs w:val="0"/>
                    </w:rPr>
                  </w:pPr>
                  <w:r>
                    <w:rPr>
                      <w:rFonts w:ascii="Times New Roman" w:hAnsi="Times New Roman" w:cs="Times New Roman"/>
                      <w:b w:val="0"/>
                      <w:bCs w:val="0"/>
                    </w:rPr>
                    <w:t>PHQ-9*difference</w:t>
                  </w:r>
                </w:p>
              </w:tc>
              <w:tc>
                <w:tcPr>
                  <w:tcW w:w="1047" w:type="pct"/>
                  <w:tcBorders>
                    <w:top w:val="single" w:color="auto" w:sz="4" w:space="0"/>
                    <w:bottom w:val="nil"/>
                  </w:tcBorders>
                  <w:shd w:val="clear" w:color="auto" w:fill="auto"/>
                  <w:vAlign w:val="center"/>
                </w:tcPr>
                <w:p>
                  <w:pPr>
                    <w:pStyle w:val="16"/>
                    <w:spacing w:line="240" w:lineRule="auto"/>
                    <w:rPr>
                      <w:rFonts w:ascii="Times New Roman" w:hAnsi="Times New Roman"/>
                    </w:rPr>
                  </w:pPr>
                  <w:r>
                    <w:rPr>
                      <w:rFonts w:ascii="Times New Roman" w:hAnsi="Times New Roman"/>
                    </w:rPr>
                    <w:t>0.12</w:t>
                  </w:r>
                </w:p>
              </w:tc>
              <w:tc>
                <w:tcPr>
                  <w:tcW w:w="1152" w:type="pct"/>
                  <w:tcBorders>
                    <w:top w:val="single" w:color="auto" w:sz="4" w:space="0"/>
                    <w:bottom w:val="nil"/>
                  </w:tcBorders>
                  <w:shd w:val="clear" w:color="auto" w:fill="auto"/>
                  <w:vAlign w:val="center"/>
                </w:tcPr>
                <w:p>
                  <w:pPr>
                    <w:pStyle w:val="16"/>
                    <w:spacing w:line="240" w:lineRule="auto"/>
                    <w:rPr>
                      <w:rFonts w:ascii="Times New Roman" w:hAnsi="Times New Roman"/>
                    </w:rPr>
                  </w:pPr>
                  <w:r>
                    <w:rPr>
                      <w:rFonts w:ascii="Times New Roman" w:hAnsi="Times New Roman" w:eastAsia="微软雅黑"/>
                    </w:rPr>
                    <w:t>−</w:t>
                  </w:r>
                  <w:r>
                    <w:rPr>
                      <w:rFonts w:ascii="Times New Roman" w:hAnsi="Times New Roman"/>
                    </w:rPr>
                    <w:t>0.14</w:t>
                  </w:r>
                </w:p>
              </w:tc>
              <w:tc>
                <w:tcPr>
                  <w:tcW w:w="1122" w:type="pct"/>
                  <w:tcBorders>
                    <w:top w:val="single" w:color="auto" w:sz="4" w:space="0"/>
                    <w:bottom w:val="nil"/>
                  </w:tcBorders>
                  <w:shd w:val="clear" w:color="auto" w:fill="auto"/>
                  <w:vAlign w:val="center"/>
                </w:tcPr>
                <w:p>
                  <w:pPr>
                    <w:pStyle w:val="16"/>
                    <w:spacing w:line="240" w:lineRule="auto"/>
                    <w:rPr>
                      <w:rFonts w:ascii="Times New Roman" w:hAnsi="Times New Roman"/>
                    </w:rPr>
                  </w:pPr>
                  <w:r>
                    <w:rPr>
                      <w:rFonts w:ascii="Times New Roman" w:hAnsi="Times New Roman"/>
                    </w:rPr>
                    <w:t>-0.14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 w:hRule="atLeast"/>
              </w:trPr>
              <w:tc>
                <w:tcPr>
                  <w:tcW w:w="1677" w:type="pct"/>
                  <w:tcBorders>
                    <w:top w:val="nil"/>
                    <w:bottom w:val="single" w:color="auto" w:sz="4" w:space="0"/>
                  </w:tcBorders>
                  <w:shd w:val="clear" w:color="auto" w:fill="auto"/>
                  <w:vAlign w:val="center"/>
                </w:tcPr>
                <w:p>
                  <w:pPr>
                    <w:pStyle w:val="15"/>
                    <w:rPr>
                      <w:rFonts w:ascii="Times New Roman" w:hAnsi="Times New Roman" w:cs="Times New Roman"/>
                      <w:b w:val="0"/>
                      <w:bCs w:val="0"/>
                    </w:rPr>
                  </w:pPr>
                  <w:r>
                    <w:rPr>
                      <w:rFonts w:ascii="Times New Roman" w:hAnsi="Times New Roman" w:cs="Times New Roman"/>
                      <w:b w:val="0"/>
                      <w:bCs w:val="0"/>
                    </w:rPr>
                    <w:t xml:space="preserve"> (95% CI)</w:t>
                  </w:r>
                </w:p>
              </w:tc>
              <w:tc>
                <w:tcPr>
                  <w:tcW w:w="1047" w:type="pct"/>
                  <w:tcBorders>
                    <w:top w:val="nil"/>
                    <w:bottom w:val="single" w:color="auto" w:sz="4" w:space="0"/>
                  </w:tcBorders>
                  <w:shd w:val="clear" w:color="auto" w:fill="auto"/>
                  <w:vAlign w:val="center"/>
                </w:tcPr>
                <w:p>
                  <w:pPr>
                    <w:pStyle w:val="16"/>
                    <w:spacing w:line="240" w:lineRule="auto"/>
                    <w:rPr>
                      <w:rFonts w:ascii="Times New Roman" w:hAnsi="Times New Roman"/>
                    </w:rPr>
                  </w:pPr>
                  <w:r>
                    <w:rPr>
                      <w:rFonts w:ascii="Times New Roman" w:hAnsi="Times New Roman"/>
                    </w:rPr>
                    <w:t>(</w:t>
                  </w:r>
                  <w:r>
                    <w:rPr>
                      <w:rFonts w:ascii="Times New Roman" w:hAnsi="Times New Roman" w:eastAsia="微软雅黑"/>
                    </w:rPr>
                    <w:t>−</w:t>
                  </w:r>
                  <w:r>
                    <w:rPr>
                      <w:rFonts w:ascii="Times New Roman" w:hAnsi="Times New Roman"/>
                    </w:rPr>
                    <w:t>0.76,1.01)</w:t>
                  </w:r>
                </w:p>
              </w:tc>
              <w:tc>
                <w:tcPr>
                  <w:tcW w:w="1152" w:type="pct"/>
                  <w:tcBorders>
                    <w:top w:val="nil"/>
                    <w:bottom w:val="single" w:color="auto" w:sz="4" w:space="0"/>
                  </w:tcBorders>
                  <w:shd w:val="clear" w:color="auto" w:fill="auto"/>
                  <w:vAlign w:val="center"/>
                </w:tcPr>
                <w:p>
                  <w:pPr>
                    <w:pStyle w:val="16"/>
                    <w:spacing w:line="240" w:lineRule="auto"/>
                    <w:rPr>
                      <w:rFonts w:ascii="Times New Roman" w:hAnsi="Times New Roman"/>
                    </w:rPr>
                  </w:pPr>
                  <w:r>
                    <w:rPr>
                      <w:rFonts w:ascii="Times New Roman" w:hAnsi="Times New Roman"/>
                    </w:rPr>
                    <w:t>(-1.16,0.89)</w:t>
                  </w:r>
                </w:p>
              </w:tc>
              <w:tc>
                <w:tcPr>
                  <w:tcW w:w="1122" w:type="pct"/>
                  <w:tcBorders>
                    <w:top w:val="nil"/>
                    <w:bottom w:val="single" w:color="auto" w:sz="4" w:space="0"/>
                  </w:tcBorders>
                  <w:shd w:val="clear" w:color="auto" w:fill="auto"/>
                  <w:vAlign w:val="center"/>
                </w:tcPr>
                <w:p>
                  <w:pPr>
                    <w:pStyle w:val="16"/>
                    <w:spacing w:line="240" w:lineRule="auto"/>
                    <w:rPr>
                      <w:rFonts w:ascii="Times New Roman" w:hAnsi="Times New Roman"/>
                    </w:rPr>
                  </w:pPr>
                  <w:r>
                    <w:rPr>
                      <w:rFonts w:ascii="Times New Roman" w:hAnsi="Times New Roman"/>
                    </w:rPr>
                    <w:t>(-1.27,1.00)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77" w:type="pct"/>
                  <w:tcBorders>
                    <w:top w:val="single" w:color="auto" w:sz="4" w:space="0"/>
                  </w:tcBorders>
                  <w:shd w:val="clear" w:color="auto" w:fill="auto"/>
                  <w:vAlign w:val="center"/>
                </w:tcPr>
                <w:p>
                  <w:pPr>
                    <w:pStyle w:val="15"/>
                    <w:rPr>
                      <w:rFonts w:ascii="Times New Roman" w:hAnsi="Times New Roman" w:cs="Times New Roman"/>
                      <w:b w:val="0"/>
                      <w:bCs w:val="0"/>
                    </w:rPr>
                  </w:pPr>
                  <w:bookmarkStart w:id="31" w:name="OLE_LINK20"/>
                  <w:r>
                    <w:rPr>
                      <w:rFonts w:ascii="Times New Roman" w:hAnsi="Times New Roman" w:cs="Times New Roman"/>
                      <w:b w:val="0"/>
                      <w:bCs w:val="0"/>
                    </w:rPr>
                    <w:t>Anxiety</w:t>
                  </w:r>
                  <w:bookmarkEnd w:id="31"/>
                  <w:r>
                    <w:rPr>
                      <w:rFonts w:ascii="Times New Roman" w:hAnsi="Times New Roman" w:cs="Times New Roman"/>
                      <w:b w:val="0"/>
                      <w:bCs w:val="0"/>
                    </w:rPr>
                    <w:t xml:space="preserve"> OR</w:t>
                  </w:r>
                </w:p>
              </w:tc>
              <w:tc>
                <w:tcPr>
                  <w:tcW w:w="1047" w:type="pct"/>
                  <w:tcBorders>
                    <w:top w:val="single" w:color="auto" w:sz="4" w:space="0"/>
                  </w:tcBorders>
                  <w:shd w:val="clear" w:color="auto" w:fill="auto"/>
                  <w:vAlign w:val="center"/>
                </w:tcPr>
                <w:p>
                  <w:pPr>
                    <w:pStyle w:val="16"/>
                    <w:spacing w:line="240" w:lineRule="auto"/>
                    <w:rPr>
                      <w:rFonts w:ascii="Times New Roman" w:hAnsi="Times New Roman"/>
                    </w:rPr>
                  </w:pPr>
                  <w:r>
                    <w:rPr>
                      <w:rFonts w:ascii="Times New Roman" w:hAnsi="Times New Roman"/>
                    </w:rPr>
                    <w:t>1.02</w:t>
                  </w:r>
                </w:p>
              </w:tc>
              <w:tc>
                <w:tcPr>
                  <w:tcW w:w="1152" w:type="pct"/>
                  <w:tcBorders>
                    <w:top w:val="single" w:color="auto" w:sz="4" w:space="0"/>
                  </w:tcBorders>
                  <w:shd w:val="clear" w:color="auto" w:fill="auto"/>
                  <w:vAlign w:val="center"/>
                </w:tcPr>
                <w:p>
                  <w:pPr>
                    <w:pStyle w:val="16"/>
                    <w:spacing w:line="240" w:lineRule="auto"/>
                    <w:rPr>
                      <w:rFonts w:ascii="Times New Roman" w:hAnsi="Times New Roman"/>
                    </w:rPr>
                  </w:pPr>
                  <w:r>
                    <w:rPr>
                      <w:rFonts w:ascii="Times New Roman" w:hAnsi="Times New Roman"/>
                    </w:rPr>
                    <w:t>0.68</w:t>
                  </w:r>
                </w:p>
              </w:tc>
              <w:tc>
                <w:tcPr>
                  <w:tcW w:w="1122" w:type="pct"/>
                  <w:tcBorders>
                    <w:top w:val="single" w:color="auto" w:sz="4" w:space="0"/>
                  </w:tcBorders>
                  <w:shd w:val="clear" w:color="auto" w:fill="auto"/>
                  <w:vAlign w:val="center"/>
                </w:tcPr>
                <w:p>
                  <w:pPr>
                    <w:pStyle w:val="16"/>
                    <w:spacing w:line="240" w:lineRule="auto"/>
                    <w:rPr>
                      <w:rFonts w:ascii="Times New Roman" w:hAnsi="Times New Roman"/>
                    </w:rPr>
                  </w:pPr>
                  <w:r>
                    <w:rPr>
                      <w:rFonts w:ascii="Times New Roman" w:hAnsi="Times New Roma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 w:hRule="atLeast"/>
              </w:trPr>
              <w:tc>
                <w:tcPr>
                  <w:tcW w:w="1677" w:type="pct"/>
                  <w:shd w:val="clear" w:color="auto" w:fill="auto"/>
                  <w:vAlign w:val="center"/>
                </w:tcPr>
                <w:p>
                  <w:pPr>
                    <w:pStyle w:val="15"/>
                    <w:rPr>
                      <w:rFonts w:ascii="Times New Roman" w:hAnsi="Times New Roman" w:cs="Times New Roman"/>
                      <w:b w:val="0"/>
                      <w:bCs w:val="0"/>
                    </w:rPr>
                  </w:pPr>
                  <w:r>
                    <w:rPr>
                      <w:rFonts w:ascii="Times New Roman" w:hAnsi="Times New Roman" w:cs="Times New Roman"/>
                      <w:b w:val="0"/>
                      <w:bCs w:val="0"/>
                    </w:rPr>
                    <w:t>(95% CI)</w:t>
                  </w:r>
                </w:p>
              </w:tc>
              <w:tc>
                <w:tcPr>
                  <w:tcW w:w="1047" w:type="pct"/>
                  <w:shd w:val="clear" w:color="auto" w:fill="auto"/>
                  <w:vAlign w:val="center"/>
                </w:tcPr>
                <w:p>
                  <w:pPr>
                    <w:pStyle w:val="16"/>
                    <w:spacing w:line="240" w:lineRule="auto"/>
                    <w:rPr>
                      <w:rFonts w:ascii="Times New Roman" w:hAnsi="Times New Roman"/>
                    </w:rPr>
                  </w:pPr>
                  <w:r>
                    <w:rPr>
                      <w:rFonts w:ascii="Times New Roman" w:hAnsi="Times New Roman"/>
                    </w:rPr>
                    <w:t>(0.70,1.50)</w:t>
                  </w:r>
                </w:p>
              </w:tc>
              <w:tc>
                <w:tcPr>
                  <w:tcW w:w="1152" w:type="pct"/>
                  <w:shd w:val="clear" w:color="auto" w:fill="auto"/>
                  <w:vAlign w:val="center"/>
                </w:tcPr>
                <w:p>
                  <w:pPr>
                    <w:pStyle w:val="16"/>
                    <w:spacing w:line="240" w:lineRule="auto"/>
                    <w:rPr>
                      <w:rFonts w:ascii="Times New Roman" w:hAnsi="Times New Roman"/>
                    </w:rPr>
                  </w:pPr>
                  <w:r>
                    <w:rPr>
                      <w:rFonts w:ascii="Times New Roman" w:hAnsi="Times New Roman"/>
                    </w:rPr>
                    <w:t>(0.35,1.35)</w:t>
                  </w:r>
                </w:p>
              </w:tc>
              <w:tc>
                <w:tcPr>
                  <w:tcW w:w="1122" w:type="pct"/>
                  <w:shd w:val="clear" w:color="auto" w:fill="auto"/>
                  <w:vAlign w:val="center"/>
                </w:tcPr>
                <w:p>
                  <w:pPr>
                    <w:pStyle w:val="16"/>
                    <w:spacing w:line="240" w:lineRule="auto"/>
                    <w:rPr>
                      <w:rFonts w:ascii="Times New Roman" w:hAnsi="Times New Roman"/>
                    </w:rPr>
                  </w:pPr>
                  <w:r>
                    <w:rPr>
                      <w:rFonts w:ascii="Times New Roman" w:hAnsi="Times New Roman"/>
                    </w:rPr>
                    <w:t>(0.63,1.60)</w:t>
                  </w:r>
                </w:p>
              </w:tc>
            </w:tr>
          </w:tbl>
          <w:p>
            <w:pPr>
              <w:pStyle w:val="16"/>
              <w:spacing w:line="240" w:lineRule="auto"/>
              <w:rPr>
                <w:rFonts w:ascii="Times New Roman" w:hAnsi="Times New Roman" w:eastAsiaTheme="minorEastAsia"/>
                <w:kern w:val="2"/>
              </w:rPr>
            </w:pPr>
            <w:r>
              <w:rPr>
                <w:rFonts w:ascii="Times New Roman" w:hAnsi="Times New Roman" w:eastAsiaTheme="minorEastAsia"/>
                <w:kern w:val="2"/>
              </w:rPr>
              <w:t xml:space="preserve">A retrospective observational cohort study reported patient-reported outcomes in patients treated with </w:t>
            </w:r>
            <w:bookmarkStart w:id="32" w:name="OLE_LINK19"/>
            <w:r>
              <w:rPr>
                <w:rFonts w:ascii="Times New Roman" w:hAnsi="Times New Roman" w:eastAsiaTheme="minorEastAsia"/>
                <w:kern w:val="2"/>
              </w:rPr>
              <w:t>dimethyl fumarate and fingolimod</w:t>
            </w:r>
            <w:bookmarkEnd w:id="32"/>
            <w:r>
              <w:rPr>
                <w:rFonts w:ascii="Times New Roman" w:hAnsi="Times New Roman" w:eastAsiaTheme="minorEastAsia"/>
                <w:kern w:val="2"/>
              </w:rPr>
              <w:t>, as shown in the table below. The data were not statistically different, indicating that there was no difference in the effect of the two drugs on patient-reported outcomes.</w:t>
            </w:r>
          </w:p>
          <w:p>
            <w:pPr>
              <w:pStyle w:val="16"/>
              <w:spacing w:line="240" w:lineRule="auto"/>
              <w:rPr>
                <w:rFonts w:ascii="Times New Roman" w:hAnsi="Times New Roman" w:eastAsiaTheme="minorEastAsia"/>
                <w:kern w:val="2"/>
              </w:rPr>
            </w:pPr>
            <w:r>
              <w:rPr>
                <w:rFonts w:ascii="Times New Roman" w:hAnsi="Times New Roman" w:eastAsiaTheme="minorEastAsia"/>
                <w:kern w:val="2"/>
              </w:rPr>
              <w:t>*PHQ-9：Patient Health Questionnaire-9；**</w:t>
            </w:r>
            <w:r>
              <w:rPr>
                <w:rFonts w:ascii="Times New Roman" w:hAnsi="Times New Roman" w:eastAsiaTheme="minorEastAsia"/>
                <w:kern w:val="2"/>
                <w:lang w:val="en-US"/>
              </w:rPr>
              <w:t>Anxiety</w:t>
            </w:r>
            <w:r>
              <w:rPr>
                <w:rFonts w:ascii="Times New Roman" w:hAnsi="Times New Roman" w:eastAsiaTheme="minorEastAsia"/>
                <w:kern w:val="2"/>
              </w:rPr>
              <w:t>：PHQ9≥10</w:t>
            </w:r>
          </w:p>
          <w:p>
            <w:pPr>
              <w:pStyle w:val="16"/>
              <w:spacing w:line="240" w:lineRule="auto"/>
              <w:rPr>
                <w:rFonts w:ascii="Times New Roman" w:hAnsi="Times New Roman" w:eastAsiaTheme="minorEastAsia"/>
                <w:kern w:val="2"/>
              </w:rPr>
            </w:pPr>
          </w:p>
          <w:p>
            <w:pPr>
              <w:pStyle w:val="16"/>
              <w:spacing w:line="240" w:lineRule="auto"/>
              <w:rPr>
                <w:rFonts w:ascii="Times New Roman" w:hAnsi="Times New Roman" w:eastAsiaTheme="minorEastAsia"/>
                <w:b/>
                <w:bCs/>
                <w:kern w:val="2"/>
                <w:lang w:val="en-US"/>
              </w:rPr>
            </w:pPr>
            <w:r>
              <w:rPr>
                <w:rFonts w:ascii="Times New Roman" w:hAnsi="Times New Roman" w:eastAsiaTheme="minorEastAsia"/>
                <w:b/>
                <w:bCs/>
                <w:kern w:val="2"/>
              </w:rPr>
              <w:t>Convenience</w:t>
            </w:r>
            <w:r>
              <w:rPr>
                <w:rFonts w:ascii="Times New Roman" w:hAnsi="Times New Roman" w:eastAsiaTheme="minorEastAsia"/>
                <w:b/>
                <w:bCs/>
                <w:kern w:val="2"/>
                <w:lang w:val="en-US"/>
              </w:rPr>
              <w:t>:</w:t>
            </w:r>
          </w:p>
          <w:p>
            <w:pPr>
              <w:pStyle w:val="15"/>
              <w:rPr>
                <w:rFonts w:ascii="Times New Roman" w:hAnsi="Times New Roman" w:cs="Times New Roman"/>
                <w:b w:val="0"/>
                <w:bCs w:val="0"/>
              </w:rPr>
            </w:pPr>
            <w:r>
              <w:rPr>
                <w:rFonts w:ascii="Times New Roman" w:hAnsi="Times New Roman" w:cs="Times New Roman"/>
                <w:b w:val="0"/>
                <w:bCs w:val="0"/>
              </w:rPr>
              <w:t>Dimethyl fumarate and fingolimod are both oral tablets.</w:t>
            </w:r>
          </w:p>
          <w:p>
            <w:pPr>
              <w:pStyle w:val="15"/>
              <w:rPr>
                <w:rFonts w:ascii="Times New Roman" w:hAnsi="Times New Roman" w:cs="Times New Roman"/>
              </w:rPr>
            </w:pPr>
            <w:r>
              <w:rPr>
                <w:rFonts w:ascii="Times New Roman" w:hAnsi="Times New Roman" w:cs="Times New Roman"/>
              </w:rPr>
              <w:t>Compliance：</w:t>
            </w:r>
          </w:p>
          <w:p>
            <w:pPr>
              <w:pStyle w:val="16"/>
              <w:spacing w:line="240" w:lineRule="auto"/>
              <w:rPr>
                <w:rFonts w:ascii="Times New Roman" w:hAnsi="Times New Roman" w:eastAsiaTheme="minorEastAsia"/>
                <w:kern w:val="2"/>
                <w:lang w:val="en-US"/>
              </w:rPr>
            </w:pPr>
            <w:r>
              <w:rPr>
                <w:rFonts w:ascii="Times New Roman" w:hAnsi="Times New Roman" w:eastAsiaTheme="minorEastAsia"/>
                <w:kern w:val="2"/>
              </w:rPr>
              <w:t>Dimethyl fumarate was given twice a day and fingolimod once a day. However, there is no evidence of difference in compliance between the two</w:t>
            </w:r>
            <w:r>
              <w:rPr>
                <w:rFonts w:ascii="Times New Roman" w:hAnsi="Times New Roman" w:eastAsiaTheme="minorEastAsia"/>
                <w:kern w:val="2"/>
                <w:lang w:val="en-US"/>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000" w:type="pct"/>
            <w:gridSpan w:val="2"/>
          </w:tcPr>
          <w:p>
            <w:pPr>
              <w:pStyle w:val="18"/>
              <w:rPr>
                <w:rFonts w:ascii="Times New Roman" w:hAnsi="Times New Roman" w:cs="Times New Roman"/>
                <w:b/>
                <w:bCs/>
              </w:rPr>
            </w:pPr>
            <w:r>
              <w:rPr>
                <w:rFonts w:ascii="Times New Roman" w:hAnsi="Times New Roman" w:cs="Times New Roman" w:eastAsiaTheme="minorEastAsia"/>
                <w:b/>
                <w:bCs/>
                <w:sz w:val="20"/>
                <w:szCs w:val="20"/>
                <w:lang w:val="en-GB"/>
              </w:rPr>
              <w:t>Type of benefit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Type of therapeutic benefit</w:t>
            </w:r>
          </w:p>
        </w:tc>
        <w:tc>
          <w:tcPr>
            <w:tcW w:w="3865" w:type="pct"/>
          </w:tcPr>
          <w:p>
            <w:pPr>
              <w:pStyle w:val="16"/>
              <w:numPr>
                <w:ilvl w:val="0"/>
                <w:numId w:val="18"/>
              </w:numPr>
              <w:spacing w:line="240" w:lineRule="auto"/>
              <w:rPr>
                <w:rFonts w:ascii="Times New Roman" w:hAnsi="Times New Roman" w:eastAsiaTheme="minorEastAsia"/>
                <w:kern w:val="2"/>
              </w:rPr>
            </w:pPr>
            <w:r>
              <w:rPr>
                <w:rFonts w:ascii="Times New Roman" w:hAnsi="Times New Roman" w:eastAsiaTheme="minorEastAsia"/>
                <w:kern w:val="2"/>
              </w:rPr>
              <w:t>Dimethyl fumarate can effectively reduce recurrence and control disease progression, with short - and long-term benefits on disability, brain volume and new MRI lesions</w:t>
            </w:r>
            <w:r>
              <w:rPr>
                <w:rFonts w:ascii="Times New Roman" w:hAnsi="Times New Roman" w:eastAsiaTheme="minorEastAsia"/>
                <w:kern w:val="2"/>
                <w:lang w:val="en-US"/>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rPr>
              <w:t>In the real world study, the 9-year follow-up data of Endorse showed that more than half of the patients who continued to receive dimethyl fumarate achieved "zero recurrence", and the annual recurrence rate was only 0.141.</w:t>
            </w:r>
          </w:p>
          <w:p>
            <w:pPr>
              <w:pStyle w:val="16"/>
              <w:numPr>
                <w:ilvl w:val="0"/>
                <w:numId w:val="18"/>
              </w:numPr>
              <w:spacing w:line="240" w:lineRule="auto"/>
              <w:rPr>
                <w:rFonts w:ascii="Times New Roman" w:hAnsi="Times New Roman" w:eastAsiaTheme="minorEastAsia"/>
                <w:kern w:val="2"/>
              </w:rPr>
            </w:pPr>
            <w:r>
              <w:rPr>
                <w:rFonts w:ascii="Times New Roman" w:hAnsi="Times New Roman" w:eastAsiaTheme="minorEastAsia"/>
                <w:kern w:val="2"/>
              </w:rPr>
              <w:t>Dimethyl fumarate can significantly improve health status and function, and improve the health-related quality of life of patients.</w:t>
            </w:r>
          </w:p>
          <w:p>
            <w:pPr>
              <w:pStyle w:val="16"/>
              <w:spacing w:line="240" w:lineRule="auto"/>
              <w:rPr>
                <w:rFonts w:ascii="Times New Roman" w:hAnsi="Times New Roman" w:eastAsiaTheme="minorEastAsia"/>
                <w:kern w:val="2"/>
              </w:rPr>
            </w:pPr>
            <w:r>
              <w:rPr>
                <w:rFonts w:ascii="Times New Roman" w:hAnsi="Times New Roman" w:eastAsiaTheme="minorEastAsia"/>
                <w:kern w:val="2"/>
              </w:rPr>
              <w:t>（1）</w:t>
            </w:r>
            <w:r>
              <w:rPr>
                <w:rFonts w:ascii="Times New Roman" w:hAnsi="Times New Roman" w:eastAsia="Segoe UI"/>
                <w:color w:val="2A2B2E"/>
                <w:kern w:val="2"/>
                <w:shd w:val="clear" w:color="auto" w:fill="FFFFFF"/>
              </w:rPr>
              <w:t>Patient health and function improved: The MS Functional Composite (MSFC) standardized score was significantly lower in patients treated with dimethyl fumarate (dimethyl fumarate 0.087 vs placebo -0.71), implying that dimethyl fumarate reduced MSFC score and patients had better walking speed, flexibility, and cognitive function</w:t>
            </w:r>
            <w:r>
              <w:rPr>
                <w:rFonts w:ascii="Times New Roman" w:hAnsi="Times New Roman" w:eastAsiaTheme="minorEastAsia"/>
                <w:color w:val="2A2B2E"/>
                <w:kern w:val="2"/>
                <w:shd w:val="clear" w:color="auto" w:fill="FFFFFF"/>
                <w:lang w:val="en-US"/>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rPr>
              <w:t>（2）Patient health-related Quality of Life (HRQoL) improved:</w:t>
            </w:r>
          </w:p>
          <w:p>
            <w:pPr>
              <w:pStyle w:val="16"/>
              <w:spacing w:line="240" w:lineRule="auto"/>
              <w:rPr>
                <w:rFonts w:ascii="Times New Roman" w:hAnsi="Times New Roman" w:eastAsiaTheme="minorEastAsia"/>
                <w:kern w:val="2"/>
              </w:rPr>
            </w:pPr>
            <w:r>
              <w:rPr>
                <w:rFonts w:ascii="Times New Roman" w:hAnsi="Times New Roman" w:eastAsiaTheme="minorEastAsia"/>
                <w:kern w:val="2"/>
              </w:rPr>
              <w:t>(a)</w:t>
            </w:r>
            <w:r>
              <w:rPr>
                <w:rFonts w:hint="eastAsia" w:ascii="Times New Roman" w:hAnsi="Times New Roman" w:eastAsiaTheme="minorEastAsia"/>
                <w:kern w:val="2"/>
                <w:lang w:val="en-US"/>
              </w:rPr>
              <w:t xml:space="preserve"> </w:t>
            </w:r>
            <w:r>
              <w:rPr>
                <w:rFonts w:ascii="Times New Roman" w:hAnsi="Times New Roman" w:eastAsiaTheme="minorEastAsia"/>
                <w:kern w:val="2"/>
              </w:rPr>
              <w:t>Patients treated with dimethyl fumarate had a greater reduction in VAS scores at baseline than at the 2-year end point, with a significant difference (p&lt;0.05)</w:t>
            </w:r>
            <w:r>
              <w:rPr>
                <w:rFonts w:ascii="Times New Roman" w:hAnsi="Times New Roman" w:eastAsiaTheme="minorEastAsia"/>
                <w:kern w:val="2"/>
                <w:lang w:val="en-US"/>
              </w:rPr>
              <w:t xml:space="preserve">, </w:t>
            </w:r>
            <w:r>
              <w:rPr>
                <w:rFonts w:ascii="Times New Roman" w:hAnsi="Times New Roman" w:eastAsiaTheme="minorEastAsia"/>
                <w:kern w:val="2"/>
              </w:rPr>
              <w:t>the HRQoL of patients is relatively higher</w:t>
            </w:r>
            <w:r>
              <w:rPr>
                <w:rFonts w:ascii="Times New Roman" w:hAnsi="Times New Roman" w:eastAsiaTheme="minorEastAsia"/>
                <w:kern w:val="2"/>
                <w:lang w:val="en-US"/>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rPr>
              <w:t>(b)</w:t>
            </w:r>
            <w:r>
              <w:rPr>
                <w:rFonts w:hint="eastAsia" w:ascii="Times New Roman" w:hAnsi="Times New Roman" w:eastAsiaTheme="minorEastAsia"/>
                <w:kern w:val="2"/>
                <w:lang w:val="en-US"/>
              </w:rPr>
              <w:t xml:space="preserve"> </w:t>
            </w:r>
            <w:r>
              <w:rPr>
                <w:rFonts w:ascii="Times New Roman" w:hAnsi="Times New Roman" w:eastAsiaTheme="minorEastAsia"/>
                <w:kern w:val="2"/>
              </w:rPr>
              <w:t>In patients who used dimethyl fumarate for 5 years, the physical function (PCS) score and mental function (MCS) score of SF-36 score were significantly improved from baseline</w:t>
            </w:r>
            <w:r>
              <w:rPr>
                <w:rFonts w:ascii="Times New Roman" w:hAnsi="Times New Roman" w:eastAsiaTheme="minorEastAsia"/>
                <w:kern w:val="2"/>
                <w:lang w:val="en-US"/>
              </w:rPr>
              <w:t xml:space="preserve"> </w:t>
            </w:r>
            <w:r>
              <w:rPr>
                <w:rFonts w:ascii="Times New Roman" w:hAnsi="Times New Roman" w:eastAsiaTheme="minorEastAsia"/>
                <w:kern w:val="2"/>
              </w:rPr>
              <w:t>(p&lt;0.05)</w:t>
            </w:r>
            <w:r>
              <w:rPr>
                <w:rFonts w:ascii="Times New Roman" w:hAnsi="Times New Roman" w:eastAsiaTheme="minorEastAsia"/>
                <w:kern w:val="2"/>
                <w:lang w:val="en-US"/>
              </w:rPr>
              <w:t xml:space="preserve">, </w:t>
            </w:r>
            <w:r>
              <w:rPr>
                <w:rFonts w:ascii="Times New Roman" w:hAnsi="Times New Roman" w:eastAsiaTheme="minorEastAsia"/>
                <w:kern w:val="2"/>
              </w:rPr>
              <w:t>indicating that patients treated with dimethyl fumarate had better HRQoL</w:t>
            </w:r>
            <w:r>
              <w:rPr>
                <w:rFonts w:ascii="Times New Roman" w:hAnsi="Times New Roman" w:eastAsiaTheme="minorEastAsia"/>
                <w:kern w:val="2"/>
                <w:lang w:val="en-US"/>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rPr>
              <w:t>(c) Patients treated with dimethyl fumarate had an increase in EQ-5D scores at 2 years, a significant difference compared with placebo</w:t>
            </w:r>
            <w:r>
              <w:rPr>
                <w:rFonts w:ascii="Times New Roman" w:hAnsi="Times New Roman" w:eastAsiaTheme="minorEastAsia"/>
                <w:kern w:val="2"/>
                <w:lang w:val="en-US"/>
              </w:rPr>
              <w:t xml:space="preserve"> </w:t>
            </w:r>
            <w:r>
              <w:rPr>
                <w:rFonts w:ascii="Times New Roman" w:hAnsi="Times New Roman" w:eastAsiaTheme="minorEastAsia"/>
                <w:kern w:val="2"/>
              </w:rPr>
              <w:t>(p&lt;0.05)</w:t>
            </w:r>
            <w:r>
              <w:rPr>
                <w:rFonts w:ascii="Times New Roman" w:hAnsi="Times New Roman" w:eastAsiaTheme="minorEastAsia"/>
                <w:kern w:val="2"/>
              </w:rPr>
              <w:fldChar w:fldCharType="begin"/>
            </w:r>
            <w:r>
              <w:rPr>
                <w:rFonts w:ascii="Times New Roman" w:hAnsi="Times New Roman" w:eastAsiaTheme="minorEastAsia"/>
                <w:kern w:val="2"/>
              </w:rPr>
              <w:instrText xml:space="preserve"> ADDIN EN.CITE &lt;EndNote&gt;&lt;Cite&gt;&lt;Author&gt;Kita&lt;/Author&gt;&lt;Year&gt;2014&lt;/Year&gt;&lt;RecNum&gt;74&lt;/RecNum&gt;&lt;DisplayText&gt;&lt;style face="superscript"&gt;[128]&lt;/style&gt;&lt;/DisplayText&gt;&lt;record&gt;&lt;rec-number&gt;74&lt;/rec-number&gt;&lt;foreign-keys&gt;&lt;key app="EN" db-id="r0zr2vd015vst7e0e2pva025tefxzppa5z5d" timestamp="1649317276"&gt;74&lt;/key&gt;&lt;/foreign-keys&gt;&lt;ref-type name="Journal Article"&gt;17&lt;/ref-type&gt;&lt;contributors&gt;&lt;authors&gt;&lt;author&gt;Kita, Mariko&lt;/author&gt;&lt;author&gt;Fox, Robert J&lt;/author&gt;&lt;author&gt;Gold, Ralf&lt;/author&gt;&lt;author&gt;Giovannoni, Gavin&lt;/author&gt;&lt;author&gt;Phillips, J Theodore&lt;/author&gt;&lt;author&gt;Sarda, Sujata P&lt;/author&gt;&lt;author&gt;Kong, Jessica&lt;/author&gt;&lt;author&gt;Viglietta, Vissia&lt;/author&gt;&lt;author&gt;Sheikh, Sarah I&lt;/author&gt;&lt;author&gt;Okwuokenye, Macaulay&lt;/author&gt;&lt;/authors&gt;&lt;/contributors&gt;&lt;titles&gt;&lt;title&gt;Effects of delayed-release dimethyl fumarate (DMF) on health-related quality of life in patients with relapsing-remitting multiple sclerosis: an integrated analysis of the phase 3 DEFINE and CONFIRM studies&lt;/title&gt;&lt;secondary-title&gt;Clinical therapeutics&lt;/secondary-title&gt;&lt;/titles&gt;&lt;periodical&gt;&lt;full-title&gt;Clinical therapeutics&lt;/full-title&gt;&lt;/periodical&gt;&lt;pages&gt;1958-1971&lt;/pages&gt;&lt;volume&gt;36&lt;/volume&gt;&lt;number&gt;12&lt;/number&gt;&lt;dates&gt;&lt;year&gt;2014&lt;/year&gt;&lt;/dates&gt;&lt;isbn&gt;0149-2918&lt;/isbn&gt;&lt;urls&gt;&lt;/urls&gt;&lt;/record&gt;&lt;/Cite&gt;&lt;/EndNote&gt;</w:instrText>
            </w:r>
            <w:r>
              <w:rPr>
                <w:rFonts w:ascii="Times New Roman" w:hAnsi="Times New Roman" w:eastAsiaTheme="minorEastAsia"/>
                <w:kern w:val="2"/>
              </w:rPr>
              <w:fldChar w:fldCharType="separate"/>
            </w:r>
            <w:r>
              <w:rPr>
                <w:rFonts w:ascii="Times New Roman" w:hAnsi="Times New Roman" w:eastAsiaTheme="minorEastAsia"/>
                <w:kern w:val="2"/>
                <w:vertAlign w:val="superscript"/>
              </w:rPr>
              <w:t>[128]</w:t>
            </w:r>
            <w:r>
              <w:rPr>
                <w:rFonts w:ascii="Times New Roman" w:hAnsi="Times New Roman" w:eastAsiaTheme="minorEastAsia"/>
                <w:kern w:val="2"/>
              </w:rPr>
              <w:fldChar w:fldCharType="end"/>
            </w:r>
            <w:r>
              <w:rPr>
                <w:rFonts w:ascii="Times New Roman" w:hAnsi="Times New Roman" w:eastAsiaTheme="minorEastAsia"/>
                <w:kern w:val="2"/>
                <w:lang w:val="en-US"/>
              </w:rPr>
              <w:t xml:space="preserve">, </w:t>
            </w:r>
            <w:r>
              <w:rPr>
                <w:rFonts w:ascii="Times New Roman" w:hAnsi="Times New Roman" w:eastAsiaTheme="minorEastAsia"/>
                <w:kern w:val="2"/>
              </w:rPr>
              <w:t>patients had better HRQoL</w:t>
            </w:r>
          </w:p>
          <w:p>
            <w:pPr>
              <w:pStyle w:val="16"/>
              <w:spacing w:line="240" w:lineRule="auto"/>
              <w:rPr>
                <w:rFonts w:ascii="Times New Roman" w:hAnsi="Times New Roman" w:eastAsiaTheme="minorEastAsia"/>
                <w:kern w:val="2"/>
              </w:rPr>
            </w:pPr>
            <w:r>
              <w:rPr>
                <w:rFonts w:ascii="Times New Roman" w:hAnsi="Times New Roman" w:eastAsiaTheme="minorEastAsia"/>
                <w:kern w:val="2"/>
              </w:rPr>
              <w:t>(d) The 12-month Global MS Quality of Life Questionnaire (HAQUAMS) scores of patients treated with dimethyl fumarate were significantly lower than those of patients treated with interferon beta (p&lt;0.001)[129] (Lower HAQUAMS score indicates higher quality of life of patients).</w:t>
            </w:r>
          </w:p>
          <w:p>
            <w:pPr>
              <w:pStyle w:val="16"/>
              <w:spacing w:line="240" w:lineRule="auto"/>
              <w:rPr>
                <w:rFonts w:ascii="Times New Roman" w:hAnsi="Times New Roman" w:eastAsiaTheme="minorEastAsia"/>
                <w:kern w:val="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5000" w:type="pct"/>
            <w:gridSpan w:val="2"/>
          </w:tcPr>
          <w:p>
            <w:pPr>
              <w:pStyle w:val="18"/>
              <w:rPr>
                <w:rFonts w:ascii="Times New Roman" w:hAnsi="Times New Roman" w:cs="Times New Roman"/>
                <w:b/>
                <w:bCs/>
              </w:rPr>
            </w:pPr>
            <w:r>
              <w:rPr>
                <w:rFonts w:ascii="Times New Roman" w:hAnsi="Times New Roman" w:cs="Times New Roman" w:eastAsiaTheme="minorEastAsia"/>
                <w:b/>
                <w:bCs/>
                <w:sz w:val="20"/>
                <w:szCs w:val="20"/>
                <w:lang w:val="en-GB"/>
              </w:rPr>
              <w:t>Economic consequences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4" w:hRule="atLeast"/>
        </w:trPr>
        <w:tc>
          <w:tcPr>
            <w:tcW w:w="1134" w:type="pct"/>
          </w:tcPr>
          <w:p>
            <w:pPr>
              <w:pStyle w:val="19"/>
              <w:rPr>
                <w:rFonts w:ascii="Times New Roman" w:hAnsi="Times New Roman" w:eastAsia="Calibri" w:cs="Times New Roman"/>
                <w:b w:val="0"/>
                <w:bCs/>
              </w:rPr>
            </w:pPr>
            <w:r>
              <w:rPr>
                <w:rFonts w:ascii="Times New Roman" w:hAnsi="Times New Roman" w:cs="Times New Roman"/>
                <w:b/>
                <w:bCs w:val="0"/>
                <w:szCs w:val="21"/>
              </w:rPr>
              <w:t>Comparative cost consequences–cost of drugs</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Theme="minorEastAsia"/>
                <w:kern w:val="2"/>
              </w:rPr>
              <w:t>This calculation is based on the medical insurance perspective.</w:t>
            </w:r>
          </w:p>
          <w:p>
            <w:pPr>
              <w:pStyle w:val="16"/>
              <w:spacing w:line="240" w:lineRule="auto"/>
              <w:rPr>
                <w:rFonts w:ascii="Times New Roman" w:hAnsi="Times New Roman" w:eastAsiaTheme="minorEastAsia"/>
                <w:kern w:val="2"/>
              </w:rPr>
            </w:pPr>
            <w:r>
              <w:rPr>
                <w:rFonts w:ascii="Times New Roman" w:hAnsi="Times New Roman" w:eastAsiaTheme="minorEastAsia"/>
                <w:kern w:val="2"/>
              </w:rPr>
              <w:t>Dimethyl fumarate is sold for 114.36 yuan /120mg, and there is currently a two-for-one charitable assistance scheme; Fingolimod has been included in medical insurance category B, with a winning price of 228 yuan /0.5mg.</w:t>
            </w:r>
            <w:r>
              <w:rPr>
                <w:rFonts w:ascii="Times New Roman" w:hAnsi="Times New Roman" w:eastAsiaTheme="minorEastAsia"/>
                <w:kern w:val="2"/>
                <w:lang w:val="en-US"/>
              </w:rPr>
              <w:t xml:space="preserve"> </w:t>
            </w:r>
            <w:r>
              <w:rPr>
                <w:rFonts w:ascii="Times New Roman" w:hAnsi="Times New Roman" w:eastAsiaTheme="minorEastAsia"/>
                <w:kern w:val="2"/>
              </w:rPr>
              <w:t>The average weekly cost of dimethyl fumarate was RMB3,171.29, and the average annual cost was RMB164,907.12; The average weekly cost in Fingolmod is 1596 yuan and the average annual cost is 83,220 yuan. The incremental cost of dimethyl fumarate compared with fingolimod was RMB 8, 1,687.17.</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Comparative cost consequences–other medical costs</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Theme="minorEastAsia"/>
                <w:kern w:val="2"/>
              </w:rPr>
              <w:t>There was no evidence of a difference in other medical costs when dimethyl fumarate was compared with fingolimod treatment.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Comparative cost consequences–non-medical costs</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Theme="minorEastAsia"/>
                <w:kern w:val="2"/>
              </w:rPr>
              <w:t xml:space="preserve">There was no evidence of a difference in </w:t>
            </w:r>
            <w:r>
              <w:rPr>
                <w:rFonts w:ascii="Times New Roman" w:hAnsi="Times New Roman" w:eastAsiaTheme="minorEastAsia"/>
                <w:kern w:val="2"/>
                <w:lang w:val="en-US"/>
              </w:rPr>
              <w:t>non-</w:t>
            </w:r>
            <w:r>
              <w:rPr>
                <w:rFonts w:ascii="Times New Roman" w:hAnsi="Times New Roman" w:eastAsiaTheme="minorEastAsia"/>
                <w:kern w:val="2"/>
              </w:rPr>
              <w:t>medical costs when dimethyl fumarate was compared with fingolimod treatment.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000" w:type="pct"/>
            <w:gridSpan w:val="2"/>
          </w:tcPr>
          <w:p>
            <w:pPr>
              <w:pStyle w:val="18"/>
              <w:rPr>
                <w:rFonts w:ascii="Times New Roman" w:hAnsi="Times New Roman" w:cs="Times New Roman"/>
                <w:b/>
                <w:bCs/>
              </w:rPr>
            </w:pPr>
            <w:r>
              <w:rPr>
                <w:rFonts w:ascii="Times New Roman" w:hAnsi="Times New Roman" w:cs="Times New Roman" w:eastAsiaTheme="minorEastAsia"/>
                <w:b/>
                <w:bCs/>
                <w:sz w:val="20"/>
                <w:szCs w:val="20"/>
                <w:lang w:val="en-GB"/>
              </w:rPr>
              <w:t>Evidence about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1134" w:type="pct"/>
          </w:tcPr>
          <w:p>
            <w:pPr>
              <w:pStyle w:val="19"/>
              <w:rPr>
                <w:rFonts w:ascii="Times New Roman" w:hAnsi="Times New Roman" w:cs="Times New Roman"/>
                <w:b w:val="0"/>
                <w:bCs/>
              </w:rPr>
            </w:pPr>
            <w:r>
              <w:rPr>
                <w:rFonts w:ascii="Times New Roman" w:hAnsi="Times New Roman" w:cs="Times New Roman"/>
                <w:b/>
                <w:bCs w:val="0"/>
                <w:szCs w:val="21"/>
              </w:rPr>
              <w:t>Quality of evidence</w:t>
            </w:r>
          </w:p>
        </w:tc>
        <w:tc>
          <w:tcPr>
            <w:tcW w:w="3865" w:type="pct"/>
          </w:tcPr>
          <w:p>
            <w:pPr>
              <w:pStyle w:val="15"/>
              <w:rPr>
                <w:rFonts w:ascii="Times New Roman" w:hAnsi="Times New Roman" w:cs="Times New Roman"/>
              </w:rPr>
            </w:pPr>
            <w:r>
              <w:rPr>
                <w:rFonts w:ascii="Times New Roman" w:hAnsi="Times New Roman" w:cs="Times New Roman"/>
              </w:rPr>
              <w:t>Clinical data:</w:t>
            </w:r>
          </w:p>
          <w:p>
            <w:pPr>
              <w:pStyle w:val="15"/>
              <w:rPr>
                <w:rFonts w:ascii="Times New Roman" w:hAnsi="Times New Roman" w:cs="Times New Roman"/>
                <w:b w:val="0"/>
                <w:bCs w:val="0"/>
                <w:color w:val="auto"/>
                <w:kern w:val="2"/>
                <w:szCs w:val="21"/>
                <w:lang w:val="en-GB"/>
              </w:rPr>
            </w:pPr>
            <w:r>
              <w:rPr>
                <w:rFonts w:ascii="Times New Roman" w:hAnsi="Times New Roman" w:cs="Times New Roman"/>
                <w:b w:val="0"/>
                <w:bCs w:val="0"/>
                <w:color w:val="auto"/>
                <w:kern w:val="2"/>
                <w:szCs w:val="21"/>
                <w:lang w:val="en-GB"/>
              </w:rPr>
              <w:t>Clinical data were derived from retrospective data and meta-analysis. Overall, retrospective data consistently suggest that dimethyl fumarate has similar clinical efficacy and a better safety profile than fingolimod in the treatment of patients with recurrent multiple sclerosis.</w:t>
            </w:r>
          </w:p>
          <w:p>
            <w:pPr>
              <w:pStyle w:val="15"/>
              <w:rPr>
                <w:rFonts w:ascii="Times New Roman" w:hAnsi="Times New Roman" w:cs="Times New Roman"/>
              </w:rPr>
            </w:pPr>
            <w:r>
              <w:rPr>
                <w:rFonts w:ascii="Times New Roman" w:hAnsi="Times New Roman" w:cs="Times New Roman"/>
              </w:rPr>
              <w:t>Economic evaluation:</w:t>
            </w:r>
          </w:p>
          <w:p>
            <w:pPr>
              <w:pStyle w:val="15"/>
              <w:rPr>
                <w:rFonts w:ascii="Times New Roman" w:hAnsi="Times New Roman" w:cs="Times New Roman"/>
                <w:b w:val="0"/>
                <w:bCs w:val="0"/>
                <w:color w:val="auto"/>
                <w:kern w:val="2"/>
                <w:szCs w:val="21"/>
                <w:lang w:val="en-GB"/>
              </w:rPr>
            </w:pPr>
            <w:r>
              <w:rPr>
                <w:rFonts w:ascii="Times New Roman" w:hAnsi="Times New Roman" w:cs="Times New Roman"/>
                <w:b w:val="0"/>
                <w:bCs w:val="0"/>
                <w:color w:val="auto"/>
                <w:kern w:val="2"/>
                <w:szCs w:val="21"/>
                <w:lang w:val="en-GB"/>
              </w:rPr>
              <w:t>At present, there is no research on the economic evaluation of Chinese population.</w:t>
            </w:r>
          </w:p>
          <w:p>
            <w:pPr>
              <w:pStyle w:val="15"/>
              <w:rPr>
                <w:rFonts w:ascii="Times New Roman" w:hAnsi="Times New Roman" w:cs="Times New Roman"/>
                <w:kern w:val="2"/>
              </w:rPr>
            </w:pPr>
            <w:r>
              <w:rPr>
                <w:rFonts w:ascii="Times New Roman" w:hAnsi="Times New Roman" w:cs="Times New Roman"/>
                <w:b w:val="0"/>
                <w:bCs w:val="0"/>
                <w:color w:val="auto"/>
                <w:kern w:val="2"/>
                <w:szCs w:val="21"/>
                <w:lang w:val="en-GB"/>
              </w:rPr>
              <w:t xml:space="preserve">The economic evaluation evidence in the above criteria comes from </w:t>
            </w:r>
            <w:r>
              <w:rPr>
                <w:rFonts w:ascii="Times New Roman" w:hAnsi="Times New Roman" w:cs="Times New Roman"/>
                <w:b w:val="0"/>
                <w:bCs w:val="0"/>
                <w:color w:val="auto"/>
                <w:kern w:val="2"/>
                <w:szCs w:val="21"/>
              </w:rPr>
              <w:t>our</w:t>
            </w:r>
            <w:r>
              <w:rPr>
                <w:rFonts w:ascii="Times New Roman" w:hAnsi="Times New Roman" w:cs="Times New Roman"/>
                <w:b w:val="0"/>
                <w:bCs w:val="0"/>
                <w:color w:val="auto"/>
                <w:kern w:val="2"/>
                <w:szCs w:val="21"/>
                <w:lang w:val="en-GB"/>
              </w:rPr>
              <w:t xml:space="preserve"> research group's estimation of its economic results: the drug cost comes from the bid-winning price of Yaozhi.com; Because it is an oral drug, only the cost of the drug is considered in calculating the economic results; Non-medical costs and other medical costs are not considered to be comparable due to the lack of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1" w:hRule="atLeast"/>
        </w:trPr>
        <w:tc>
          <w:tcPr>
            <w:tcW w:w="1134" w:type="pct"/>
            <w:tcBorders>
              <w:bottom w:val="single" w:color="000000" w:themeColor="text1" w:sz="12" w:space="0"/>
            </w:tcBorders>
          </w:tcPr>
          <w:p>
            <w:pPr>
              <w:pStyle w:val="19"/>
              <w:rPr>
                <w:rFonts w:ascii="Times New Roman" w:hAnsi="Times New Roman" w:cs="Times New Roman"/>
                <w:b w:val="0"/>
                <w:bCs/>
              </w:rPr>
            </w:pPr>
            <w:r>
              <w:rPr>
                <w:rFonts w:ascii="Times New Roman" w:hAnsi="Times New Roman" w:cs="Times New Roman"/>
                <w:b/>
                <w:bCs w:val="0"/>
                <w:szCs w:val="21"/>
              </w:rPr>
              <w:t>Expert consensus/clinical practice guidelines</w:t>
            </w:r>
          </w:p>
        </w:tc>
        <w:tc>
          <w:tcPr>
            <w:tcW w:w="3865" w:type="pct"/>
            <w:tcBorders>
              <w:bottom w:val="single" w:color="000000" w:themeColor="text1" w:sz="12" w:space="0"/>
            </w:tcBorders>
          </w:tcPr>
          <w:p>
            <w:pPr>
              <w:pStyle w:val="15"/>
              <w:numPr>
                <w:ilvl w:val="0"/>
                <w:numId w:val="19"/>
              </w:numPr>
              <w:rPr>
                <w:rFonts w:ascii="Times New Roman" w:hAnsi="Times New Roman" w:cs="Times New Roman"/>
                <w:b w:val="0"/>
                <w:bCs w:val="0"/>
                <w:szCs w:val="21"/>
              </w:rPr>
            </w:pPr>
            <w:r>
              <w:rPr>
                <w:rFonts w:ascii="Times New Roman" w:hAnsi="Times New Roman" w:eastAsia="Segoe UI" w:cs="Times New Roman"/>
                <w:b w:val="0"/>
                <w:bCs w:val="0"/>
                <w:color w:val="101214"/>
                <w:szCs w:val="21"/>
                <w:shd w:val="clear" w:color="auto" w:fill="FFFFFF"/>
              </w:rPr>
              <w:t>Chinese expert consensus on diagnosis and treatment of multiple sclerosis (2018 edition)</w:t>
            </w:r>
          </w:p>
          <w:p>
            <w:pPr>
              <w:pStyle w:val="15"/>
              <w:rPr>
                <w:rFonts w:ascii="Times New Roman" w:hAnsi="Times New Roman" w:eastAsia="Segoe UI" w:cs="Times New Roman"/>
                <w:b w:val="0"/>
                <w:bCs w:val="0"/>
                <w:color w:val="101214"/>
                <w:szCs w:val="21"/>
                <w:shd w:val="clear" w:color="auto" w:fill="FFFFFF"/>
              </w:rPr>
            </w:pPr>
            <w:r>
              <w:rPr>
                <w:rFonts w:ascii="Times New Roman" w:hAnsi="Times New Roman" w:eastAsia="Segoe UI" w:cs="Times New Roman"/>
                <w:b w:val="0"/>
                <w:bCs w:val="0"/>
                <w:color w:val="101214"/>
                <w:szCs w:val="21"/>
                <w:shd w:val="clear" w:color="auto" w:fill="FFFFFF"/>
              </w:rPr>
              <w:t>Treatment with dimethyl fumarate is recommended for patients in remission of multiple sclerosis to control disease progression.</w:t>
            </w:r>
          </w:p>
          <w:p>
            <w:pPr>
              <w:pStyle w:val="15"/>
              <w:numPr>
                <w:ilvl w:val="0"/>
                <w:numId w:val="19"/>
              </w:numPr>
              <w:rPr>
                <w:rFonts w:ascii="Times New Roman" w:hAnsi="Times New Roman" w:cs="Times New Roman"/>
                <w:b w:val="0"/>
                <w:bCs w:val="0"/>
                <w:szCs w:val="21"/>
              </w:rPr>
            </w:pPr>
            <w:r>
              <w:rPr>
                <w:rFonts w:ascii="Times New Roman" w:hAnsi="Times New Roman" w:eastAsia="Segoe UI" w:cs="Times New Roman"/>
                <w:b w:val="0"/>
                <w:bCs w:val="0"/>
                <w:color w:val="101214"/>
                <w:szCs w:val="21"/>
                <w:shd w:val="clear" w:color="auto" w:fill="FFFFFF"/>
              </w:rPr>
              <w:t>Optimal treatment for MULTIPLE Sclerosis: Recommended by the Canadian Multiple Sclerosis (MS) Task Force</w:t>
            </w:r>
          </w:p>
          <w:p>
            <w:pPr>
              <w:pStyle w:val="15"/>
              <w:numPr>
                <w:ilvl w:val="0"/>
                <w:numId w:val="19"/>
              </w:numPr>
              <w:rPr>
                <w:rFonts w:ascii="Times New Roman" w:hAnsi="Times New Roman" w:cs="Times New Roman"/>
                <w:b w:val="0"/>
                <w:bCs w:val="0"/>
                <w:szCs w:val="21"/>
              </w:rPr>
            </w:pPr>
            <w:r>
              <w:rPr>
                <w:rFonts w:ascii="Times New Roman" w:hAnsi="Times New Roman" w:eastAsia="Segoe UI" w:cs="Times New Roman"/>
                <w:b w:val="0"/>
                <w:bCs w:val="0"/>
                <w:color w:val="101214"/>
                <w:szCs w:val="21"/>
                <w:shd w:val="clear" w:color="auto" w:fill="FFFFFF"/>
              </w:rPr>
              <w:t>Chinese Guidelines for the Diagnosis and Treatment of Rare Diseases (2019 edition)</w:t>
            </w:r>
          </w:p>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Dimethyl fumarate is recommended for long-term disease modification in patients with multiple sclerosis</w:t>
            </w:r>
            <w:r>
              <w:rPr>
                <w:rFonts w:ascii="Times New Roman" w:hAnsi="Times New Roman" w:eastAsiaTheme="minorEastAsia"/>
                <w:color w:val="101214"/>
                <w:kern w:val="2"/>
                <w:shd w:val="clear" w:color="auto" w:fill="FFFFFF"/>
                <w:lang w:val="en-US"/>
              </w:rPr>
              <w:t>.</w:t>
            </w:r>
          </w:p>
        </w:tc>
      </w:tr>
      <w:bookmarkEnd w:id="25"/>
      <w:bookmarkEnd w:id="26"/>
    </w:tbl>
    <w:p>
      <w:pPr>
        <w:rPr>
          <w:rFonts w:ascii="Times New Roman" w:hAnsi="Times New Roman" w:cs="Times New Roman"/>
        </w:rPr>
      </w:pPr>
    </w:p>
    <w:p>
      <w:pPr>
        <w:rPr>
          <w:rFonts w:ascii="Times New Roman" w:hAnsi="Times New Roman" w:cs="Times New Roman"/>
        </w:rPr>
      </w:pPr>
      <w:r>
        <w:rPr>
          <w:rFonts w:hint="eastAsia" w:ascii="Times New Roman" w:hAnsi="Times New Roman" w:cs="Times New Roman"/>
        </w:rPr>
        <w:t>Table 3.1.2 Qualitative criteria empirical data set of Dimethyl fumarate</w:t>
      </w:r>
    </w:p>
    <w:tbl>
      <w:tblPr>
        <w:tblStyle w:val="17"/>
        <w:tblW w:w="5000" w:type="pct"/>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06"/>
        <w:gridCol w:w="7180"/>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134" w:type="pct"/>
            <w:tcBorders>
              <w:top w:val="single" w:color="000000" w:themeColor="text1" w:sz="12" w:space="0"/>
              <w:bottom w:val="single" w:color="000000" w:themeColor="text1" w:sz="8" w:space="0"/>
            </w:tcBorders>
            <w:vAlign w:val="center"/>
          </w:tcPr>
          <w:p>
            <w:pPr>
              <w:pStyle w:val="16"/>
              <w:rPr>
                <w:rFonts w:ascii="Times New Roman" w:hAnsi="Times New Roman" w:eastAsiaTheme="minorEastAsia"/>
                <w:b/>
                <w:bCs/>
                <w:kern w:val="2"/>
                <w:lang w:val="en-US"/>
              </w:rPr>
            </w:pPr>
            <w:bookmarkStart w:id="33" w:name="OLE_LINK34" w:colFirst="0" w:colLast="0"/>
            <w:r>
              <w:rPr>
                <w:rFonts w:ascii="Times New Roman" w:hAnsi="Times New Roman" w:eastAsiaTheme="minorEastAsia"/>
                <w:b/>
                <w:bCs/>
                <w:kern w:val="2"/>
                <w:lang w:val="en-US"/>
              </w:rPr>
              <w:t xml:space="preserve">Criteria </w:t>
            </w:r>
          </w:p>
        </w:tc>
        <w:tc>
          <w:tcPr>
            <w:tcW w:w="3865" w:type="pct"/>
            <w:tcBorders>
              <w:top w:val="single" w:color="000000" w:themeColor="text1" w:sz="12" w:space="0"/>
              <w:bottom w:val="single" w:color="000000" w:themeColor="text1" w:sz="8" w:space="0"/>
            </w:tcBorders>
            <w:vAlign w:val="center"/>
          </w:tcPr>
          <w:p>
            <w:pPr>
              <w:pStyle w:val="16"/>
              <w:rPr>
                <w:rFonts w:ascii="Times New Roman" w:hAnsi="Times New Roman" w:eastAsiaTheme="minorEastAsia"/>
                <w:b/>
                <w:bCs/>
                <w:kern w:val="2"/>
                <w:lang w:val="en-US"/>
              </w:rPr>
            </w:pPr>
            <w:r>
              <w:rPr>
                <w:rFonts w:ascii="Times New Roman" w:hAnsi="Times New Roman" w:eastAsiaTheme="minorEastAsia"/>
                <w:b/>
                <w:bCs/>
                <w:kern w:val="2"/>
                <w:lang w:val="en-US"/>
              </w:rPr>
              <w:t>Empirical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op w:val="single" w:color="000000" w:themeColor="text1" w:sz="8" w:space="0"/>
            </w:tcBorders>
          </w:tcPr>
          <w:p>
            <w:pPr>
              <w:pStyle w:val="18"/>
              <w:rPr>
                <w:rFonts w:ascii="Times New Roman" w:hAnsi="Times New Roman" w:cs="Times New Roman"/>
                <w:b/>
                <w:bCs/>
                <w:sz w:val="21"/>
                <w:szCs w:val="21"/>
              </w:rPr>
            </w:pPr>
            <w:r>
              <w:rPr>
                <w:rFonts w:ascii="Times New Roman" w:hAnsi="Times New Roman" w:cs="Times New Roman"/>
                <w:b w:val="0"/>
                <w:bCs w:val="0"/>
                <w:sz w:val="21"/>
                <w:szCs w:val="21"/>
              </w:rPr>
              <w:t>EVIDEM Qualitative Guidelines (textual tool)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5000" w:type="pct"/>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lang w:val="en-GB"/>
              </w:rPr>
              <w:t>Normative contextual criteria</w:t>
            </w:r>
          </w:p>
        </w:tc>
      </w:tr>
      <w:bookmarkEnd w:id="33"/>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134" w:type="pct"/>
          </w:tcPr>
          <w:p>
            <w:pPr>
              <w:pStyle w:val="19"/>
              <w:rPr>
                <w:rFonts w:ascii="Times New Roman" w:hAnsi="Times New Roman" w:cs="Times New Roman"/>
                <w:b w:val="0"/>
                <w:bCs/>
                <w:szCs w:val="21"/>
              </w:rPr>
            </w:pPr>
            <w:r>
              <w:rPr>
                <w:rFonts w:ascii="Times New Roman" w:hAnsi="Times New Roman" w:cs="Times New Roman"/>
                <w:b/>
                <w:bCs w:val="0"/>
                <w:szCs w:val="21"/>
              </w:rPr>
              <w:t>Mandate and scope of the healthcare system</w:t>
            </w:r>
          </w:p>
        </w:tc>
        <w:tc>
          <w:tcPr>
            <w:tcW w:w="3865" w:type="pct"/>
          </w:tcPr>
          <w:p>
            <w:pPr>
              <w:pStyle w:val="16"/>
              <w:spacing w:line="240" w:lineRule="auto"/>
              <w:rPr>
                <w:rFonts w:ascii="Times New Roman" w:hAnsi="Times New Roman" w:eastAsia="Segoe UI"/>
                <w:color w:val="101214"/>
                <w:kern w:val="2"/>
                <w:shd w:val="clear" w:color="auto" w:fill="FFFFFF"/>
              </w:rPr>
            </w:pPr>
            <w:r>
              <w:rPr>
                <w:rFonts w:ascii="Times New Roman" w:hAnsi="Times New Roman" w:eastAsiaTheme="minorEastAsia"/>
                <w:kern w:val="2"/>
              </w:rPr>
              <w:t>Multiple Sclerosis (MS) is an immune-mediated disease characterized by inflammatory demyelinating lesions of the central nervous system.</w:t>
            </w:r>
            <w:r>
              <w:rPr>
                <w:rFonts w:ascii="Times New Roman" w:hAnsi="Times New Roman" w:eastAsia="Segoe UI"/>
                <w:color w:val="101214"/>
                <w:kern w:val="2"/>
                <w:shd w:val="clear" w:color="auto" w:fill="FFFFFF"/>
              </w:rPr>
              <w:t>The disease is specific, resulting in irreversible neurological damage, and the degree of disability continues to progress.</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Dimethyl fumarate is the first disease modification therapy (DMT) that acts on oxidative stress pathway in China. Therefore, the treatment of this drug conforms to the task and scope of the health system.</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pct"/>
          </w:tcPr>
          <w:p>
            <w:pPr>
              <w:pStyle w:val="19"/>
              <w:rPr>
                <w:rFonts w:ascii="Times New Roman" w:hAnsi="Times New Roman" w:cs="Times New Roman"/>
                <w:b w:val="0"/>
                <w:bCs/>
                <w:szCs w:val="21"/>
              </w:rPr>
            </w:pPr>
            <w:r>
              <w:rPr>
                <w:rFonts w:ascii="Times New Roman" w:hAnsi="Times New Roman" w:cs="Times New Roman"/>
                <w:b/>
                <w:bCs w:val="0"/>
                <w:szCs w:val="21"/>
              </w:rPr>
              <w:t>Population priorities and access</w:t>
            </w:r>
          </w:p>
        </w:tc>
        <w:tc>
          <w:tcPr>
            <w:tcW w:w="3865" w:type="pct"/>
          </w:tcPr>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 xml:space="preserve">The disease usually occurs in younger people and is more common in women. </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Priority groups: young people, women</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134" w:type="pct"/>
          </w:tcPr>
          <w:p>
            <w:pPr>
              <w:pStyle w:val="19"/>
              <w:rPr>
                <w:rFonts w:ascii="Times New Roman" w:hAnsi="Times New Roman" w:cs="Times New Roman"/>
                <w:b w:val="0"/>
                <w:bCs/>
                <w:szCs w:val="21"/>
              </w:rPr>
            </w:pPr>
            <w:r>
              <w:rPr>
                <w:rFonts w:ascii="Times New Roman" w:hAnsi="Times New Roman" w:cs="Times New Roman"/>
                <w:b/>
                <w:bCs w:val="0"/>
                <w:szCs w:val="21"/>
              </w:rPr>
              <w:t>Common goal and specific interests</w:t>
            </w:r>
          </w:p>
        </w:tc>
        <w:tc>
          <w:tcPr>
            <w:tcW w:w="3865" w:type="pct"/>
          </w:tcPr>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There are more than 100,000 patients with multiple sclerosis in China, and there are many reports of related stress from patients. Domestic and foreign national media have carried out relevant reports</w:t>
            </w:r>
            <w:r>
              <w:rPr>
                <w:rFonts w:ascii="Times New Roman" w:hAnsi="Times New Roman" w:eastAsiaTheme="minorEastAsia"/>
                <w:color w:val="101214"/>
                <w:kern w:val="2"/>
                <w:shd w:val="clear" w:color="auto" w:fill="FFFFFF"/>
                <w:lang w:val="en-US"/>
              </w:rPr>
              <w:t>.</w:t>
            </w:r>
            <w:r>
              <w:rPr>
                <w:rFonts w:ascii="Times New Roman" w:hAnsi="Times New Roman" w:eastAsiaTheme="minorEastAsia"/>
                <w:kern w:val="2"/>
              </w:rPr>
              <w:fldChar w:fldCharType="begin"/>
            </w:r>
            <w:r>
              <w:rPr>
                <w:rFonts w:ascii="Times New Roman" w:hAnsi="Times New Roman" w:eastAsiaTheme="minorEastAsia"/>
                <w:kern w:val="2"/>
              </w:rPr>
              <w:instrText xml:space="preserve"> ADDIN EN.CITE &lt;EndNote&gt;&lt;Cite&gt;&lt;Year&gt;2021&lt;/Year&gt;&lt;RecNum&gt;104&lt;/RecNum&gt;&lt;DisplayText&gt;&lt;style face="superscript"&gt;[132, 133]&lt;/style&gt;&lt;/DisplayText&gt;&lt;record&gt;&lt;rec-number&gt;104&lt;/rec-number&gt;&lt;foreign-keys&gt;&lt;key app="EN" db-id="r0zr2vd015vst7e0e2pva025tefxzppa5z5d" timestamp="1649749773"&gt;104&lt;/key&gt;&lt;/foreign-keys&gt;&lt;ref-type name="Web Page"&gt;12&lt;/ref-type&gt;&lt;contributors&gt;&lt;/contributors&gt;&lt;titles&gt;&lt;title&gt;&lt;style face="normal" font="default" charset="134" size="100%"&gt;眼前发黑&lt;/style&gt;&lt;style face="normal" font="default" size="100%"&gt; &lt;/style&gt;&lt;style face="normal" font="default" charset="134" size="100%"&gt;肢体麻木&lt;/style&gt;&lt;style face="normal" font="default" size="100%"&gt; &lt;/style&gt;&lt;style face="normal" font="default" charset="134" size="100%"&gt;神经系统亮红灯？&lt;/style&gt;&lt;/title&gt;&lt;/titles&gt;&lt;volume&gt;2021&lt;/volume&gt;&lt;number&gt;12.20&lt;/number&gt;&lt;dates&gt;&lt;year&gt;2021&lt;/year&gt;&lt;/dates&gt;&lt;pub-location&gt;&lt;style face="normal" font="default" size="100%"&gt;CCTV&lt;/style&gt;&lt;style face="normal" font="default" charset="134" size="100%"&gt;综合频道&lt;/style&gt;&lt;/pub-location&gt;&lt;urls&gt;&lt;related-urls&gt;&lt;url&gt;https://tv.cctv.com/2021/03/18/VIDEmKst8LuChsRPBsZE7fbZ210318.shtml&lt;/url&gt;&lt;/related-urls&gt;&lt;/urls&gt;&lt;/record&gt;&lt;/Cite&gt;&lt;Cite&gt;&lt;Year&gt;2021&lt;/Year&gt;&lt;RecNum&gt;105&lt;/RecNum&gt;&lt;record&gt;&lt;rec-number&gt;105&lt;/rec-number&gt;&lt;foreign-keys&gt;&lt;key app="EN" db-id="r0zr2vd015vst7e0e2pva025tefxzppa5z5d" timestamp="1649749827"&gt;105&lt;/key&gt;&lt;/foreign-keys&gt;&lt;ref-type name="Newspaper Article"&gt;23&lt;/ref-type&gt;&lt;contributors&gt;&lt;/contributors&gt;&lt;titles&gt;&lt;title&gt;&lt;style face="normal" font="default" charset="134" size="100%"&gt;聚焦多发性硬化&lt;/style&gt;&lt;style face="normal" font="default" size="100%"&gt; &lt;/style&gt;&lt;style face="normal" font="default" charset="134" size="100%"&gt;给予患者更多理解&lt;/style&gt;&lt;/title&gt;&lt;secondary-title&gt;&lt;style face="normal" font="default" charset="134" size="100%"&gt;人民日报海外版&lt;/style&gt;&lt;style face="normal" font="default" size="100%"&gt; &lt;/style&gt;&lt;/secondary-title&gt;&lt;/titles&gt;&lt;dates&gt;&lt;year&gt;2021&lt;/year&gt;&lt;/dates&gt;&lt;urls&gt;&lt;/urls&gt;&lt;/record&gt;&lt;/Cite&gt;&lt;/EndNote&gt;</w:instrText>
            </w:r>
            <w:r>
              <w:rPr>
                <w:rFonts w:ascii="Times New Roman" w:hAnsi="Times New Roman" w:eastAsiaTheme="minorEastAsia"/>
                <w:kern w:val="2"/>
              </w:rPr>
              <w:fldChar w:fldCharType="separate"/>
            </w:r>
            <w:r>
              <w:rPr>
                <w:rFonts w:ascii="Times New Roman" w:hAnsi="Times New Roman" w:eastAsiaTheme="minorEastAsia"/>
                <w:kern w:val="2"/>
                <w:vertAlign w:val="superscript"/>
              </w:rPr>
              <w:t>[132, 133]</w:t>
            </w:r>
            <w:r>
              <w:rPr>
                <w:rFonts w:ascii="Times New Roman" w:hAnsi="Times New Roman" w:eastAsiaTheme="minorEastAsia"/>
                <w:kern w:val="2"/>
              </w:rPr>
              <w:fldChar w:fldCharType="end"/>
            </w:r>
            <w:r>
              <w:rPr>
                <w:rFonts w:ascii="Times New Roman" w:hAnsi="Times New Roman" w:eastAsiaTheme="minorEastAsia"/>
                <w:kern w:val="2"/>
              </w:rPr>
              <w:t xml:space="preserve"> 。</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5000" w:type="pct"/>
            <w:gridSpan w:val="2"/>
          </w:tcPr>
          <w:p>
            <w:pPr>
              <w:pStyle w:val="18"/>
              <w:rPr>
                <w:rFonts w:ascii="Times New Roman" w:hAnsi="Times New Roman" w:cs="Times New Roman"/>
                <w:b/>
                <w:bCs/>
                <w:sz w:val="21"/>
                <w:szCs w:val="21"/>
              </w:rPr>
            </w:pPr>
            <w:bookmarkStart w:id="34" w:name="OLE_LINK36"/>
            <w:r>
              <w:rPr>
                <w:rFonts w:ascii="Times New Roman" w:hAnsi="Times New Roman" w:cs="Times New Roman" w:eastAsiaTheme="minorEastAsia"/>
                <w:b/>
                <w:bCs/>
                <w:sz w:val="21"/>
                <w:szCs w:val="21"/>
                <w:lang w:val="en-GB"/>
              </w:rPr>
              <w:t>Feasibility contextual criteria</w:t>
            </w:r>
            <w:bookmarkEnd w:id="34"/>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1134" w:type="pct"/>
          </w:tcPr>
          <w:p>
            <w:pPr>
              <w:pStyle w:val="19"/>
              <w:rPr>
                <w:rFonts w:ascii="Times New Roman" w:hAnsi="Times New Roman" w:cs="Times New Roman" w:eastAsiaTheme="majorEastAsia"/>
                <w:b w:val="0"/>
                <w:bCs/>
                <w:szCs w:val="21"/>
              </w:rPr>
            </w:pPr>
            <w:bookmarkStart w:id="35" w:name="OLE_LINK35" w:colFirst="0" w:colLast="0"/>
            <w:r>
              <w:rPr>
                <w:rFonts w:ascii="Times New Roman" w:hAnsi="Times New Roman" w:cs="Times New Roman"/>
                <w:b/>
                <w:bCs w:val="0"/>
                <w:szCs w:val="21"/>
              </w:rPr>
              <w:t>System capacity and appropriate use of the intervention</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management of adverse events with dimethyl fumarate is simple and clear with minimal monitoring burden. There is no need for genetic testing before treatment, and no need for ECG monitoring by a medical institution for the first treatment.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pct"/>
          </w:tcPr>
          <w:p>
            <w:pPr>
              <w:pStyle w:val="19"/>
              <w:rPr>
                <w:rFonts w:ascii="Times New Roman" w:hAnsi="Times New Roman" w:cs="Times New Roman" w:eastAsiaTheme="majorEastAsia"/>
                <w:b w:val="0"/>
                <w:bCs/>
                <w:szCs w:val="21"/>
              </w:rPr>
            </w:pPr>
            <w:r>
              <w:rPr>
                <w:rFonts w:ascii="Times New Roman" w:hAnsi="Times New Roman" w:cs="Times New Roman"/>
                <w:b/>
                <w:bCs w:val="0"/>
                <w:szCs w:val="21"/>
              </w:rPr>
              <w:t>Government objectives and policy priorities</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are no national policies related to multiple sclerosis disease or dimethyl fumarate.</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pct"/>
          </w:tcPr>
          <w:p>
            <w:pPr>
              <w:pStyle w:val="19"/>
              <w:rPr>
                <w:rFonts w:ascii="Times New Roman" w:hAnsi="Times New Roman" w:cs="Times New Roman" w:eastAsiaTheme="majorEastAsia"/>
                <w:b w:val="0"/>
                <w:bCs/>
                <w:szCs w:val="21"/>
              </w:rPr>
            </w:pPr>
            <w:r>
              <w:rPr>
                <w:rFonts w:ascii="Times New Roman" w:hAnsi="Times New Roman" w:cs="Times New Roman"/>
                <w:b/>
                <w:bCs w:val="0"/>
                <w:szCs w:val="21"/>
              </w:rPr>
              <w:t>Aid program sustainability</w:t>
            </w:r>
          </w:p>
        </w:tc>
        <w:tc>
          <w:tcPr>
            <w:tcW w:w="3865" w:type="pct"/>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Dimethyl fumarate currently has a two-for-one charitable assistance program.</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pct"/>
          </w:tcPr>
          <w:p>
            <w:pPr>
              <w:pStyle w:val="19"/>
              <w:rPr>
                <w:rFonts w:ascii="Times New Roman" w:hAnsi="Times New Roman" w:cs="Times New Roman"/>
                <w:b/>
                <w:bCs w:val="0"/>
                <w:szCs w:val="21"/>
              </w:rPr>
            </w:pPr>
            <w:r>
              <w:rPr>
                <w:rFonts w:ascii="Times New Roman" w:hAnsi="Times New Roman" w:cs="Times New Roman"/>
                <w:b/>
                <w:bCs w:val="0"/>
                <w:szCs w:val="21"/>
              </w:rPr>
              <w:t>Technological innovation</w:t>
            </w:r>
          </w:p>
        </w:tc>
        <w:tc>
          <w:tcPr>
            <w:tcW w:w="3865" w:type="pct"/>
          </w:tcPr>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Dimethyl fumarate is the first disease-modifying therapeutic drug (DMT) that acts on the oxidative stress pathway in China</w:t>
            </w:r>
            <w:r>
              <w:rPr>
                <w:rFonts w:ascii="Times New Roman" w:hAnsi="Times New Roman" w:eastAsiaTheme="minorEastAsia"/>
                <w:color w:val="101214"/>
                <w:kern w:val="2"/>
                <w:shd w:val="clear" w:color="auto" w:fill="FFFFFF"/>
                <w:lang w:val="en-US"/>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pct"/>
            <w:tcBorders>
              <w:bottom w:val="single" w:color="000000" w:themeColor="text1" w:sz="12" w:space="0"/>
            </w:tcBorders>
          </w:tcPr>
          <w:p>
            <w:pPr>
              <w:pStyle w:val="19"/>
              <w:rPr>
                <w:rFonts w:ascii="Times New Roman" w:hAnsi="Times New Roman" w:cs="Times New Roman"/>
                <w:b/>
                <w:bCs w:val="0"/>
                <w:szCs w:val="21"/>
              </w:rPr>
            </w:pPr>
            <w:r>
              <w:rPr>
                <w:rFonts w:ascii="Times New Roman" w:hAnsi="Times New Roman" w:cs="Times New Roman"/>
                <w:b/>
                <w:bCs w:val="0"/>
                <w:szCs w:val="21"/>
              </w:rPr>
              <w:t>Affordability of medical insurance funds</w:t>
            </w:r>
          </w:p>
        </w:tc>
        <w:tc>
          <w:tcPr>
            <w:tcW w:w="3865" w:type="pct"/>
            <w:tcBorders>
              <w:bottom w:val="single" w:color="000000" w:themeColor="text1" w:sz="12" w:space="0"/>
            </w:tcBorders>
          </w:tcPr>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Budget impact analysis for dimethyl fumarate was missing because data were not available. Relevant reference data are provided as follows:</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At present, the domestic treatment of multiple sclerosis has been listed interferon β-1α, interferon β-1β, fingolimod, terifluomide, sinimod, aminopyridine.</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Among them, Fingolmod and Sinimod have negotiated entry into the national medical insurance Category B list at the end of 2020. The daily cost of patients after medical insurance is 228 yuan/day and 242 yuan/day (2mg maintenance dose) respectively. The current daily price of dimethyl fumarate for patients is 225.9 yuan (annual average, with charitable assistance programs taken into account).</w:t>
            </w:r>
          </w:p>
        </w:tc>
      </w:tr>
      <w:bookmarkEnd w:id="35"/>
    </w:tbl>
    <w:p>
      <w:pPr>
        <w:rPr>
          <w:rFonts w:ascii="Times New Roman" w:hAnsi="Times New Roman" w:cs="Times New Roman"/>
        </w:rPr>
      </w:pPr>
      <w:r>
        <w:rPr>
          <w:rFonts w:hint="eastAsia" w:ascii="Times New Roman" w:hAnsi="Times New Roman" w:cs="Times New Roman"/>
        </w:rPr>
        <w:br w:type="page"/>
      </w:r>
    </w:p>
    <w:p>
      <w:pPr>
        <w:rPr>
          <w:rFonts w:ascii="Times New Roman" w:hAnsi="Times New Roman" w:cs="Times New Roman"/>
        </w:rPr>
      </w:pPr>
      <w:r>
        <w:rPr>
          <w:rFonts w:hint="eastAsia" w:ascii="Times New Roman" w:hAnsi="Times New Roman" w:cs="Times New Roman"/>
        </w:rPr>
        <w:t>3.2 The basic information of Laronidase drugs is as follows: Drug class: injection; Indications: Mucopolysaccharidosis type I; Administration instructions: 0.58mg/kg intravenously per week (3-4 hours). A total volume of 100 ml can be used if the weight is &lt;20 kg, and a total volume of 250 ml can be used if the weight is &gt;20 kg. The initial infusion rate was 10mcg/kg/hr; Tolerable range, increase q15 minutes of time within the first hour, up to 200mcg/kg/hr; Intervention duration: continuous injection (once a week); Comparison intervention: Placebo, because there is no other treatment for mucopolysaccharidosis type I, and the efficacy literature mostly uses placebo as the control group.</w:t>
      </w:r>
    </w:p>
    <w:p>
      <w:pPr>
        <w:rPr>
          <w:rFonts w:ascii="Times New Roman" w:hAnsi="Times New Roman" w:cs="Times New Roman"/>
        </w:rPr>
      </w:pPr>
    </w:p>
    <w:p>
      <w:pPr>
        <w:rPr>
          <w:rFonts w:ascii="Times New Roman" w:hAnsi="Times New Roman" w:cs="Times New Roman"/>
        </w:rPr>
      </w:pPr>
      <w:bookmarkStart w:id="36" w:name="OLE_LINK33"/>
      <w:r>
        <w:rPr>
          <w:rFonts w:hint="eastAsia" w:ascii="Times New Roman" w:hAnsi="Times New Roman" w:cs="Times New Roman"/>
        </w:rPr>
        <w:t xml:space="preserve">Table 3.2.1 Quantitative criteria empirical data set of </w:t>
      </w:r>
      <w:bookmarkStart w:id="37" w:name="OLE_LINK22"/>
      <w:r>
        <w:rPr>
          <w:rFonts w:hint="eastAsia" w:ascii="Times New Roman" w:hAnsi="Times New Roman" w:cs="Times New Roman"/>
        </w:rPr>
        <w:t>Laronidase</w:t>
      </w:r>
      <w:bookmarkEnd w:id="37"/>
    </w:p>
    <w:bookmarkEnd w:id="36"/>
    <w:tbl>
      <w:tblPr>
        <w:tblStyle w:val="17"/>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8"/>
        <w:gridCol w:w="7658"/>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675"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Criteria</w:t>
            </w:r>
          </w:p>
        </w:tc>
        <w:tc>
          <w:tcPr>
            <w:tcW w:w="6544"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Empirical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219" w:type="dxa"/>
            <w:gridSpan w:val="2"/>
            <w:tcBorders>
              <w:top w:val="single" w:color="000000" w:themeColor="text1" w:sz="8" w:space="0"/>
            </w:tcBorders>
          </w:tcPr>
          <w:p>
            <w:pPr>
              <w:pStyle w:val="18"/>
              <w:rPr>
                <w:rFonts w:ascii="Times New Roman" w:hAnsi="Times New Roman" w:cs="Times New Roman"/>
                <w:b/>
                <w:bCs/>
                <w:sz w:val="21"/>
                <w:szCs w:val="21"/>
              </w:rPr>
            </w:pPr>
            <w:r>
              <w:rPr>
                <w:rFonts w:ascii="Times New Roman" w:hAnsi="Times New Roman" w:cs="Times New Roman"/>
                <w:b w:val="0"/>
                <w:bCs w:val="0"/>
                <w:sz w:val="21"/>
                <w:szCs w:val="21"/>
              </w:rPr>
              <w:t>EVIDEM core model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219" w:type="dxa"/>
            <w:gridSpan w:val="2"/>
          </w:tcPr>
          <w:p>
            <w:pPr>
              <w:pStyle w:val="16"/>
              <w:spacing w:line="240" w:lineRule="auto"/>
              <w:rPr>
                <w:rFonts w:ascii="Times New Roman" w:hAnsi="Times New Roman" w:eastAsiaTheme="minorEastAsia"/>
                <w:b/>
                <w:bCs/>
                <w:kern w:val="2"/>
              </w:rPr>
            </w:pPr>
            <w:r>
              <w:rPr>
                <w:rFonts w:ascii="Times New Roman" w:hAnsi="Times New Roman" w:eastAsiaTheme="minorEastAsia"/>
                <w:b/>
                <w:bCs/>
                <w:color w:val="000000"/>
                <w:kern w:val="2"/>
              </w:rPr>
              <w:t>Need for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Disease severity</w:t>
            </w:r>
          </w:p>
        </w:tc>
        <w:tc>
          <w:tcPr>
            <w:tcW w:w="6544" w:type="dxa"/>
          </w:tcPr>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 xml:space="preserve">Patients with severe </w:t>
            </w:r>
            <w:bookmarkStart w:id="38" w:name="OLE_LINK21"/>
            <w:r>
              <w:rPr>
                <w:rFonts w:ascii="Times New Roman" w:hAnsi="Times New Roman" w:eastAsia="Segoe UI"/>
                <w:color w:val="101214"/>
                <w:kern w:val="2"/>
                <w:shd w:val="clear" w:color="auto" w:fill="FFFFFF"/>
              </w:rPr>
              <w:t>mucopolysaccharidosis</w:t>
            </w:r>
            <w:bookmarkEnd w:id="38"/>
            <w:r>
              <w:rPr>
                <w:rFonts w:ascii="Times New Roman" w:hAnsi="Times New Roman" w:eastAsia="Segoe UI"/>
                <w:color w:val="101214"/>
                <w:kern w:val="2"/>
                <w:shd w:val="clear" w:color="auto" w:fill="FFFFFF"/>
              </w:rPr>
              <w:t xml:space="preserve"> type I (MPS I) usually suffer from progressive skeletal dysplasia of all bones (multiple bone dysplasia and progressive arthropathy).</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By age three, linear growth declines. Patients may develop progressive and severe intellectual disability, but intellectual disability may not be apparent in the first year of life.</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Progressive cardiopulmonary involvement, hearing loss and corneal opacity are also common in patients. If left untreated, death usually occurs within the first ten years of life (usually from cardiopulmonary failure)</w:t>
            </w:r>
            <w:r>
              <w:rPr>
                <w:rFonts w:hint="eastAsia" w:ascii="Times New Roman" w:hAnsi="Times New Roman" w:eastAsiaTheme="minorEastAsia"/>
                <w:color w:val="101214"/>
                <w:kern w:val="2"/>
                <w:shd w:val="clear" w:color="auto" w:fill="FFFFFF"/>
                <w:lang w:val="en-US"/>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Mild TYPE I mucopolysaccharidosis is less severe than severe, and patients usually have normal intelligence and a relatively long life. Clinical symptoms usually appear between 3 and 10 years of age.The disease may be accompanied by serious life-threatening complications or lifelong disability. The length of life and the rate of progression also vary from person to person, from death at 20-30 years old to normal life span.</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Although some mild cases have no neurological impairment in early childhood and psychomotor development may be normal, learning disabilities and psychiatric symptoms may occur later in life.</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Hearing loss, valvular heart disease, respiratory tract involvement, and corneal opacity are common</w:t>
            </w:r>
            <w:r>
              <w:rPr>
                <w:rFonts w:ascii="Times New Roman" w:hAnsi="Times New Roman" w:eastAsiaTheme="minorEastAsia"/>
                <w:color w:val="101214"/>
                <w:kern w:val="2"/>
                <w:shd w:val="clear" w:color="auto" w:fill="FFFFFF"/>
                <w:lang w:val="en-US"/>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Unmet needs</w:t>
            </w:r>
          </w:p>
        </w:tc>
        <w:tc>
          <w:tcPr>
            <w:tcW w:w="6544" w:type="dxa"/>
          </w:tcPr>
          <w:p>
            <w:pPr>
              <w:pStyle w:val="16"/>
              <w:numPr>
                <w:ilvl w:val="0"/>
                <w:numId w:val="20"/>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At present, hematopoietic stem cell transplantation is the gold standard for the treatment of severe type I mucopolysaccharidosis, but there are still some problems.</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For patients who are unable to undergo hematopoietic stem cell transplantation, Laronidase is the only enzyme replacement therapy for type I mucosaccharidosis</w:t>
            </w:r>
            <w:r>
              <w:rPr>
                <w:rFonts w:ascii="Times New Roman" w:hAnsi="Times New Roman" w:eastAsiaTheme="minorEastAsia"/>
                <w:kern w:val="2"/>
                <w:lang w:val="en-US"/>
              </w:rPr>
              <w:t>.</w:t>
            </w:r>
          </w:p>
          <w:p>
            <w:pPr>
              <w:pStyle w:val="16"/>
              <w:numPr>
                <w:ilvl w:val="0"/>
                <w:numId w:val="20"/>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Defects in hematopoietic stem cell transplantation</w:t>
            </w:r>
            <w:r>
              <w:rPr>
                <w:rFonts w:ascii="Times New Roman" w:hAnsi="Times New Roman" w:eastAsiaTheme="minorEastAsia"/>
                <w:kern w:val="2"/>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Transplant patients may still have a significant disease burden, especially heart valve disease and bone and joint complications that require multiple surgical interventions, as well as eye involvement</w:t>
            </w:r>
            <w:r>
              <w:rPr>
                <w:rFonts w:ascii="Times New Roman" w:hAnsi="Times New Roman" w:eastAsiaTheme="minorEastAsia"/>
                <w:kern w:val="2"/>
              </w:rPr>
              <w:t>；</w:t>
            </w:r>
            <w:r>
              <w:rPr>
                <w:rFonts w:ascii="Times New Roman" w:hAnsi="Times New Roman" w:eastAsia="Segoe UI"/>
                <w:color w:val="101214"/>
                <w:kern w:val="2"/>
                <w:shd w:val="clear" w:color="auto" w:fill="FFFFFF"/>
              </w:rPr>
              <w:t>The severity of cognitive impairment after transplant is often related to age and/or psychomotor development at the time of transplant and to the integrity of the transplant</w:t>
            </w:r>
            <w:r>
              <w:rPr>
                <w:rFonts w:ascii="Times New Roman" w:hAnsi="Times New Roman" w:eastAsiaTheme="minorEastAsia"/>
                <w:kern w:val="2"/>
              </w:rPr>
              <w:t>；</w:t>
            </w:r>
            <w:r>
              <w:rPr>
                <w:rFonts w:ascii="Times New Roman" w:hAnsi="Times New Roman" w:eastAsia="Segoe UI"/>
                <w:color w:val="101214"/>
                <w:kern w:val="2"/>
                <w:shd w:val="clear" w:color="auto" w:fill="FFFFFF"/>
              </w:rPr>
              <w:t>It is usually only effective in patients under the age of 2-2.5 years; In the pre-transplant phase, many factors that influence the outcome of the transplant need to be examined, including the child's age, clinical condition, and degree of neurological and cognitive development.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8219"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rPr>
              <w:t>Comparative outcomes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8"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Comparative effectiveness</w:t>
            </w:r>
          </w:p>
        </w:tc>
        <w:tc>
          <w:tcPr>
            <w:tcW w:w="6544" w:type="dxa"/>
          </w:tcPr>
          <w:p>
            <w:pPr>
              <w:pStyle w:val="8"/>
              <w:widowControl/>
              <w:shd w:val="clear" w:color="auto" w:fill="FFFFFF"/>
              <w:rPr>
                <w:rFonts w:ascii="Times New Roman" w:hAnsi="Times New Roman" w:eastAsia="Segoe UI" w:cs="Times New Roman"/>
                <w:b/>
                <w:bCs/>
                <w:color w:val="101214"/>
                <w:sz w:val="21"/>
                <w:szCs w:val="21"/>
              </w:rPr>
            </w:pPr>
            <w:r>
              <w:rPr>
                <w:rFonts w:ascii="Times New Roman" w:hAnsi="Times New Roman" w:eastAsia="Segoe UI" w:cs="Times New Roman"/>
                <w:b/>
                <w:bCs/>
                <w:color w:val="101214"/>
                <w:sz w:val="21"/>
                <w:szCs w:val="21"/>
                <w:shd w:val="clear" w:color="auto" w:fill="FFFFFF"/>
              </w:rPr>
              <w:t>Validity data:</w:t>
            </w:r>
          </w:p>
          <w:p>
            <w:pPr>
              <w:pStyle w:val="16"/>
              <w:numPr>
                <w:ilvl w:val="0"/>
                <w:numId w:val="21"/>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Based on clinical data from phase III clinical trials</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Treatment regimen: Experimental group: Laronidase 100 mmol/L sodium phosphate, 150 mmol/L sodium chloride, 100 U/kg body weight (0.58 mg/kg)0.001% polyssorbitol-80 solution control group: 150 mmol/L sodium chloride, 100 U/kg body weight (0.58 mg/kg)0.001% polysorbate ester 80 solutionInclusion criteria: age 5 years or older, IDUA activity of fibroblasts or leukocytes less than 10% of the normal value, diagnosis of MPS I. According to the Polgar formula, patients must be able to perform a repeatable forced vital capacity (FVC) maneuver that is ≤ 80% of the predicted normal value; Patients must also be able to stand independently and walk at least five metres in six minutes.</w:t>
            </w:r>
          </w:p>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 xml:space="preserve">Exclusion criteria: prior tracheotomy or bone marrow transplantation; Pregnant or breastfeeding; Taking any study medication within 30 days prior to enrollment; Medical conditions or other circumstances that may seriously affect adherence to the study; Or are known to be allergic to ingredients of </w:t>
            </w:r>
            <w:r>
              <w:rPr>
                <w:rFonts w:ascii="Times New Roman" w:hAnsi="Times New Roman" w:eastAsiaTheme="minorEastAsia"/>
                <w:kern w:val="2"/>
              </w:rPr>
              <w:t>Laronidase</w:t>
            </w:r>
            <w:r>
              <w:rPr>
                <w:rFonts w:ascii="Times New Roman" w:hAnsi="Times New Roman" w:eastAsia="Segoe UI"/>
                <w:color w:val="101214"/>
                <w:kern w:val="2"/>
                <w:shd w:val="clear" w:color="auto" w:fill="FFFFFF"/>
              </w:rPr>
              <w:t xml:space="preserve"> injection or </w:t>
            </w:r>
            <w:bookmarkStart w:id="39" w:name="OLE_LINK23"/>
            <w:r>
              <w:rPr>
                <w:rFonts w:ascii="Times New Roman" w:hAnsi="Times New Roman" w:eastAsia="Segoe UI"/>
                <w:color w:val="101214"/>
                <w:kern w:val="2"/>
                <w:shd w:val="clear" w:color="auto" w:fill="FFFFFF"/>
              </w:rPr>
              <w:t>placebo</w:t>
            </w:r>
            <w:bookmarkEnd w:id="39"/>
            <w:r>
              <w:rPr>
                <w:rFonts w:ascii="Times New Roman" w:hAnsi="Times New Roman" w:eastAsia="Segoe UI"/>
                <w:color w:val="101214"/>
                <w:kern w:val="2"/>
                <w:shd w:val="clear" w:color="auto" w:fill="FFFFFF"/>
              </w:rPr>
              <w:t xml:space="preserve"> solution</w:t>
            </w:r>
            <w:r>
              <w:rPr>
                <w:rFonts w:ascii="Times New Roman" w:hAnsi="Times New Roman" w:eastAsiaTheme="minorEastAsia"/>
                <w:color w:val="101214"/>
                <w:kern w:val="2"/>
                <w:shd w:val="clear" w:color="auto" w:fill="FFFFFF"/>
                <w:lang w:val="en-US"/>
              </w:rPr>
              <w:t>.</w:t>
            </w:r>
          </w:p>
          <w:p>
            <w:pPr>
              <w:pStyle w:val="15"/>
              <w:rPr>
                <w:rFonts w:ascii="Times New Roman" w:hAnsi="Times New Roman" w:cs="Times New Roman"/>
                <w:szCs w:val="21"/>
              </w:rPr>
            </w:pPr>
            <w:r>
              <w:rPr>
                <w:rFonts w:ascii="Times New Roman" w:hAnsi="Times New Roman" w:cs="Times New Roman"/>
                <w:szCs w:val="21"/>
              </w:rPr>
              <w:t>•</w:t>
            </w:r>
            <w:r>
              <w:rPr>
                <w:rFonts w:ascii="Times New Roman" w:hAnsi="Times New Roman" w:eastAsia="宋体" w:cs="Times New Roman"/>
                <w:color w:val="101214"/>
                <w:szCs w:val="21"/>
                <w:shd w:val="clear" w:color="auto" w:fill="FFFFFF"/>
              </w:rPr>
              <w:t>P</w:t>
            </w:r>
            <w:r>
              <w:rPr>
                <w:rFonts w:ascii="Times New Roman" w:hAnsi="Times New Roman" w:eastAsia="Segoe UI" w:cs="Times New Roman"/>
                <w:color w:val="101214"/>
                <w:szCs w:val="21"/>
                <w:shd w:val="clear" w:color="auto" w:fill="FFFFFF"/>
              </w:rPr>
              <w:t>rimary efficacy measures after 26 weeks:</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After 26 weeks, patients treated with Laronidase had a 5.6 percentage point improvement in forced vital capacity (FVC) percentage control and a mean 38.1 meter improvement in six-minute walk (6MWT) distance compared to placebo.</w:t>
            </w:r>
          </w:p>
          <w:tbl>
            <w:tblPr>
              <w:tblStyle w:val="10"/>
              <w:tblW w:w="4780" w:type="pct"/>
              <w:tblInd w:w="0" w:type="dxa"/>
              <w:tblLayout w:type="autofit"/>
              <w:tblCellMar>
                <w:top w:w="0" w:type="dxa"/>
                <w:left w:w="108" w:type="dxa"/>
                <w:bottom w:w="0" w:type="dxa"/>
                <w:right w:w="108" w:type="dxa"/>
              </w:tblCellMar>
            </w:tblPr>
            <w:tblGrid>
              <w:gridCol w:w="1357"/>
              <w:gridCol w:w="1949"/>
              <w:gridCol w:w="1918"/>
              <w:gridCol w:w="1891"/>
            </w:tblGrid>
            <w:tr>
              <w:tblPrEx>
                <w:tblCellMar>
                  <w:top w:w="0" w:type="dxa"/>
                  <w:left w:w="108" w:type="dxa"/>
                  <w:bottom w:w="0" w:type="dxa"/>
                  <w:right w:w="108" w:type="dxa"/>
                </w:tblCellMar>
              </w:tblPrEx>
              <w:trPr>
                <w:trHeight w:val="376" w:hRule="atLeast"/>
              </w:trPr>
              <w:tc>
                <w:tcPr>
                  <w:tcW w:w="999" w:type="pct"/>
                  <w:tcBorders>
                    <w:top w:val="single" w:color="auto" w:sz="4" w:space="0"/>
                    <w:left w:val="nil"/>
                    <w:bottom w:val="single" w:color="auto" w:sz="4" w:space="0"/>
                    <w:right w:val="nil"/>
                  </w:tcBorders>
                  <w:shd w:val="clear" w:color="auto" w:fill="auto"/>
                  <w:vAlign w:val="center"/>
                </w:tcPr>
                <w:p>
                  <w:pPr>
                    <w:pStyle w:val="16"/>
                    <w:spacing w:line="240" w:lineRule="auto"/>
                    <w:rPr>
                      <w:rFonts w:ascii="Times New Roman" w:hAnsi="Times New Roman"/>
                    </w:rPr>
                  </w:pPr>
                </w:p>
              </w:tc>
              <w:tc>
                <w:tcPr>
                  <w:tcW w:w="1234" w:type="pct"/>
                  <w:tcBorders>
                    <w:top w:val="single" w:color="auto" w:sz="4" w:space="0"/>
                    <w:left w:val="nil"/>
                    <w:bottom w:val="single" w:color="auto" w:sz="4" w:space="0"/>
                    <w:right w:val="nil"/>
                  </w:tcBorders>
                  <w:shd w:val="clear" w:color="auto" w:fill="auto"/>
                  <w:vAlign w:val="center"/>
                </w:tcPr>
                <w:p>
                  <w:pPr>
                    <w:pStyle w:val="16"/>
                    <w:spacing w:line="240" w:lineRule="auto"/>
                    <w:rPr>
                      <w:rFonts w:ascii="Times New Roman" w:hAnsi="Times New Roman"/>
                    </w:rPr>
                  </w:pPr>
                </w:p>
              </w:tc>
              <w:tc>
                <w:tcPr>
                  <w:tcW w:w="1393" w:type="pct"/>
                  <w:tcBorders>
                    <w:top w:val="single" w:color="auto" w:sz="4" w:space="0"/>
                    <w:left w:val="nil"/>
                    <w:bottom w:val="single" w:color="auto" w:sz="4" w:space="0"/>
                    <w:right w:val="nil"/>
                  </w:tcBorders>
                  <w:shd w:val="clear" w:color="auto" w:fill="auto"/>
                </w:tcPr>
                <w:p>
                  <w:pPr>
                    <w:pStyle w:val="15"/>
                    <w:jc w:val="center"/>
                    <w:rPr>
                      <w:rFonts w:ascii="Times New Roman" w:hAnsi="Times New Roman" w:cs="Times New Roman"/>
                      <w:b w:val="0"/>
                      <w:bCs w:val="0"/>
                      <w:szCs w:val="21"/>
                    </w:rPr>
                  </w:pPr>
                  <w:bookmarkStart w:id="40" w:name="OLE_LINK26"/>
                  <w:r>
                    <w:rPr>
                      <w:rFonts w:ascii="Times New Roman" w:hAnsi="Times New Roman" w:cs="Times New Roman"/>
                      <w:b w:val="0"/>
                      <w:bCs w:val="0"/>
                      <w:szCs w:val="21"/>
                    </w:rPr>
                    <w:t xml:space="preserve">Laronidase </w:t>
                  </w:r>
                  <w:bookmarkEnd w:id="40"/>
                  <w:r>
                    <w:rPr>
                      <w:rFonts w:ascii="Times New Roman" w:hAnsi="Times New Roman" w:cs="Times New Roman"/>
                      <w:b w:val="0"/>
                      <w:bCs w:val="0"/>
                      <w:szCs w:val="21"/>
                    </w:rPr>
                    <w:t>(n = 22)</w:t>
                  </w:r>
                </w:p>
              </w:tc>
              <w:tc>
                <w:tcPr>
                  <w:tcW w:w="1372" w:type="pct"/>
                  <w:tcBorders>
                    <w:top w:val="single" w:color="auto" w:sz="4" w:space="0"/>
                    <w:left w:val="nil"/>
                    <w:bottom w:val="single" w:color="auto" w:sz="4" w:space="0"/>
                    <w:right w:val="nil"/>
                  </w:tcBorders>
                  <w:shd w:val="clear" w:color="auto" w:fill="auto"/>
                </w:tcPr>
                <w:p>
                  <w:pPr>
                    <w:pStyle w:val="15"/>
                    <w:jc w:val="center"/>
                    <w:rPr>
                      <w:rFonts w:ascii="Times New Roman" w:hAnsi="Times New Roman" w:cs="Times New Roman"/>
                      <w:b w:val="0"/>
                      <w:bCs w:val="0"/>
                      <w:szCs w:val="21"/>
                    </w:rPr>
                  </w:pPr>
                  <w:r>
                    <w:rPr>
                      <w:rFonts w:ascii="Times New Roman" w:hAnsi="Times New Roman" w:cs="Times New Roman"/>
                      <w:b w:val="0"/>
                      <w:bCs w:val="0"/>
                      <w:szCs w:val="21"/>
                    </w:rPr>
                    <w:t>placebo (n = 23)</w:t>
                  </w:r>
                </w:p>
              </w:tc>
            </w:tr>
            <w:tr>
              <w:tblPrEx>
                <w:tblCellMar>
                  <w:top w:w="0" w:type="dxa"/>
                  <w:left w:w="108" w:type="dxa"/>
                  <w:bottom w:w="0" w:type="dxa"/>
                  <w:right w:w="108" w:type="dxa"/>
                </w:tblCellMar>
              </w:tblPrEx>
              <w:trPr>
                <w:trHeight w:val="183" w:hRule="atLeast"/>
              </w:trPr>
              <w:tc>
                <w:tcPr>
                  <w:tcW w:w="5000" w:type="pct"/>
                  <w:gridSpan w:val="4"/>
                  <w:tcBorders>
                    <w:top w:val="single" w:color="auto" w:sz="4" w:space="0"/>
                    <w:left w:val="nil"/>
                    <w:bottom w:val="nil"/>
                    <w:right w:val="nil"/>
                  </w:tcBorders>
                  <w:shd w:val="clear" w:color="auto" w:fill="auto"/>
                  <w:noWrap/>
                  <w:vAlign w:val="center"/>
                </w:tcPr>
                <w:p>
                  <w:pPr>
                    <w:pStyle w:val="15"/>
                    <w:rPr>
                      <w:rFonts w:ascii="Times New Roman" w:hAnsi="Times New Roman" w:cs="Times New Roman"/>
                      <w:b w:val="0"/>
                      <w:bCs w:val="0"/>
                      <w:szCs w:val="21"/>
                    </w:rPr>
                  </w:pPr>
                  <w:r>
                    <w:rPr>
                      <w:rFonts w:ascii="Times New Roman" w:hAnsi="Times New Roman" w:eastAsia="Segoe UI" w:cs="Times New Roman"/>
                      <w:color w:val="101214"/>
                      <w:szCs w:val="21"/>
                      <w:shd w:val="clear" w:color="auto" w:fill="FFFFFF"/>
                    </w:rPr>
                    <w:t>Forced vital capacity (FVC)</w:t>
                  </w:r>
                </w:p>
              </w:tc>
            </w:tr>
            <w:tr>
              <w:tblPrEx>
                <w:tblCellMar>
                  <w:top w:w="0" w:type="dxa"/>
                  <w:left w:w="108" w:type="dxa"/>
                  <w:bottom w:w="0" w:type="dxa"/>
                  <w:right w:w="108" w:type="dxa"/>
                </w:tblCellMar>
              </w:tblPrEx>
              <w:trPr>
                <w:trHeight w:val="367" w:hRule="atLeast"/>
              </w:trPr>
              <w:tc>
                <w:tcPr>
                  <w:tcW w:w="999" w:type="pct"/>
                  <w:tcBorders>
                    <w:top w:val="nil"/>
                    <w:left w:val="nil"/>
                    <w:bottom w:val="nil"/>
                    <w:right w:val="nil"/>
                  </w:tcBorders>
                  <w:shd w:val="clear" w:color="auto" w:fill="auto"/>
                  <w:vAlign w:val="center"/>
                </w:tcPr>
                <w:p>
                  <w:pPr>
                    <w:pStyle w:val="16"/>
                    <w:spacing w:line="240" w:lineRule="auto"/>
                    <w:rPr>
                      <w:rFonts w:ascii="Times New Roman" w:hAnsi="Times New Roman"/>
                    </w:rPr>
                  </w:pPr>
                  <w:bookmarkStart w:id="41" w:name="OLE_LINK24" w:colFirst="0" w:colLast="0"/>
                  <w:r>
                    <w:rPr>
                      <w:rFonts w:ascii="Times New Roman" w:hAnsi="Times New Roman" w:eastAsia="Segoe UI"/>
                      <w:color w:val="101214"/>
                    </w:rPr>
                    <w:t>Baseline of enrollment</w:t>
                  </w: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lang w:val="en-US"/>
                    </w:rPr>
                  </w:pPr>
                  <w:bookmarkStart w:id="42" w:name="OLE_LINK25"/>
                  <w:r>
                    <w:rPr>
                      <w:rFonts w:ascii="Times New Roman" w:hAnsi="Times New Roman" w:eastAsia="Segoe UI"/>
                      <w:color w:val="2A2B2E"/>
                      <w:shd w:val="clear" w:color="auto" w:fill="FFFFFF"/>
                    </w:rPr>
                    <w:t xml:space="preserve">Mean ± </w:t>
                  </w:r>
                  <w:r>
                    <w:rPr>
                      <w:rFonts w:ascii="Times New Roman" w:hAnsi="Times New Roman"/>
                      <w:color w:val="2A2B2E"/>
                      <w:shd w:val="clear" w:color="auto" w:fill="FFFFFF"/>
                      <w:lang w:val="en-US"/>
                    </w:rPr>
                    <w:t>SD</w:t>
                  </w:r>
                  <w:bookmarkEnd w:id="42"/>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48.4 ± 14.5</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54.2 ± 16.0</w:t>
                  </w:r>
                </w:p>
              </w:tc>
            </w:tr>
            <w:tr>
              <w:tblPrEx>
                <w:tblCellMar>
                  <w:top w:w="0" w:type="dxa"/>
                  <w:left w:w="108" w:type="dxa"/>
                  <w:bottom w:w="0" w:type="dxa"/>
                  <w:right w:w="108" w:type="dxa"/>
                </w:tblCellMar>
              </w:tblPrEx>
              <w:trPr>
                <w:trHeight w:val="367" w:hRule="atLeast"/>
              </w:trPr>
              <w:tc>
                <w:tcPr>
                  <w:tcW w:w="999"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26</w:t>
                  </w:r>
                  <w:r>
                    <w:rPr>
                      <w:rFonts w:ascii="Times New Roman" w:hAnsi="Times New Roman"/>
                      <w:lang w:val="en-US"/>
                    </w:rPr>
                    <w:t>weeks</w:t>
                  </w: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color w:val="2A2B2E"/>
                      <w:shd w:val="clear" w:color="auto" w:fill="FFFFFF"/>
                    </w:rPr>
                    <w:t xml:space="preserve">Mean ± </w:t>
                  </w:r>
                  <w:r>
                    <w:rPr>
                      <w:rFonts w:ascii="Times New Roman" w:hAnsi="Times New Roman"/>
                      <w:color w:val="2A2B2E"/>
                      <w:shd w:val="clear" w:color="auto" w:fill="FFFFFF"/>
                      <w:lang w:val="en-US"/>
                    </w:rPr>
                    <w:t>SD</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53.3 ± 18.5</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53.5 ± 14.2</w:t>
                  </w:r>
                </w:p>
              </w:tc>
            </w:tr>
            <w:tr>
              <w:tblPrEx>
                <w:tblCellMar>
                  <w:top w:w="0" w:type="dxa"/>
                  <w:left w:w="108" w:type="dxa"/>
                  <w:bottom w:w="0" w:type="dxa"/>
                  <w:right w:w="108" w:type="dxa"/>
                </w:tblCellMar>
              </w:tblPrEx>
              <w:trPr>
                <w:trHeight w:val="367" w:hRule="atLeast"/>
              </w:trPr>
              <w:tc>
                <w:tcPr>
                  <w:tcW w:w="999" w:type="pct"/>
                  <w:vMerge w:val="restart"/>
                  <w:tcBorders>
                    <w:top w:val="nil"/>
                    <w:left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 xml:space="preserve">26 </w:t>
                  </w:r>
                  <w:r>
                    <w:rPr>
                      <w:rFonts w:ascii="Times New Roman" w:hAnsi="Times New Roman"/>
                      <w:color w:val="101214"/>
                      <w:shd w:val="clear" w:color="auto" w:fill="FFFFFF"/>
                      <w:lang w:val="en-US"/>
                    </w:rPr>
                    <w:t xml:space="preserve">weeks </w:t>
                  </w:r>
                  <w:r>
                    <w:rPr>
                      <w:rFonts w:ascii="Times New Roman" w:hAnsi="Times New Roman" w:eastAsia="Segoe UI"/>
                      <w:color w:val="101214"/>
                      <w:shd w:val="clear" w:color="auto" w:fill="FFFFFF"/>
                    </w:rPr>
                    <w:t>before and after the difference</w:t>
                  </w: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color w:val="2A2B2E"/>
                      <w:shd w:val="clear" w:color="auto" w:fill="FFFFFF"/>
                    </w:rPr>
                    <w:t xml:space="preserve">Mean ± </w:t>
                  </w:r>
                  <w:r>
                    <w:rPr>
                      <w:rFonts w:ascii="Times New Roman" w:hAnsi="Times New Roman"/>
                      <w:color w:val="2A2B2E"/>
                      <w:shd w:val="clear" w:color="auto" w:fill="FFFFFF"/>
                      <w:lang w:val="en-US"/>
                    </w:rPr>
                    <w:t>SD</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4.9 ± 8.7</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微软雅黑"/>
                    </w:rPr>
                    <w:t>−</w:t>
                  </w:r>
                  <w:r>
                    <w:rPr>
                      <w:rFonts w:ascii="Times New Roman" w:hAnsi="Times New Roman"/>
                    </w:rPr>
                    <w:t>0.7 ± 5.9</w:t>
                  </w:r>
                </w:p>
              </w:tc>
            </w:tr>
            <w:tr>
              <w:tblPrEx>
                <w:tblCellMar>
                  <w:top w:w="0" w:type="dxa"/>
                  <w:left w:w="108" w:type="dxa"/>
                  <w:bottom w:w="0" w:type="dxa"/>
                  <w:right w:w="108" w:type="dxa"/>
                </w:tblCellMar>
              </w:tblPrEx>
              <w:trPr>
                <w:trHeight w:val="183" w:hRule="atLeast"/>
              </w:trPr>
              <w:tc>
                <w:tcPr>
                  <w:tcW w:w="999" w:type="pct"/>
                  <w:vMerge w:val="continue"/>
                  <w:tcBorders>
                    <w:left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median</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0</w:t>
                  </w:r>
                </w:p>
              </w:tc>
            </w:tr>
            <w:tr>
              <w:tblPrEx>
                <w:tblCellMar>
                  <w:top w:w="0" w:type="dxa"/>
                  <w:left w:w="108" w:type="dxa"/>
                  <w:bottom w:w="0" w:type="dxa"/>
                  <w:right w:w="108" w:type="dxa"/>
                </w:tblCellMar>
              </w:tblPrEx>
              <w:trPr>
                <w:trHeight w:val="183" w:hRule="atLeast"/>
              </w:trPr>
              <w:tc>
                <w:tcPr>
                  <w:tcW w:w="999" w:type="pct"/>
                  <w:vMerge w:val="restart"/>
                  <w:tcBorders>
                    <w:top w:val="nil"/>
                    <w:left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difference between groups</w:t>
                  </w: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average </w:t>
                  </w:r>
                </w:p>
              </w:tc>
              <w:tc>
                <w:tcPr>
                  <w:tcW w:w="2766" w:type="pct"/>
                  <w:gridSpan w:val="2"/>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5.6</w:t>
                  </w:r>
                </w:p>
              </w:tc>
            </w:tr>
            <w:bookmarkEnd w:id="41"/>
            <w:tr>
              <w:tblPrEx>
                <w:tblCellMar>
                  <w:top w:w="0" w:type="dxa"/>
                  <w:left w:w="108" w:type="dxa"/>
                  <w:bottom w:w="0" w:type="dxa"/>
                  <w:right w:w="108" w:type="dxa"/>
                </w:tblCellMar>
              </w:tblPrEx>
              <w:trPr>
                <w:trHeight w:val="367" w:hRule="atLeast"/>
              </w:trPr>
              <w:tc>
                <w:tcPr>
                  <w:tcW w:w="999" w:type="pct"/>
                  <w:vMerge w:val="continue"/>
                  <w:tcBorders>
                    <w:left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median</w:t>
                  </w:r>
                  <w:r>
                    <w:rPr>
                      <w:rFonts w:ascii="Times New Roman" w:hAnsi="Times New Roman"/>
                    </w:rPr>
                    <w:t xml:space="preserve"> (95% CI)</w:t>
                  </w:r>
                </w:p>
              </w:tc>
              <w:tc>
                <w:tcPr>
                  <w:tcW w:w="2766" w:type="pct"/>
                  <w:gridSpan w:val="2"/>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3.0 (0.9, 8.6)</w:t>
                  </w:r>
                </w:p>
              </w:tc>
            </w:tr>
            <w:tr>
              <w:tblPrEx>
                <w:tblCellMar>
                  <w:top w:w="0" w:type="dxa"/>
                  <w:left w:w="108" w:type="dxa"/>
                  <w:bottom w:w="0" w:type="dxa"/>
                  <w:right w:w="108" w:type="dxa"/>
                </w:tblCellMar>
              </w:tblPrEx>
              <w:trPr>
                <w:trHeight w:val="183" w:hRule="atLeast"/>
              </w:trPr>
              <w:tc>
                <w:tcPr>
                  <w:tcW w:w="999" w:type="pct"/>
                  <w:vMerge w:val="continue"/>
                  <w:tcBorders>
                    <w:left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rank sum test</w:t>
                  </w:r>
                </w:p>
              </w:tc>
              <w:tc>
                <w:tcPr>
                  <w:tcW w:w="2766" w:type="pct"/>
                  <w:gridSpan w:val="2"/>
                  <w:tcBorders>
                    <w:top w:val="nil"/>
                    <w:left w:val="nil"/>
                    <w:bottom w:val="nil"/>
                    <w:right w:val="nil"/>
                  </w:tcBorders>
                  <w:shd w:val="clear" w:color="auto" w:fill="auto"/>
                  <w:noWrap/>
                  <w:vAlign w:val="center"/>
                </w:tcPr>
                <w:p>
                  <w:pPr>
                    <w:pStyle w:val="16"/>
                    <w:spacing w:line="240" w:lineRule="auto"/>
                    <w:rPr>
                      <w:rFonts w:ascii="Times New Roman" w:hAnsi="Times New Roman"/>
                    </w:rPr>
                  </w:pPr>
                  <w:bookmarkStart w:id="43" w:name="RANGE!C9"/>
                  <w:r>
                    <w:rPr>
                      <w:rFonts w:ascii="Times New Roman" w:hAnsi="Times New Roman"/>
                    </w:rPr>
                    <w:t>P = .009†</w:t>
                  </w:r>
                  <w:bookmarkEnd w:id="43"/>
                </w:p>
              </w:tc>
            </w:tr>
            <w:tr>
              <w:tblPrEx>
                <w:tblCellMar>
                  <w:top w:w="0" w:type="dxa"/>
                  <w:left w:w="108" w:type="dxa"/>
                  <w:bottom w:w="0" w:type="dxa"/>
                  <w:right w:w="108" w:type="dxa"/>
                </w:tblCellMar>
              </w:tblPrEx>
              <w:trPr>
                <w:trHeight w:val="183" w:hRule="atLeast"/>
              </w:trPr>
              <w:tc>
                <w:tcPr>
                  <w:tcW w:w="999" w:type="pct"/>
                  <w:vMerge w:val="continue"/>
                  <w:tcBorders>
                    <w:left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single" w:color="000000" w:sz="4" w:space="0"/>
                    <w:right w:val="nil"/>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covariance analysis</w:t>
                  </w:r>
                </w:p>
              </w:tc>
              <w:tc>
                <w:tcPr>
                  <w:tcW w:w="2766" w:type="pct"/>
                  <w:gridSpan w:val="2"/>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P = .007</w:t>
                  </w:r>
                </w:p>
              </w:tc>
            </w:tr>
            <w:tr>
              <w:tblPrEx>
                <w:tblCellMar>
                  <w:top w:w="0" w:type="dxa"/>
                  <w:left w:w="108" w:type="dxa"/>
                  <w:bottom w:w="0" w:type="dxa"/>
                  <w:right w:w="108" w:type="dxa"/>
                </w:tblCellMar>
              </w:tblPrEx>
              <w:trPr>
                <w:trHeight w:val="260" w:hRule="atLeast"/>
              </w:trPr>
              <w:tc>
                <w:tcPr>
                  <w:tcW w:w="5000" w:type="pct"/>
                  <w:gridSpan w:val="4"/>
                  <w:tcBorders>
                    <w:top w:val="single" w:color="000000" w:sz="4" w:space="0"/>
                    <w:left w:val="nil"/>
                    <w:bottom w:val="nil"/>
                    <w:right w:val="nil"/>
                  </w:tcBorders>
                  <w:shd w:val="clear" w:color="auto" w:fill="auto"/>
                  <w:vAlign w:val="center"/>
                </w:tcPr>
                <w:p>
                  <w:pPr>
                    <w:pStyle w:val="15"/>
                    <w:rPr>
                      <w:rFonts w:ascii="Times New Roman" w:hAnsi="Times New Roman" w:cs="Times New Roman"/>
                      <w:b w:val="0"/>
                      <w:bCs w:val="0"/>
                      <w:szCs w:val="21"/>
                    </w:rPr>
                  </w:pPr>
                  <w:r>
                    <w:rPr>
                      <w:rFonts w:ascii="Times New Roman" w:hAnsi="Times New Roman" w:eastAsia="宋体" w:cs="Times New Roman"/>
                      <w:color w:val="101214"/>
                      <w:szCs w:val="21"/>
                      <w:shd w:val="clear" w:color="auto" w:fill="FFFFFF"/>
                    </w:rPr>
                    <w:t>6</w:t>
                  </w:r>
                  <w:r>
                    <w:rPr>
                      <w:rFonts w:ascii="Times New Roman" w:hAnsi="Times New Roman" w:eastAsia="Segoe UI" w:cs="Times New Roman"/>
                      <w:color w:val="101214"/>
                      <w:szCs w:val="21"/>
                      <w:shd w:val="clear" w:color="auto" w:fill="FFFFFF"/>
                    </w:rPr>
                    <w:t>-minute walk</w:t>
                  </w:r>
                  <w:r>
                    <w:rPr>
                      <w:rFonts w:ascii="Times New Roman" w:hAnsi="Times New Roman" w:cs="Times New Roman"/>
                      <w:b w:val="0"/>
                      <w:bCs w:val="0"/>
                      <w:szCs w:val="21"/>
                    </w:rPr>
                    <w:t>（6MWT）/meter</w:t>
                  </w:r>
                </w:p>
              </w:tc>
            </w:tr>
            <w:tr>
              <w:tblPrEx>
                <w:tblCellMar>
                  <w:top w:w="0" w:type="dxa"/>
                  <w:left w:w="108" w:type="dxa"/>
                  <w:bottom w:w="0" w:type="dxa"/>
                  <w:right w:w="108" w:type="dxa"/>
                </w:tblCellMar>
              </w:tblPrEx>
              <w:trPr>
                <w:trHeight w:val="367" w:hRule="atLeast"/>
              </w:trPr>
              <w:tc>
                <w:tcPr>
                  <w:tcW w:w="999"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color w:val="101214"/>
                    </w:rPr>
                    <w:t>Baseline of enrollment</w:t>
                  </w:r>
                </w:p>
              </w:tc>
              <w:tc>
                <w:tcPr>
                  <w:tcW w:w="1234" w:type="pct"/>
                  <w:tcBorders>
                    <w:top w:val="nil"/>
                    <w:left w:val="nil"/>
                    <w:bottom w:val="nil"/>
                    <w:right w:val="nil"/>
                  </w:tcBorders>
                  <w:shd w:val="clear" w:color="auto" w:fill="auto"/>
                  <w:vAlign w:val="center"/>
                </w:tcPr>
                <w:p>
                  <w:pPr>
                    <w:rPr>
                      <w:rFonts w:ascii="Times New Roman" w:hAnsi="Times New Roman" w:cs="Times New Roman"/>
                      <w:szCs w:val="21"/>
                    </w:rPr>
                  </w:pPr>
                  <w:r>
                    <w:rPr>
                      <w:rFonts w:ascii="Times New Roman" w:hAnsi="Times New Roman" w:eastAsia="Segoe UI" w:cs="Times New Roman"/>
                      <w:color w:val="2A2B2E"/>
                      <w:szCs w:val="21"/>
                      <w:shd w:val="clear" w:color="auto" w:fill="FFFFFF"/>
                    </w:rPr>
                    <w:t xml:space="preserve">Mean ± </w:t>
                  </w:r>
                  <w:r>
                    <w:rPr>
                      <w:rFonts w:ascii="Times New Roman" w:hAnsi="Times New Roman" w:eastAsia="宋体" w:cs="Times New Roman"/>
                      <w:color w:val="2A2B2E"/>
                      <w:szCs w:val="21"/>
                      <w:shd w:val="clear" w:color="auto" w:fill="FFFFFF"/>
                    </w:rPr>
                    <w:t>SD</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319.1 ± 131.4</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366.7 ± 113.7</w:t>
                  </w:r>
                </w:p>
              </w:tc>
            </w:tr>
            <w:tr>
              <w:tblPrEx>
                <w:tblCellMar>
                  <w:top w:w="0" w:type="dxa"/>
                  <w:left w:w="108" w:type="dxa"/>
                  <w:bottom w:w="0" w:type="dxa"/>
                  <w:right w:w="108" w:type="dxa"/>
                </w:tblCellMar>
              </w:tblPrEx>
              <w:trPr>
                <w:trHeight w:val="367" w:hRule="atLeast"/>
              </w:trPr>
              <w:tc>
                <w:tcPr>
                  <w:tcW w:w="999"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26</w:t>
                  </w:r>
                  <w:r>
                    <w:rPr>
                      <w:rFonts w:ascii="Times New Roman" w:hAnsi="Times New Roman"/>
                      <w:lang w:val="en-US"/>
                    </w:rPr>
                    <w:t>weeks</w:t>
                  </w:r>
                </w:p>
              </w:tc>
              <w:tc>
                <w:tcPr>
                  <w:tcW w:w="1234" w:type="pct"/>
                  <w:tcBorders>
                    <w:top w:val="nil"/>
                    <w:left w:val="nil"/>
                    <w:bottom w:val="nil"/>
                    <w:right w:val="nil"/>
                  </w:tcBorders>
                  <w:shd w:val="clear" w:color="auto" w:fill="auto"/>
                  <w:vAlign w:val="center"/>
                </w:tcPr>
                <w:p>
                  <w:pPr>
                    <w:rPr>
                      <w:rFonts w:ascii="Times New Roman" w:hAnsi="Times New Roman" w:cs="Times New Roman"/>
                      <w:szCs w:val="21"/>
                    </w:rPr>
                  </w:pPr>
                  <w:r>
                    <w:rPr>
                      <w:rFonts w:ascii="Times New Roman" w:hAnsi="Times New Roman" w:eastAsia="Segoe UI" w:cs="Times New Roman"/>
                      <w:color w:val="2A2B2E"/>
                      <w:szCs w:val="21"/>
                      <w:shd w:val="clear" w:color="auto" w:fill="FFFFFF"/>
                    </w:rPr>
                    <w:t xml:space="preserve">Mean ± </w:t>
                  </w:r>
                  <w:r>
                    <w:rPr>
                      <w:rFonts w:ascii="Times New Roman" w:hAnsi="Times New Roman" w:eastAsia="宋体" w:cs="Times New Roman"/>
                      <w:color w:val="2A2B2E"/>
                      <w:szCs w:val="21"/>
                      <w:shd w:val="clear" w:color="auto" w:fill="FFFFFF"/>
                    </w:rPr>
                    <w:t>SD</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338.8 ± 127.1</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348.3 ± 128.8</w:t>
                  </w:r>
                </w:p>
              </w:tc>
            </w:tr>
            <w:tr>
              <w:tblPrEx>
                <w:tblCellMar>
                  <w:top w:w="0" w:type="dxa"/>
                  <w:left w:w="108" w:type="dxa"/>
                  <w:bottom w:w="0" w:type="dxa"/>
                  <w:right w:w="108" w:type="dxa"/>
                </w:tblCellMar>
              </w:tblPrEx>
              <w:trPr>
                <w:trHeight w:val="367" w:hRule="atLeast"/>
              </w:trPr>
              <w:tc>
                <w:tcPr>
                  <w:tcW w:w="999" w:type="pct"/>
                  <w:vMerge w:val="restart"/>
                  <w:tcBorders>
                    <w:top w:val="nil"/>
                    <w:left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 xml:space="preserve">26 </w:t>
                  </w:r>
                  <w:r>
                    <w:rPr>
                      <w:rFonts w:ascii="Times New Roman" w:hAnsi="Times New Roman"/>
                      <w:color w:val="101214"/>
                      <w:shd w:val="clear" w:color="auto" w:fill="FFFFFF"/>
                      <w:lang w:val="en-US"/>
                    </w:rPr>
                    <w:t xml:space="preserve">weeks </w:t>
                  </w:r>
                  <w:r>
                    <w:rPr>
                      <w:rFonts w:ascii="Times New Roman" w:hAnsi="Times New Roman" w:eastAsia="Segoe UI"/>
                      <w:color w:val="101214"/>
                      <w:shd w:val="clear" w:color="auto" w:fill="FFFFFF"/>
                    </w:rPr>
                    <w:t>before and after the difference</w:t>
                  </w:r>
                </w:p>
              </w:tc>
              <w:tc>
                <w:tcPr>
                  <w:tcW w:w="1234" w:type="pct"/>
                  <w:tcBorders>
                    <w:top w:val="nil"/>
                    <w:left w:val="nil"/>
                    <w:bottom w:val="nil"/>
                    <w:right w:val="nil"/>
                  </w:tcBorders>
                  <w:shd w:val="clear" w:color="auto" w:fill="auto"/>
                  <w:vAlign w:val="center"/>
                </w:tcPr>
                <w:p>
                  <w:pPr>
                    <w:rPr>
                      <w:rFonts w:ascii="Times New Roman" w:hAnsi="Times New Roman" w:cs="Times New Roman"/>
                      <w:szCs w:val="21"/>
                    </w:rPr>
                  </w:pPr>
                  <w:r>
                    <w:rPr>
                      <w:rFonts w:ascii="Times New Roman" w:hAnsi="Times New Roman" w:eastAsia="Segoe UI" w:cs="Times New Roman"/>
                      <w:color w:val="2A2B2E"/>
                      <w:szCs w:val="21"/>
                      <w:shd w:val="clear" w:color="auto" w:fill="FFFFFF"/>
                    </w:rPr>
                    <w:t xml:space="preserve">Mean ± </w:t>
                  </w:r>
                  <w:r>
                    <w:rPr>
                      <w:rFonts w:ascii="Times New Roman" w:hAnsi="Times New Roman" w:eastAsia="宋体" w:cs="Times New Roman"/>
                      <w:color w:val="2A2B2E"/>
                      <w:szCs w:val="21"/>
                      <w:shd w:val="clear" w:color="auto" w:fill="FFFFFF"/>
                    </w:rPr>
                    <w:t>SD</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19.7 ± 68.6</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微软雅黑"/>
                    </w:rPr>
                    <w:t>−</w:t>
                  </w:r>
                  <w:r>
                    <w:rPr>
                      <w:rFonts w:ascii="Times New Roman" w:hAnsi="Times New Roman"/>
                    </w:rPr>
                    <w:t>18.4 ± 67.5</w:t>
                  </w:r>
                </w:p>
              </w:tc>
            </w:tr>
            <w:tr>
              <w:tblPrEx>
                <w:tblCellMar>
                  <w:top w:w="0" w:type="dxa"/>
                  <w:left w:w="108" w:type="dxa"/>
                  <w:bottom w:w="0" w:type="dxa"/>
                  <w:right w:w="108" w:type="dxa"/>
                </w:tblCellMar>
              </w:tblPrEx>
              <w:trPr>
                <w:trHeight w:val="183" w:hRule="atLeast"/>
              </w:trPr>
              <w:tc>
                <w:tcPr>
                  <w:tcW w:w="999" w:type="pct"/>
                  <w:vMerge w:val="continue"/>
                  <w:tcBorders>
                    <w:left w:val="nil"/>
                    <w:bottom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median</w:t>
                  </w:r>
                </w:p>
              </w:tc>
              <w:tc>
                <w:tcPr>
                  <w:tcW w:w="1393"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27.5</w:t>
                  </w:r>
                </w:p>
              </w:tc>
              <w:tc>
                <w:tcPr>
                  <w:tcW w:w="1372"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微软雅黑"/>
                    </w:rPr>
                    <w:t>−</w:t>
                  </w:r>
                  <w:r>
                    <w:rPr>
                      <w:rFonts w:ascii="Times New Roman" w:hAnsi="Times New Roman"/>
                    </w:rPr>
                    <w:t>11.0</w:t>
                  </w:r>
                </w:p>
              </w:tc>
            </w:tr>
            <w:tr>
              <w:tblPrEx>
                <w:tblCellMar>
                  <w:top w:w="0" w:type="dxa"/>
                  <w:left w:w="108" w:type="dxa"/>
                  <w:bottom w:w="0" w:type="dxa"/>
                  <w:right w:w="108" w:type="dxa"/>
                </w:tblCellMar>
              </w:tblPrEx>
              <w:trPr>
                <w:trHeight w:val="183" w:hRule="atLeast"/>
              </w:trPr>
              <w:tc>
                <w:tcPr>
                  <w:tcW w:w="999" w:type="pct"/>
                  <w:vMerge w:val="restart"/>
                  <w:tcBorders>
                    <w:top w:val="nil"/>
                    <w:left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difference between groups</w:t>
                  </w: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average </w:t>
                  </w:r>
                </w:p>
              </w:tc>
              <w:tc>
                <w:tcPr>
                  <w:tcW w:w="2766" w:type="pct"/>
                  <w:gridSpan w:val="2"/>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38.1</w:t>
                  </w:r>
                </w:p>
              </w:tc>
            </w:tr>
            <w:tr>
              <w:tblPrEx>
                <w:tblCellMar>
                  <w:top w:w="0" w:type="dxa"/>
                  <w:left w:w="108" w:type="dxa"/>
                  <w:bottom w:w="0" w:type="dxa"/>
                  <w:right w:w="108" w:type="dxa"/>
                </w:tblCellMar>
              </w:tblPrEx>
              <w:trPr>
                <w:trHeight w:val="367" w:hRule="atLeast"/>
              </w:trPr>
              <w:tc>
                <w:tcPr>
                  <w:tcW w:w="999" w:type="pct"/>
                  <w:vMerge w:val="continue"/>
                  <w:tcBorders>
                    <w:left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median</w:t>
                  </w:r>
                  <w:r>
                    <w:rPr>
                      <w:rFonts w:ascii="Times New Roman" w:hAnsi="Times New Roman"/>
                    </w:rPr>
                    <w:t xml:space="preserve"> (95% CI)</w:t>
                  </w:r>
                </w:p>
              </w:tc>
              <w:tc>
                <w:tcPr>
                  <w:tcW w:w="2766" w:type="pct"/>
                  <w:gridSpan w:val="2"/>
                  <w:tcBorders>
                    <w:top w:val="nil"/>
                    <w:left w:val="nil"/>
                    <w:bottom w:val="nil"/>
                    <w:right w:val="nil"/>
                  </w:tcBorders>
                  <w:shd w:val="clear" w:color="auto" w:fill="auto"/>
                  <w:vAlign w:val="center"/>
                </w:tcPr>
                <w:p>
                  <w:pPr>
                    <w:pStyle w:val="16"/>
                    <w:spacing w:line="240" w:lineRule="auto"/>
                    <w:rPr>
                      <w:rFonts w:ascii="Times New Roman" w:hAnsi="Times New Roman"/>
                    </w:rPr>
                  </w:pPr>
                  <w:r>
                    <w:rPr>
                      <w:rFonts w:ascii="Times New Roman" w:hAnsi="Times New Roman"/>
                    </w:rPr>
                    <w:t>38.5 (</w:t>
                  </w:r>
                  <w:r>
                    <w:rPr>
                      <w:rFonts w:ascii="Times New Roman" w:hAnsi="Times New Roman" w:eastAsia="微软雅黑"/>
                    </w:rPr>
                    <w:t>−</w:t>
                  </w:r>
                  <w:r>
                    <w:rPr>
                      <w:rFonts w:ascii="Times New Roman" w:hAnsi="Times New Roman"/>
                    </w:rPr>
                    <w:t>2.0, 79.0)</w:t>
                  </w:r>
                </w:p>
              </w:tc>
            </w:tr>
            <w:tr>
              <w:tblPrEx>
                <w:tblCellMar>
                  <w:top w:w="0" w:type="dxa"/>
                  <w:left w:w="108" w:type="dxa"/>
                  <w:bottom w:w="0" w:type="dxa"/>
                  <w:right w:w="108" w:type="dxa"/>
                </w:tblCellMar>
              </w:tblPrEx>
              <w:trPr>
                <w:trHeight w:val="183" w:hRule="atLeast"/>
              </w:trPr>
              <w:tc>
                <w:tcPr>
                  <w:tcW w:w="999" w:type="pct"/>
                  <w:vMerge w:val="continue"/>
                  <w:tcBorders>
                    <w:left w:val="nil"/>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right w:val="nil"/>
                  </w:tcBorders>
                  <w:shd w:val="clear" w:color="auto" w:fill="auto"/>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rank sum test</w:t>
                  </w:r>
                </w:p>
              </w:tc>
              <w:tc>
                <w:tcPr>
                  <w:tcW w:w="2766" w:type="pct"/>
                  <w:gridSpan w:val="2"/>
                  <w:tcBorders>
                    <w:top w:val="nil"/>
                    <w:left w:val="nil"/>
                    <w:right w:val="nil"/>
                  </w:tcBorders>
                  <w:shd w:val="clear" w:color="auto" w:fill="auto"/>
                  <w:noWrap/>
                  <w:vAlign w:val="center"/>
                </w:tcPr>
                <w:p>
                  <w:pPr>
                    <w:pStyle w:val="16"/>
                    <w:spacing w:line="240" w:lineRule="auto"/>
                    <w:rPr>
                      <w:rFonts w:ascii="Times New Roman" w:hAnsi="Times New Roman"/>
                    </w:rPr>
                  </w:pPr>
                  <w:r>
                    <w:rPr>
                      <w:rFonts w:ascii="Times New Roman" w:hAnsi="Times New Roman"/>
                    </w:rPr>
                    <w:t>P = .066†</w:t>
                  </w:r>
                </w:p>
              </w:tc>
            </w:tr>
            <w:tr>
              <w:tblPrEx>
                <w:tblCellMar>
                  <w:top w:w="0" w:type="dxa"/>
                  <w:left w:w="108" w:type="dxa"/>
                  <w:bottom w:w="0" w:type="dxa"/>
                  <w:right w:w="108" w:type="dxa"/>
                </w:tblCellMar>
              </w:tblPrEx>
              <w:trPr>
                <w:trHeight w:val="192" w:hRule="atLeast"/>
              </w:trPr>
              <w:tc>
                <w:tcPr>
                  <w:tcW w:w="999" w:type="pct"/>
                  <w:vMerge w:val="continue"/>
                  <w:tcBorders>
                    <w:left w:val="nil"/>
                    <w:bottom w:val="single" w:color="auto" w:sz="4" w:space="0"/>
                    <w:right w:val="nil"/>
                  </w:tcBorders>
                  <w:shd w:val="clear" w:color="auto" w:fill="auto"/>
                  <w:vAlign w:val="center"/>
                </w:tcPr>
                <w:p>
                  <w:pPr>
                    <w:pStyle w:val="16"/>
                    <w:spacing w:line="240" w:lineRule="auto"/>
                    <w:rPr>
                      <w:rFonts w:ascii="Times New Roman" w:hAnsi="Times New Roman"/>
                    </w:rPr>
                  </w:pPr>
                </w:p>
              </w:tc>
              <w:tc>
                <w:tcPr>
                  <w:tcW w:w="1234" w:type="pct"/>
                  <w:tcBorders>
                    <w:top w:val="nil"/>
                    <w:left w:val="nil"/>
                    <w:bottom w:val="single" w:color="auto" w:sz="4" w:space="0"/>
                    <w:right w:val="nil"/>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b/>
                      <w:bCs/>
                      <w:color w:val="2A2B2E"/>
                      <w:shd w:val="clear" w:color="auto" w:fill="FFFFFF"/>
                    </w:rPr>
                    <w:t>covariance analysis</w:t>
                  </w:r>
                </w:p>
              </w:tc>
              <w:tc>
                <w:tcPr>
                  <w:tcW w:w="2766" w:type="pct"/>
                  <w:gridSpan w:val="2"/>
                  <w:tcBorders>
                    <w:top w:val="nil"/>
                    <w:left w:val="nil"/>
                    <w:bottom w:val="single" w:color="auto" w:sz="4" w:space="0"/>
                    <w:right w:val="nil"/>
                  </w:tcBorders>
                  <w:shd w:val="clear" w:color="auto" w:fill="auto"/>
                  <w:vAlign w:val="center"/>
                </w:tcPr>
                <w:p>
                  <w:pPr>
                    <w:pStyle w:val="16"/>
                    <w:spacing w:line="240" w:lineRule="auto"/>
                    <w:rPr>
                      <w:rFonts w:ascii="Times New Roman" w:hAnsi="Times New Roman"/>
                    </w:rPr>
                  </w:pPr>
                  <w:r>
                    <w:rPr>
                      <w:rFonts w:ascii="Times New Roman" w:hAnsi="Times New Roman"/>
                    </w:rPr>
                    <w:t>P = .039</w:t>
                  </w:r>
                </w:p>
              </w:tc>
            </w:tr>
          </w:tbl>
          <w:p>
            <w:pPr>
              <w:pStyle w:val="15"/>
              <w:rPr>
                <w:rFonts w:ascii="Times New Roman" w:hAnsi="Times New Roman" w:cs="Times New Roman"/>
                <w:szCs w:val="21"/>
              </w:rPr>
            </w:pPr>
            <w:r>
              <w:rPr>
                <w:rFonts w:ascii="Times New Roman" w:hAnsi="Times New Roman" w:cs="Times New Roman"/>
                <w:szCs w:val="21"/>
              </w:rPr>
              <w:t>•</w:t>
            </w:r>
            <w:r>
              <w:rPr>
                <w:rFonts w:ascii="Times New Roman" w:hAnsi="Times New Roman" w:eastAsia="Segoe UI" w:cs="Times New Roman"/>
                <w:color w:val="2A2B2E"/>
                <w:szCs w:val="21"/>
                <w:shd w:val="clear" w:color="auto" w:fill="FFFFFF"/>
              </w:rPr>
              <w:t>Secondary outcome measures after 26 weeks:</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The Laronidase group (n=21) showed a mean decrease of 54.1% in urinary glycosaminoglycan excretion compared to a mean increase of 47.3% in the placebo group (n=22).</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Mean liver volume decreased by 18.9% in the laronidase group (n=22) and increased by 1.3% in the placebo group (n=22), for a between-group difference of 20.0%(P=.001). Thirteen of 18 patients (72%) in the Laronidase group with abnormal liver volume at baseline achieved normal volume at week 26, compared with 3 of 14 patients (21%) in the placebo group.</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Patients with sleep apnea treated with laaronidase (n=10) had an average decrease of 6.0 sleep apnea events per hour of sleep, while patients with sleep apnea treated with placebo (n=9) had an average increase of 0.3 sleep apnea events per hour.</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were no significant group differences between the two groups in blood laboratory values, urinalysis, vital signs, physical examination, brain or cervical MRI, or cardiac measurements.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Comparative safety/tolerability</w:t>
            </w:r>
          </w:p>
        </w:tc>
        <w:tc>
          <w:tcPr>
            <w:tcW w:w="6544" w:type="dxa"/>
          </w:tcPr>
          <w:p>
            <w:pPr>
              <w:pStyle w:val="15"/>
              <w:rPr>
                <w:rFonts w:ascii="Times New Roman" w:hAnsi="Times New Roman" w:cs="Times New Roman"/>
                <w:color w:val="auto"/>
                <w:szCs w:val="21"/>
              </w:rPr>
            </w:pPr>
            <w:r>
              <w:rPr>
                <w:rFonts w:ascii="Times New Roman" w:hAnsi="Times New Roman" w:cs="Times New Roman"/>
                <w:color w:val="auto"/>
                <w:szCs w:val="21"/>
              </w:rPr>
              <w:t>Safety data：</w:t>
            </w:r>
          </w:p>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Based on clinical data from phase III clinical trials [136] and a meta-analysis</w:t>
            </w:r>
            <w:r>
              <w:rPr>
                <w:rFonts w:ascii="Times New Roman" w:hAnsi="Times New Roman" w:eastAsiaTheme="minorEastAsia"/>
                <w:kern w:val="2"/>
              </w:rPr>
              <w:fldChar w:fldCharType="begin"/>
            </w:r>
            <w:r>
              <w:rPr>
                <w:rFonts w:ascii="Times New Roman" w:hAnsi="Times New Roman" w:eastAsiaTheme="minorEastAsia"/>
                <w:kern w:val="2"/>
              </w:rPr>
              <w:instrText xml:space="preserve"> ADDIN EN.CITE &lt;EndNote&gt;&lt;Cite&gt;&lt;Author&gt;Xue&lt;/Author&gt;&lt;Year&gt;2016&lt;/Year&gt;&lt;RecNum&gt;87&lt;/RecNum&gt;&lt;DisplayText&gt;&lt;style face="superscript"&gt;[137]&lt;/style&gt;&lt;/DisplayText&gt;&lt;record&gt;&lt;rec-number&gt;87&lt;/rec-number&gt;&lt;foreign-keys&gt;&lt;key app="EN" db-id="r0zr2vd015vst7e0e2pva025tefxzppa5z5d" timestamp="1649335335"&gt;87&lt;/key&gt;&lt;/foreign-keys&gt;&lt;ref-type name="Journal Article"&gt;17&lt;/ref-type&gt;&lt;contributors&gt;&lt;authors&gt;&lt;author&gt;Xue, Yong&lt;/author&gt;&lt;author&gt;Richards, Susan M&lt;/author&gt;&lt;author&gt;Mahmood, Asif&lt;/author&gt;&lt;author&gt;Cox, Gerald F&lt;/author&gt;&lt;/authors&gt;&lt;/contributors&gt;&lt;titles&gt;&lt;title&gt;Effect of anti-laronidase antibodies on efficacy and safety of laronidase enzyme replacement therapy for MPS I: A comprehensive meta-analysis of pooled data from multiple studies&lt;/title&gt;&lt;secondary-title&gt;Molecular genetics and metabolism&lt;/secondary-title&gt;&lt;/titles&gt;&lt;periodical&gt;&lt;full-title&gt;Molecular genetics and metabolism&lt;/full-title&gt;&lt;/periodical&gt;&lt;pages&gt;419-426&lt;/pages&gt;&lt;volume&gt;117&lt;/volume&gt;&lt;number&gt;4&lt;/number&gt;&lt;dates&gt;&lt;year&gt;2016&lt;/year&gt;&lt;/dates&gt;&lt;isbn&gt;1096-7192&lt;/isbn&gt;&lt;urls&gt;&lt;/urls&gt;&lt;/record&gt;&lt;/Cite&gt;&lt;/EndNote&gt;</w:instrText>
            </w:r>
            <w:r>
              <w:rPr>
                <w:rFonts w:ascii="Times New Roman" w:hAnsi="Times New Roman" w:eastAsiaTheme="minorEastAsia"/>
                <w:kern w:val="2"/>
              </w:rPr>
              <w:fldChar w:fldCharType="separate"/>
            </w:r>
            <w:r>
              <w:rPr>
                <w:rFonts w:ascii="Times New Roman" w:hAnsi="Times New Roman" w:eastAsiaTheme="minorEastAsia"/>
                <w:kern w:val="2"/>
                <w:vertAlign w:val="superscript"/>
              </w:rPr>
              <w:t>[137]</w:t>
            </w:r>
            <w:r>
              <w:rPr>
                <w:rFonts w:ascii="Times New Roman" w:hAnsi="Times New Roman" w:eastAsiaTheme="minorEastAsia"/>
                <w:kern w:val="2"/>
              </w:rPr>
              <w:fldChar w:fldCharType="end"/>
            </w:r>
          </w:p>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Adverse event rate</w:t>
            </w:r>
            <w:r>
              <w:rPr>
                <w:rFonts w:ascii="Times New Roman" w:hAnsi="Times New Roman" w:eastAsiaTheme="minorEastAsia"/>
                <w:kern w:val="2"/>
              </w:rPr>
              <w:t xml:space="preserve">（AEs）: </w:t>
            </w:r>
            <w:r>
              <w:rPr>
                <w:rFonts w:ascii="Times New Roman" w:hAnsi="Times New Roman" w:eastAsia="Segoe UI"/>
                <w:kern w:val="2"/>
                <w:shd w:val="clear" w:color="auto" w:fill="FFFFFF"/>
              </w:rPr>
              <w:t>Observation for 26 weeks</w:t>
            </w:r>
          </w:p>
          <w:tbl>
            <w:tblPr>
              <w:tblStyle w:val="17"/>
              <w:tblW w:w="6870"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53"/>
              <w:gridCol w:w="2889"/>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tcBorders>
                    <w:bottom w:val="single" w:color="7E7E7E" w:themeColor="text1" w:themeTint="80" w:sz="4" w:space="0"/>
                    <w:insideH w:val="single" w:sz="4" w:space="0"/>
                  </w:tcBorders>
                  <w:noWrap/>
                </w:tcPr>
                <w:p>
                  <w:pPr>
                    <w:pStyle w:val="16"/>
                    <w:spacing w:line="240" w:lineRule="auto"/>
                    <w:rPr>
                      <w:rFonts w:ascii="Times New Roman" w:hAnsi="Times New Roman" w:eastAsiaTheme="minorEastAsia"/>
                      <w:b/>
                      <w:bCs/>
                      <w:kern w:val="2"/>
                    </w:rPr>
                  </w:pPr>
                  <w:r>
                    <w:rPr>
                      <w:rFonts w:ascii="Times New Roman" w:hAnsi="Times New Roman" w:eastAsia="Segoe UI"/>
                      <w:b/>
                      <w:bCs/>
                      <w:kern w:val="2"/>
                      <w:shd w:val="clear" w:color="auto" w:fill="FFFFFF"/>
                    </w:rPr>
                    <w:t>Adverse reactions</w:t>
                  </w:r>
                  <w:r>
                    <w:rPr>
                      <w:rFonts w:ascii="Times New Roman" w:hAnsi="Times New Roman" w:eastAsiaTheme="minorEastAsia"/>
                      <w:b/>
                      <w:bCs/>
                      <w:kern w:val="2"/>
                    </w:rPr>
                    <w:t>&gt; 10％：</w:t>
                  </w:r>
                </w:p>
              </w:tc>
              <w:tc>
                <w:tcPr>
                  <w:tcW w:w="2608" w:type="pct"/>
                  <w:tcBorders>
                    <w:bottom w:val="single" w:color="7E7E7E" w:themeColor="text1" w:themeTint="80" w:sz="4" w:space="0"/>
                    <w:insideH w:val="single" w:sz="4" w:space="0"/>
                  </w:tcBorders>
                  <w:noWrap/>
                </w:tcPr>
                <w:p>
                  <w:pPr>
                    <w:pStyle w:val="16"/>
                    <w:spacing w:line="240" w:lineRule="auto"/>
                    <w:rPr>
                      <w:rFonts w:ascii="Times New Roman" w:hAnsi="Times New Roman" w:eastAsiaTheme="minorEastAsia"/>
                      <w:b/>
                      <w:bCs/>
                      <w:kern w:val="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Production of anti-</w:t>
                  </w:r>
                  <w:r>
                    <w:rPr>
                      <w:rFonts w:ascii="Times New Roman" w:hAnsi="Times New Roman" w:eastAsiaTheme="minorEastAsia"/>
                      <w:b w:val="0"/>
                      <w:bCs w:val="0"/>
                      <w:kern w:val="2"/>
                    </w:rPr>
                    <w:t>Laronidase</w:t>
                  </w:r>
                  <w:r>
                    <w:rPr>
                      <w:rFonts w:ascii="Times New Roman" w:hAnsi="Times New Roman" w:eastAsia="Segoe UI"/>
                      <w:b w:val="0"/>
                      <w:bCs w:val="0"/>
                      <w:kern w:val="2"/>
                      <w:shd w:val="clear" w:color="auto" w:fill="FFFFFF"/>
                    </w:rPr>
                    <w:t xml:space="preserve"> antibodies (one study, 91%) - clinical significance unknown</w:t>
                  </w:r>
                </w:p>
              </w:tc>
              <w:tc>
                <w:tcPr>
                  <w:tcW w:w="2608" w:type="pct"/>
                  <w:noWrap/>
                </w:tcPr>
                <w:p>
                  <w:pPr>
                    <w:pStyle w:val="16"/>
                    <w:spacing w:line="240" w:lineRule="auto"/>
                    <w:rPr>
                      <w:rFonts w:ascii="Times New Roman" w:hAnsi="Times New Roman" w:eastAsiaTheme="minorEastAsia"/>
                      <w:kern w:val="2"/>
                    </w:rPr>
                  </w:pPr>
                  <w:r>
                    <w:fldChar w:fldCharType="begin"/>
                  </w:r>
                  <w:r>
                    <w:instrText xml:space="preserve"> HYPERLINK "javascript:;" </w:instrText>
                  </w:r>
                  <w:r>
                    <w:fldChar w:fldCharType="separate"/>
                  </w:r>
                  <w:r>
                    <w:rPr>
                      <w:rStyle w:val="14"/>
                      <w:rFonts w:ascii="Times New Roman" w:hAnsi="Times New Roman" w:eastAsia="Segoe UI"/>
                      <w:color w:val="auto"/>
                      <w:kern w:val="2"/>
                      <w:u w:val="none"/>
                      <w:shd w:val="clear" w:color="auto" w:fill="FFFFFF"/>
                    </w:rPr>
                    <w:t>hyperreflexia</w:t>
                  </w:r>
                  <w:r>
                    <w:rPr>
                      <w:rStyle w:val="14"/>
                      <w:rFonts w:ascii="Times New Roman" w:hAnsi="Times New Roman" w:eastAsia="Segoe UI"/>
                      <w:color w:val="auto"/>
                      <w:kern w:val="2"/>
                      <w:u w:val="none"/>
                      <w:shd w:val="clear" w:color="auto" w:fill="FFFFFF"/>
                    </w:rPr>
                    <w:fldChar w:fldCharType="end"/>
                  </w:r>
                  <w:r>
                    <w:rPr>
                      <w:rFonts w:ascii="Times New Roman" w:hAnsi="Times New Roman" w:eastAsiaTheme="minorEastAsia"/>
                      <w:kern w:val="2"/>
                    </w:rPr>
                    <w:t>（14％）</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infusion reaction</w:t>
                  </w:r>
                  <w:r>
                    <w:rPr>
                      <w:rFonts w:ascii="Times New Roman" w:hAnsi="Times New Roman" w:eastAsiaTheme="minorEastAsia"/>
                      <w:b w:val="0"/>
                      <w:bCs w:val="0"/>
                      <w:kern w:val="2"/>
                    </w:rPr>
                    <w:t>（49％）</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paresthesia</w:t>
                  </w:r>
                  <w:r>
                    <w:rPr>
                      <w:rFonts w:ascii="Times New Roman" w:hAnsi="Times New Roman" w:eastAsiaTheme="minorEastAsia"/>
                      <w:kern w:val="2"/>
                    </w:rPr>
                    <w:t>（14％）</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rash</w:t>
                  </w:r>
                  <w:r>
                    <w:rPr>
                      <w:rFonts w:ascii="Times New Roman" w:hAnsi="Times New Roman" w:eastAsiaTheme="minorEastAsia"/>
                      <w:b w:val="0"/>
                      <w:bCs w:val="0"/>
                      <w:kern w:val="2"/>
                    </w:rPr>
                    <w:t>（36％）</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Theme="minorEastAsia"/>
                      <w:kern w:val="2"/>
                      <w:lang w:val="en-US"/>
                    </w:rPr>
                    <w:t>cold</w:t>
                  </w:r>
                  <w:bookmarkStart w:id="44" w:name="OLE_LINK27"/>
                  <w:r>
                    <w:rPr>
                      <w:rFonts w:ascii="Times New Roman" w:hAnsi="Times New Roman" w:eastAsiaTheme="minorEastAsia"/>
                      <w:kern w:val="2"/>
                    </w:rPr>
                    <w:t>（20％；</w:t>
                  </w:r>
                  <w:r>
                    <w:rPr>
                      <w:rFonts w:ascii="Times New Roman" w:hAnsi="Times New Roman" w:eastAsia="Segoe UI"/>
                      <w:kern w:val="2"/>
                      <w:shd w:val="clear" w:color="auto" w:fill="FFFFFF"/>
                    </w:rPr>
                    <w:t>Children 6 months to 5 years old</w:t>
                  </w:r>
                  <w:r>
                    <w:rPr>
                      <w:rFonts w:ascii="Times New Roman" w:hAnsi="Times New Roman" w:eastAsiaTheme="minorEastAsia"/>
                      <w:kern w:val="2"/>
                    </w:rPr>
                    <w:t>）</w:t>
                  </w:r>
                  <w:bookmarkEnd w:id="44"/>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injection site reaction</w:t>
                  </w:r>
                  <w:r>
                    <w:rPr>
                      <w:rFonts w:ascii="Times New Roman" w:hAnsi="Times New Roman" w:eastAsiaTheme="minorEastAsia"/>
                      <w:b w:val="0"/>
                      <w:bCs w:val="0"/>
                      <w:kern w:val="2"/>
                    </w:rPr>
                    <w:t>（18％）</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tympanitis</w:t>
                  </w:r>
                  <w:r>
                    <w:rPr>
                      <w:rFonts w:ascii="Times New Roman" w:hAnsi="Times New Roman" w:eastAsiaTheme="minorEastAsia"/>
                      <w:kern w:val="2"/>
                    </w:rPr>
                    <w:t>（20％；</w:t>
                  </w:r>
                  <w:r>
                    <w:rPr>
                      <w:rFonts w:ascii="Times New Roman" w:hAnsi="Times New Roman" w:eastAsia="Segoe UI"/>
                      <w:kern w:val="2"/>
                      <w:shd w:val="clear" w:color="auto" w:fill="FFFFFF"/>
                    </w:rPr>
                    <w:t>Children 6 months to 5 years old</w:t>
                  </w:r>
                  <w:r>
                    <w:rPr>
                      <w:rFonts w:ascii="Times New Roman" w:hAnsi="Times New Roman" w:eastAsiaTheme="minorEastAsia"/>
                      <w:kern w:val="2"/>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Poor venous access</w:t>
                  </w:r>
                  <w:r>
                    <w:rPr>
                      <w:rFonts w:ascii="Times New Roman" w:hAnsi="Times New Roman" w:eastAsiaTheme="minorEastAsia"/>
                      <w:b w:val="0"/>
                      <w:bCs w:val="0"/>
                      <w:kern w:val="2"/>
                    </w:rPr>
                    <w:t>（14％）</w:t>
                  </w:r>
                </w:p>
              </w:tc>
              <w:tc>
                <w:tcPr>
                  <w:tcW w:w="2608" w:type="pct"/>
                  <w:noWrap/>
                </w:tcPr>
                <w:p>
                  <w:pPr>
                    <w:pStyle w:val="16"/>
                    <w:spacing w:line="240" w:lineRule="auto"/>
                    <w:rPr>
                      <w:rFonts w:ascii="Times New Roman" w:hAnsi="Times New Roman" w:eastAsiaTheme="minorEastAsia"/>
                      <w:kern w:val="2"/>
                    </w:rPr>
                  </w:pPr>
                  <w:r>
                    <w:fldChar w:fldCharType="begin"/>
                  </w:r>
                  <w:r>
                    <w:instrText xml:space="preserve"> HYPERLINK "javascript:;" </w:instrText>
                  </w:r>
                  <w:r>
                    <w:fldChar w:fldCharType="separate"/>
                  </w:r>
                  <w:r>
                    <w:rPr>
                      <w:rStyle w:val="14"/>
                      <w:rFonts w:ascii="Times New Roman" w:hAnsi="Times New Roman" w:eastAsia="Segoe UI"/>
                      <w:color w:val="auto"/>
                      <w:kern w:val="2"/>
                      <w:u w:val="none"/>
                      <w:shd w:val="clear" w:color="auto" w:fill="FFFFFF"/>
                    </w:rPr>
                    <w:t>upper respiratory infection (URI)</w:t>
                  </w:r>
                  <w:r>
                    <w:rPr>
                      <w:rStyle w:val="14"/>
                      <w:rFonts w:ascii="Times New Roman" w:hAnsi="Times New Roman" w:eastAsia="Segoe UI"/>
                      <w:color w:val="auto"/>
                      <w:kern w:val="2"/>
                      <w:u w:val="none"/>
                      <w:shd w:val="clear" w:color="auto" w:fill="FFFFFF"/>
                    </w:rPr>
                    <w:fldChar w:fldCharType="end"/>
                  </w:r>
                  <w:r>
                    <w:rPr>
                      <w:rFonts w:ascii="Times New Roman" w:hAnsi="Times New Roman" w:eastAsiaTheme="minorEastAsia"/>
                      <w:kern w:val="2"/>
                    </w:rPr>
                    <w:t>（32％）</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5"/>
                    <w:rPr>
                      <w:rFonts w:ascii="Times New Roman" w:hAnsi="Times New Roman" w:cs="Times New Roman"/>
                      <w:b w:val="0"/>
                      <w:bCs w:val="0"/>
                      <w:color w:val="auto"/>
                      <w:szCs w:val="21"/>
                    </w:rPr>
                  </w:pPr>
                  <w:r>
                    <w:rPr>
                      <w:rFonts w:ascii="Times New Roman" w:hAnsi="Times New Roman" w:cs="Times New Roman"/>
                      <w:b/>
                      <w:bCs/>
                      <w:color w:val="auto"/>
                      <w:szCs w:val="21"/>
                    </w:rPr>
                    <w:t>1-10％：</w:t>
                  </w:r>
                </w:p>
              </w:tc>
              <w:tc>
                <w:tcPr>
                  <w:tcW w:w="2608" w:type="pct"/>
                  <w:noWrap/>
                </w:tcPr>
                <w:p>
                  <w:pPr>
                    <w:pStyle w:val="16"/>
                    <w:spacing w:line="240" w:lineRule="auto"/>
                    <w:rPr>
                      <w:rFonts w:ascii="Times New Roman" w:hAnsi="Times New Roman" w:eastAsiaTheme="minorEastAsia"/>
                      <w:kern w:val="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fldChar w:fldCharType="begin"/>
                  </w:r>
                  <w:r>
                    <w:instrText xml:space="preserve"> HYPERLINK "javascript:;" </w:instrText>
                  </w:r>
                  <w:r>
                    <w:fldChar w:fldCharType="separate"/>
                  </w:r>
                  <w:r>
                    <w:rPr>
                      <w:rStyle w:val="14"/>
                      <w:rFonts w:ascii="Times New Roman" w:hAnsi="Times New Roman" w:eastAsia="Segoe UI"/>
                      <w:b w:val="0"/>
                      <w:bCs w:val="0"/>
                      <w:color w:val="auto"/>
                      <w:kern w:val="2"/>
                      <w:u w:val="none"/>
                      <w:shd w:val="clear" w:color="auto" w:fill="FFFFFF"/>
                    </w:rPr>
                    <w:t>thrombopenia</w:t>
                  </w:r>
                  <w:r>
                    <w:rPr>
                      <w:rStyle w:val="14"/>
                      <w:rFonts w:ascii="Times New Roman" w:hAnsi="Times New Roman" w:eastAsia="Segoe UI"/>
                      <w:b w:val="0"/>
                      <w:bCs w:val="0"/>
                      <w:color w:val="auto"/>
                      <w:kern w:val="2"/>
                      <w:u w:val="none"/>
                      <w:shd w:val="clear" w:color="auto" w:fill="FFFFFF"/>
                    </w:rPr>
                    <w:fldChar w:fldCharType="end"/>
                  </w:r>
                  <w:r>
                    <w:rPr>
                      <w:rFonts w:ascii="Times New Roman" w:hAnsi="Times New Roman" w:eastAsiaTheme="minorEastAsia"/>
                      <w:b w:val="0"/>
                      <w:bCs w:val="0"/>
                      <w:kern w:val="2"/>
                    </w:rPr>
                    <w:t>（9％）</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rPr>
                    <w:t>Edema of gravity</w:t>
                  </w:r>
                  <w:r>
                    <w:rPr>
                      <w:rFonts w:ascii="Times New Roman" w:hAnsi="Times New Roman" w:eastAsiaTheme="minorEastAsia"/>
                      <w:kern w:val="2"/>
                    </w:rPr>
                    <w:t>（9％）</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fldChar w:fldCharType="begin"/>
                  </w:r>
                  <w:r>
                    <w:instrText xml:space="preserve"> HYPERLINK "javascript:;" </w:instrText>
                  </w:r>
                  <w:r>
                    <w:fldChar w:fldCharType="separate"/>
                  </w:r>
                  <w:r>
                    <w:rPr>
                      <w:rStyle w:val="14"/>
                      <w:rFonts w:ascii="Times New Roman" w:hAnsi="Times New Roman" w:eastAsia="Segoe UI"/>
                      <w:b w:val="0"/>
                      <w:bCs w:val="0"/>
                      <w:color w:val="auto"/>
                      <w:kern w:val="2"/>
                      <w:u w:val="none"/>
                      <w:shd w:val="clear" w:color="auto" w:fill="FFFFFF"/>
                    </w:rPr>
                    <w:t>nubecula</w:t>
                  </w:r>
                  <w:r>
                    <w:rPr>
                      <w:rStyle w:val="14"/>
                      <w:rFonts w:ascii="Times New Roman" w:hAnsi="Times New Roman" w:eastAsia="Segoe UI"/>
                      <w:b w:val="0"/>
                      <w:bCs w:val="0"/>
                      <w:color w:val="auto"/>
                      <w:kern w:val="2"/>
                      <w:u w:val="none"/>
                      <w:shd w:val="clear" w:color="auto" w:fill="FFFFFF"/>
                    </w:rPr>
                    <w:fldChar w:fldCharType="end"/>
                  </w:r>
                  <w:r>
                    <w:rPr>
                      <w:rFonts w:ascii="Times New Roman" w:hAnsi="Times New Roman" w:eastAsiaTheme="minorEastAsia"/>
                      <w:b w:val="0"/>
                      <w:bCs w:val="0"/>
                      <w:kern w:val="2"/>
                    </w:rPr>
                    <w:t>（9％）</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Injection site pain</w:t>
                  </w:r>
                  <w:r>
                    <w:rPr>
                      <w:rFonts w:ascii="Times New Roman" w:hAnsi="Times New Roman" w:eastAsiaTheme="minorEastAsia"/>
                      <w:kern w:val="2"/>
                    </w:rPr>
                    <w:t>（9％）</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chest pain</w:t>
                  </w:r>
                  <w:r>
                    <w:rPr>
                      <w:rFonts w:ascii="Times New Roman" w:hAnsi="Times New Roman" w:eastAsiaTheme="minorEastAsia"/>
                      <w:b w:val="0"/>
                      <w:bCs w:val="0"/>
                      <w:kern w:val="2"/>
                    </w:rPr>
                    <w:t>（9％）</w:t>
                  </w:r>
                </w:p>
              </w:tc>
              <w:tc>
                <w:tcPr>
                  <w:tcW w:w="2608" w:type="pct"/>
                  <w:noWrap/>
                </w:tcPr>
                <w:p>
                  <w:pPr>
                    <w:pStyle w:val="16"/>
                    <w:spacing w:line="240" w:lineRule="auto"/>
                    <w:rPr>
                      <w:rFonts w:ascii="Times New Roman" w:hAnsi="Times New Roman" w:eastAsiaTheme="minorEastAsia"/>
                      <w:kern w:val="2"/>
                    </w:rPr>
                  </w:pPr>
                  <w:r>
                    <w:fldChar w:fldCharType="begin"/>
                  </w:r>
                  <w:r>
                    <w:instrText xml:space="preserve"> HYPERLINK "javascript:;" </w:instrText>
                  </w:r>
                  <w:r>
                    <w:fldChar w:fldCharType="separate"/>
                  </w:r>
                  <w:r>
                    <w:rPr>
                      <w:rStyle w:val="14"/>
                      <w:rFonts w:ascii="Times New Roman" w:hAnsi="Times New Roman" w:eastAsia="Segoe UI"/>
                      <w:color w:val="auto"/>
                      <w:kern w:val="2"/>
                      <w:u w:val="none"/>
                      <w:shd w:val="clear" w:color="auto" w:fill="FFFFFF"/>
                    </w:rPr>
                    <w:t>hyperbilirubinemia</w:t>
                  </w:r>
                  <w:r>
                    <w:rPr>
                      <w:rStyle w:val="14"/>
                      <w:rFonts w:ascii="Times New Roman" w:hAnsi="Times New Roman" w:eastAsia="Segoe UI"/>
                      <w:color w:val="auto"/>
                      <w:kern w:val="2"/>
                      <w:u w:val="none"/>
                      <w:shd w:val="clear" w:color="auto" w:fill="FFFFFF"/>
                    </w:rPr>
                    <w:fldChar w:fldCharType="end"/>
                  </w:r>
                  <w:r>
                    <w:rPr>
                      <w:rFonts w:ascii="Times New Roman" w:hAnsi="Times New Roman" w:eastAsiaTheme="minorEastAsia"/>
                      <w:kern w:val="2"/>
                    </w:rPr>
                    <w:t>（9％）</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puffiness of face</w:t>
                  </w:r>
                  <w:r>
                    <w:rPr>
                      <w:rFonts w:ascii="Times New Roman" w:hAnsi="Times New Roman" w:eastAsiaTheme="minorEastAsia"/>
                      <w:b w:val="0"/>
                      <w:bCs w:val="0"/>
                      <w:kern w:val="2"/>
                    </w:rPr>
                    <w:t>（9％）</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hypotension</w:t>
                  </w:r>
                  <w:r>
                    <w:rPr>
                      <w:rFonts w:ascii="Times New Roman" w:hAnsi="Times New Roman" w:eastAsiaTheme="minorEastAsia"/>
                      <w:kern w:val="2"/>
                    </w:rPr>
                    <w:t>（9％）</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5"/>
                    <w:rPr>
                      <w:rFonts w:ascii="Times New Roman" w:hAnsi="Times New Roman" w:cs="Times New Roman"/>
                      <w:b w:val="0"/>
                      <w:bCs w:val="0"/>
                      <w:color w:val="auto"/>
                      <w:szCs w:val="21"/>
                    </w:rPr>
                  </w:pPr>
                  <w:r>
                    <w:rPr>
                      <w:rFonts w:ascii="Times New Roman" w:hAnsi="Times New Roman" w:cs="Times New Roman"/>
                      <w:b/>
                      <w:bCs/>
                      <w:color w:val="auto"/>
                      <w:szCs w:val="21"/>
                    </w:rPr>
                    <w:t>&lt;1％：</w:t>
                  </w:r>
                </w:p>
              </w:tc>
              <w:tc>
                <w:tcPr>
                  <w:tcW w:w="2608" w:type="pct"/>
                  <w:noWrap/>
                </w:tcPr>
                <w:p>
                  <w:pPr>
                    <w:pStyle w:val="16"/>
                    <w:spacing w:line="240" w:lineRule="auto"/>
                    <w:rPr>
                      <w:rFonts w:ascii="Times New Roman" w:hAnsi="Times New Roman" w:eastAsiaTheme="minorEastAsia"/>
                      <w:kern w:val="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allergic shock</w:t>
                  </w:r>
                </w:p>
              </w:tc>
              <w:tc>
                <w:tcPr>
                  <w:tcW w:w="2608" w:type="pct"/>
                  <w:noWrap/>
                </w:tcPr>
                <w:p>
                  <w:pPr>
                    <w:pStyle w:val="16"/>
                    <w:spacing w:line="240" w:lineRule="auto"/>
                    <w:rPr>
                      <w:rFonts w:ascii="Times New Roman" w:hAnsi="Times New Roman" w:eastAsiaTheme="minorEastAsia"/>
                      <w:kern w:val="2"/>
                    </w:rPr>
                  </w:pPr>
                  <w:r>
                    <w:fldChar w:fldCharType="begin"/>
                  </w:r>
                  <w:r>
                    <w:instrText xml:space="preserve"> HYPERLINK "javascript:;" </w:instrText>
                  </w:r>
                  <w:r>
                    <w:fldChar w:fldCharType="separate"/>
                  </w:r>
                  <w:r>
                    <w:rPr>
                      <w:rStyle w:val="14"/>
                      <w:rFonts w:ascii="Times New Roman" w:hAnsi="Times New Roman" w:eastAsia="Segoe UI"/>
                      <w:color w:val="auto"/>
                      <w:kern w:val="2"/>
                      <w:u w:val="none"/>
                      <w:shd w:val="clear" w:color="auto" w:fill="FFFFFF"/>
                    </w:rPr>
                    <w:t>erythema</w:t>
                  </w:r>
                  <w:r>
                    <w:rPr>
                      <w:rStyle w:val="14"/>
                      <w:rFonts w:ascii="Times New Roman" w:hAnsi="Times New Roman" w:eastAsia="Segoe UI"/>
                      <w:color w:val="auto"/>
                      <w:kern w:val="2"/>
                      <w:u w:val="none"/>
                      <w:shd w:val="clear" w:color="auto" w:fill="FFFFFF"/>
                    </w:rPr>
                    <w:fldChar w:fldCharType="end"/>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edema of the larynx</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maladie bleue</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16"/>
                    <w:spacing w:line="240" w:lineRule="auto"/>
                    <w:rPr>
                      <w:rFonts w:ascii="Times New Roman" w:hAnsi="Times New Roman" w:eastAsiaTheme="minorEastAsia"/>
                      <w:b/>
                      <w:bCs/>
                      <w:kern w:val="2"/>
                    </w:rPr>
                  </w:pPr>
                  <w:r>
                    <w:rPr>
                      <w:rFonts w:ascii="Times New Roman" w:hAnsi="Times New Roman" w:eastAsia="Segoe UI"/>
                      <w:b w:val="0"/>
                      <w:bCs w:val="0"/>
                      <w:kern w:val="2"/>
                      <w:shd w:val="clear" w:color="auto" w:fill="FFFFFF"/>
                    </w:rPr>
                    <w:t>fatigue</w:t>
                  </w:r>
                </w:p>
              </w:tc>
              <w:tc>
                <w:tcPr>
                  <w:tcW w:w="2608" w:type="pct"/>
                  <w:noWrap/>
                </w:tcPr>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angio-edema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2392" w:type="pct"/>
                  <w:noWrap/>
                </w:tcPr>
                <w:p>
                  <w:pPr>
                    <w:pStyle w:val="8"/>
                    <w:widowControl/>
                    <w:spacing w:after="20"/>
                    <w:rPr>
                      <w:rFonts w:ascii="Times New Roman" w:hAnsi="Times New Roman" w:cs="Times New Roman"/>
                      <w:b/>
                      <w:bCs/>
                      <w:sz w:val="21"/>
                      <w:szCs w:val="21"/>
                    </w:rPr>
                  </w:pPr>
                  <w:r>
                    <w:rPr>
                      <w:rFonts w:ascii="Times New Roman" w:hAnsi="Times New Roman" w:eastAsia="Segoe UI" w:cs="Times New Roman"/>
                      <w:b w:val="0"/>
                      <w:bCs w:val="0"/>
                      <w:sz w:val="21"/>
                      <w:szCs w:val="21"/>
                      <w:shd w:val="clear" w:color="auto" w:fill="FFFFFF"/>
                    </w:rPr>
                    <w:t>Peripheral edema</w:t>
                  </w:r>
                </w:p>
              </w:tc>
              <w:tc>
                <w:tcPr>
                  <w:tcW w:w="2608" w:type="pct"/>
                  <w:noWrap/>
                </w:tcPr>
                <w:p>
                  <w:pPr>
                    <w:pStyle w:val="16"/>
                    <w:spacing w:line="240" w:lineRule="auto"/>
                    <w:rPr>
                      <w:rFonts w:ascii="Times New Roman" w:hAnsi="Times New Roman" w:eastAsiaTheme="minorEastAsia"/>
                      <w:kern w:val="2"/>
                    </w:rPr>
                  </w:pPr>
                </w:p>
              </w:tc>
            </w:tr>
          </w:tbl>
          <w:p>
            <w:pPr>
              <w:pStyle w:val="15"/>
              <w:rPr>
                <w:rFonts w:ascii="Times New Roman" w:hAnsi="Times New Roman" w:cs="Times New Roman"/>
                <w:color w:val="auto"/>
                <w:szCs w:val="21"/>
              </w:rPr>
            </w:pPr>
            <w:r>
              <w:rPr>
                <w:rFonts w:ascii="Times New Roman" w:hAnsi="Times New Roman" w:eastAsia="Segoe UI" w:cs="Times New Roman"/>
                <w:color w:val="auto"/>
                <w:szCs w:val="21"/>
                <w:shd w:val="clear" w:color="auto" w:fill="FFFFFF"/>
              </w:rPr>
              <w:t>Black box warning (from product manual)</w:t>
            </w:r>
          </w:p>
          <w:p>
            <w:pPr>
              <w:pStyle w:val="16"/>
              <w:spacing w:line="240" w:lineRule="auto"/>
              <w:rPr>
                <w:rFonts w:ascii="Times New Roman" w:hAnsi="Times New Roman" w:eastAsia="Segoe UI"/>
                <w:kern w:val="2"/>
                <w:shd w:val="clear" w:color="auto" w:fill="FFFFFF"/>
              </w:rPr>
            </w:pPr>
            <w:r>
              <w:rPr>
                <w:rFonts w:ascii="Times New Roman" w:hAnsi="Times New Roman" w:eastAsia="Segoe UI"/>
                <w:kern w:val="2"/>
                <w:shd w:val="clear" w:color="auto" w:fill="FFFFFF"/>
              </w:rPr>
              <w:t>Potentially life-threatening anaphylactoid reactions were observed in some patients during infusion</w:t>
            </w:r>
          </w:p>
          <w:p>
            <w:pPr>
              <w:pStyle w:val="15"/>
              <w:rPr>
                <w:rFonts w:ascii="Times New Roman" w:hAnsi="Times New Roman" w:eastAsia="宋体" w:cs="Times New Roman"/>
                <w:b w:val="0"/>
                <w:bCs w:val="0"/>
                <w:color w:val="auto"/>
                <w:szCs w:val="21"/>
                <w:shd w:val="clear" w:color="auto" w:fill="FFFFFF"/>
              </w:rPr>
            </w:pPr>
            <w:r>
              <w:rPr>
                <w:rFonts w:ascii="Times New Roman" w:hAnsi="Times New Roman" w:eastAsia="Segoe UI" w:cs="Times New Roman"/>
                <w:b w:val="0"/>
                <w:bCs w:val="0"/>
                <w:color w:val="auto"/>
                <w:szCs w:val="21"/>
                <w:shd w:val="clear" w:color="auto" w:fill="FFFFFF"/>
              </w:rPr>
              <w:t>Patients with impaired respiratory function or acute respiratory distress may be at risk of a severe acute exacerbation of the acute respiratory tract due to infusion reactions and require further monitoring</w:t>
            </w:r>
            <w:r>
              <w:rPr>
                <w:rFonts w:ascii="Times New Roman" w:hAnsi="Times New Roman" w:eastAsia="宋体" w:cs="Times New Roman"/>
                <w:b w:val="0"/>
                <w:bCs w:val="0"/>
                <w:color w:val="auto"/>
                <w:szCs w:val="21"/>
                <w:shd w:val="clear" w:color="auto" w:fill="FFFFFF"/>
              </w:rPr>
              <w:t>.</w:t>
            </w:r>
          </w:p>
          <w:p>
            <w:pPr>
              <w:pStyle w:val="15"/>
              <w:rPr>
                <w:rFonts w:ascii="Times New Roman" w:hAnsi="Times New Roman" w:cs="Times New Roman"/>
                <w:color w:val="auto"/>
                <w:szCs w:val="21"/>
              </w:rPr>
            </w:pPr>
            <w:r>
              <w:rPr>
                <w:rFonts w:ascii="Times New Roman" w:hAnsi="Times New Roman" w:eastAsia="Segoe UI" w:cs="Times New Roman"/>
                <w:color w:val="auto"/>
                <w:szCs w:val="21"/>
                <w:shd w:val="clear" w:color="auto" w:fill="FFFFFF"/>
              </w:rPr>
              <w:t>Contraindications (from product instructions)</w:t>
            </w:r>
          </w:p>
          <w:p>
            <w:pPr>
              <w:pStyle w:val="15"/>
              <w:rPr>
                <w:rFonts w:ascii="Times New Roman" w:hAnsi="Times New Roman" w:eastAsia="Segoe UI" w:cs="Times New Roman"/>
                <w:b w:val="0"/>
                <w:bCs w:val="0"/>
                <w:color w:val="auto"/>
                <w:szCs w:val="21"/>
                <w:shd w:val="clear" w:color="auto" w:fill="FFFFFF"/>
              </w:rPr>
            </w:pPr>
            <w:r>
              <w:rPr>
                <w:rFonts w:ascii="Times New Roman" w:hAnsi="Times New Roman" w:eastAsia="Segoe UI" w:cs="Times New Roman"/>
                <w:b w:val="0"/>
                <w:bCs w:val="0"/>
                <w:color w:val="auto"/>
                <w:szCs w:val="21"/>
                <w:shd w:val="clear" w:color="auto" w:fill="FFFFFF"/>
              </w:rPr>
              <w:t>Allergy</w:t>
            </w:r>
          </w:p>
          <w:p>
            <w:pPr>
              <w:pStyle w:val="15"/>
              <w:rPr>
                <w:rFonts w:ascii="Times New Roman" w:hAnsi="Times New Roman" w:cs="Times New Roman"/>
                <w:color w:val="auto"/>
                <w:szCs w:val="21"/>
              </w:rPr>
            </w:pPr>
            <w:r>
              <w:rPr>
                <w:rFonts w:ascii="Times New Roman" w:hAnsi="Times New Roman" w:eastAsia="Segoe UI" w:cs="Times New Roman"/>
                <w:color w:val="auto"/>
                <w:szCs w:val="21"/>
                <w:shd w:val="clear" w:color="auto" w:fill="FFFFFF"/>
              </w:rPr>
              <w:t>Precautions (from the product manual)</w:t>
            </w:r>
          </w:p>
          <w:p>
            <w:pPr>
              <w:pStyle w:val="16"/>
              <w:spacing w:line="240" w:lineRule="auto"/>
              <w:rPr>
                <w:rFonts w:ascii="Times New Roman" w:hAnsi="Times New Roman" w:eastAsia="Segoe UI"/>
                <w:kern w:val="2"/>
                <w:shd w:val="clear" w:color="auto" w:fill="FFFFFF"/>
              </w:rPr>
            </w:pPr>
            <w:r>
              <w:rPr>
                <w:rFonts w:ascii="Times New Roman" w:hAnsi="Times New Roman" w:eastAsia="Segoe UI"/>
                <w:kern w:val="2"/>
                <w:shd w:val="clear" w:color="auto" w:fill="FFFFFF"/>
              </w:rPr>
              <w:t>Consider delaying treatment of patients with acute fever/respiratory illness; May increase the risk of infusion-related reactions; It is recommended to use with antihistamines and antipyretics; Temporarily reduce the speed of infusion; Reactions are managed by taking other fever-reducing drugs and antihistamines</w:t>
            </w:r>
          </w:p>
          <w:p>
            <w:pPr>
              <w:pStyle w:val="16"/>
              <w:spacing w:line="240" w:lineRule="auto"/>
              <w:rPr>
                <w:rFonts w:ascii="Times New Roman" w:hAnsi="Times New Roman" w:eastAsia="Segoe UI"/>
                <w:kern w:val="2"/>
                <w:shd w:val="clear" w:color="auto" w:fill="FFFFFF"/>
              </w:rPr>
            </w:pPr>
            <w:r>
              <w:rPr>
                <w:rFonts w:ascii="Times New Roman" w:hAnsi="Times New Roman" w:eastAsia="Segoe UI"/>
                <w:kern w:val="2"/>
                <w:shd w:val="clear" w:color="auto" w:fill="FFFFFF"/>
              </w:rPr>
              <w:t>Be careful in situations where there is a liquid overload or where there is a liquid limitation; This may be exacerbated during infusion</w:t>
            </w:r>
          </w:p>
          <w:p>
            <w:pPr>
              <w:pStyle w:val="16"/>
              <w:spacing w:line="240" w:lineRule="auto"/>
              <w:rPr>
                <w:rFonts w:ascii="Times New Roman" w:hAnsi="Times New Roman" w:eastAsiaTheme="minorEastAsia"/>
                <w:kern w:val="2"/>
              </w:rPr>
            </w:pPr>
            <w:r>
              <w:rPr>
                <w:rFonts w:ascii="Times New Roman" w:hAnsi="Times New Roman" w:eastAsia="Segoe UI"/>
                <w:kern w:val="2"/>
                <w:shd w:val="clear" w:color="auto" w:fill="FFFFFF"/>
              </w:rPr>
              <w:t>Sleep apnea patients should be cautious; Apnea treatment protocols should be obtained during infusion or when using sedating antihistamines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1675" w:type="dxa"/>
          </w:tcPr>
          <w:p>
            <w:pPr>
              <w:pStyle w:val="19"/>
              <w:rPr>
                <w:rFonts w:ascii="Times New Roman" w:hAnsi="Times New Roman" w:eastAsia="Calibri" w:cs="Times New Roman"/>
                <w:b w:val="0"/>
                <w:bCs/>
                <w:szCs w:val="21"/>
              </w:rPr>
            </w:pPr>
            <w:r>
              <w:rPr>
                <w:rFonts w:ascii="Times New Roman" w:hAnsi="Times New Roman" w:cs="Times New Roman"/>
                <w:b/>
                <w:bCs w:val="0"/>
                <w:szCs w:val="21"/>
              </w:rPr>
              <w:t>Comparative patient-perceived health/patient-reported outcomes</w:t>
            </w:r>
          </w:p>
        </w:tc>
        <w:tc>
          <w:tcPr>
            <w:tcW w:w="6544" w:type="dxa"/>
          </w:tcPr>
          <w:p>
            <w:pPr>
              <w:pStyle w:val="15"/>
              <w:rPr>
                <w:rFonts w:ascii="Times New Roman" w:hAnsi="Times New Roman" w:cs="Times New Roman"/>
                <w:szCs w:val="21"/>
              </w:rPr>
            </w:pPr>
            <w:r>
              <w:rPr>
                <w:rFonts w:ascii="Times New Roman" w:hAnsi="Times New Roman" w:cs="Times New Roman"/>
                <w:szCs w:val="21"/>
              </w:rPr>
              <w:t>Patient-reported outcome:</w:t>
            </w:r>
          </w:p>
          <w:p>
            <w:pPr>
              <w:pStyle w:val="16"/>
              <w:numPr>
                <w:ilvl w:val="0"/>
                <w:numId w:val="22"/>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Phase III clinical (26-week study) report</w:t>
            </w:r>
            <w:r>
              <w:rPr>
                <w:rFonts w:ascii="Times New Roman" w:hAnsi="Times New Roman" w:eastAsiaTheme="minorEastAsia"/>
                <w:kern w:val="2"/>
              </w:rPr>
              <w:t>：</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There is anecdotal evidence (evidence of uncertain reliability) of an increase in well-being and activity, but not in the assessment of the CHAQ/HAQ Disability index.</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The team speculated that the likely reason was a "ceiling effect," in which patients had little room to measure improvement.</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These generic tools are not sensitive to the specific nature of this rare disease because of the lack of a view beyond the lifetime burden of disease, and the short duration of the study may also have affected the measurement results.</w:t>
            </w:r>
          </w:p>
          <w:p>
            <w:pPr>
              <w:pStyle w:val="16"/>
              <w:numPr>
                <w:ilvl w:val="0"/>
                <w:numId w:val="22"/>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In the 3.5 years of the extended study</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Lalonidase treatment was associated with improvements in activities of daily living, such as a clinically significant reduction in the CHAQ/HAQ disability index score and a reduction in the pain index (a clinically significant change in the CHAQ/HAQ disability index was defined as a reduction of ≥0.24 points).</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Among patients treated with Laronicase, the mean performance score for Laronicase was 8.14 on a 10-point scale, with 63% of these patients being very satisfied with its performance. With the exception of satisfaction with outcomes related to cognitive development, satisfaction rates increased over time.</w:t>
            </w:r>
          </w:p>
          <w:p>
            <w:pPr>
              <w:pStyle w:val="16"/>
              <w:numPr>
                <w:ilvl w:val="0"/>
                <w:numId w:val="22"/>
              </w:numPr>
              <w:spacing w:line="240" w:lineRule="auto"/>
              <w:rPr>
                <w:rFonts w:ascii="Times New Roman" w:hAnsi="Times New Roman" w:eastAsiaTheme="minorEastAsia"/>
                <w:kern w:val="2"/>
              </w:rPr>
            </w:pPr>
            <w:r>
              <w:rPr>
                <w:rFonts w:ascii="Times New Roman" w:hAnsi="Times New Roman" w:eastAsia="Segoe UI"/>
                <w:color w:val="2A2B2E"/>
                <w:kern w:val="2"/>
              </w:rPr>
              <w:t>In follow-up studies including patients in phase I-II trials</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Patients treated with </w:t>
            </w:r>
            <w:bookmarkStart w:id="45" w:name="OLE_LINK28"/>
            <w:r>
              <w:rPr>
                <w:rFonts w:ascii="Times New Roman" w:hAnsi="Times New Roman" w:eastAsia="Segoe UI"/>
                <w:color w:val="101214"/>
                <w:kern w:val="2"/>
                <w:shd w:val="clear" w:color="auto" w:fill="FFFFFF"/>
              </w:rPr>
              <w:t>Laronidase</w:t>
            </w:r>
            <w:bookmarkEnd w:id="45"/>
            <w:r>
              <w:rPr>
                <w:rFonts w:ascii="Times New Roman" w:hAnsi="Times New Roman" w:eastAsia="Segoe UI"/>
                <w:color w:val="101214"/>
                <w:kern w:val="2"/>
                <w:shd w:val="clear" w:color="auto" w:fill="FFFFFF"/>
              </w:rPr>
              <w:t xml:space="preserve"> showed improvements in quality of life after 6 years of treatment, including more energy and endurance, enhanced self-esteem, and greater hope for the future.</w:t>
            </w:r>
          </w:p>
          <w:p>
            <w:pPr>
              <w:pStyle w:val="15"/>
              <w:rPr>
                <w:rFonts w:ascii="Times New Roman" w:hAnsi="Times New Roman" w:cs="Times New Roman"/>
                <w:szCs w:val="21"/>
              </w:rPr>
            </w:pPr>
            <w:r>
              <w:rPr>
                <w:rFonts w:ascii="Times New Roman" w:hAnsi="Times New Roman" w:eastAsia="宋体" w:cs="Times New Roman"/>
                <w:color w:val="2A2B2E"/>
                <w:szCs w:val="21"/>
                <w:shd w:val="clear" w:color="auto" w:fill="FFFFFF"/>
              </w:rPr>
              <w:t>C</w:t>
            </w:r>
            <w:r>
              <w:rPr>
                <w:rFonts w:ascii="Times New Roman" w:hAnsi="Times New Roman" w:eastAsia="Segoe UI" w:cs="Times New Roman"/>
                <w:color w:val="2A2B2E"/>
                <w:szCs w:val="21"/>
                <w:shd w:val="clear" w:color="auto" w:fill="FFFFFF"/>
              </w:rPr>
              <w:t>onvenience</w:t>
            </w:r>
            <w:r>
              <w:rPr>
                <w:rFonts w:ascii="Times New Roman" w:hAnsi="Times New Roman" w:cs="Times New Roman"/>
                <w:szCs w:val="21"/>
              </w:rPr>
              <w:t>:</w:t>
            </w:r>
          </w:p>
          <w:p>
            <w:pPr>
              <w:pStyle w:val="15"/>
              <w:rPr>
                <w:rFonts w:ascii="Times New Roman" w:hAnsi="Times New Roman" w:eastAsia="Segoe UI" w:cs="Times New Roman"/>
                <w:b w:val="0"/>
                <w:bCs w:val="0"/>
                <w:color w:val="101214"/>
                <w:szCs w:val="21"/>
                <w:shd w:val="clear" w:color="auto" w:fill="FFFFFF"/>
              </w:rPr>
            </w:pPr>
            <w:bookmarkStart w:id="46" w:name="OLE_LINK29"/>
            <w:r>
              <w:rPr>
                <w:rFonts w:ascii="Times New Roman" w:hAnsi="Times New Roman" w:eastAsia="Segoe UI" w:cs="Times New Roman"/>
                <w:b w:val="0"/>
                <w:bCs w:val="0"/>
                <w:color w:val="101214"/>
                <w:szCs w:val="21"/>
                <w:shd w:val="clear" w:color="auto" w:fill="FFFFFF"/>
              </w:rPr>
              <w:t>Laronidase</w:t>
            </w:r>
            <w:bookmarkEnd w:id="46"/>
            <w:r>
              <w:rPr>
                <w:rFonts w:ascii="Times New Roman" w:hAnsi="Times New Roman" w:eastAsia="Segoe UI" w:cs="Times New Roman"/>
                <w:b w:val="0"/>
                <w:bCs w:val="0"/>
                <w:color w:val="101214"/>
                <w:szCs w:val="21"/>
                <w:shd w:val="clear" w:color="auto" w:fill="FFFFFF"/>
              </w:rPr>
              <w:t>:</w:t>
            </w:r>
            <w:r>
              <w:rPr>
                <w:rFonts w:ascii="Times New Roman" w:hAnsi="Times New Roman" w:eastAsia="Segoe UI" w:cs="Times New Roman"/>
                <w:color w:val="101214"/>
                <w:szCs w:val="21"/>
                <w:shd w:val="clear" w:color="auto" w:fill="FFFFFF"/>
              </w:rPr>
              <w:t xml:space="preserve"> </w:t>
            </w:r>
            <w:r>
              <w:rPr>
                <w:rFonts w:ascii="Times New Roman" w:hAnsi="Times New Roman" w:eastAsia="Segoe UI" w:cs="Times New Roman"/>
                <w:b w:val="0"/>
                <w:bCs w:val="0"/>
                <w:color w:val="101214"/>
                <w:szCs w:val="21"/>
                <w:shd w:val="clear" w:color="auto" w:fill="FFFFFF"/>
              </w:rPr>
              <w:t>It is an injection, which needs to be injected once a week.</w:t>
            </w:r>
          </w:p>
          <w:p>
            <w:pPr>
              <w:pStyle w:val="15"/>
              <w:rPr>
                <w:rFonts w:ascii="Times New Roman" w:hAnsi="Times New Roman" w:cs="Times New Roman"/>
                <w:szCs w:val="21"/>
              </w:rPr>
            </w:pPr>
            <w:r>
              <w:rPr>
                <w:rFonts w:ascii="Times New Roman" w:hAnsi="Times New Roman" w:eastAsia="宋体" w:cs="Times New Roman"/>
                <w:color w:val="2A2B2E"/>
                <w:szCs w:val="21"/>
                <w:shd w:val="clear" w:color="auto" w:fill="FFFFFF"/>
              </w:rPr>
              <w:t>C</w:t>
            </w:r>
            <w:r>
              <w:rPr>
                <w:rFonts w:ascii="Times New Roman" w:hAnsi="Times New Roman" w:eastAsia="Segoe UI" w:cs="Times New Roman"/>
                <w:color w:val="2A2B2E"/>
                <w:szCs w:val="21"/>
                <w:shd w:val="clear" w:color="auto" w:fill="FFFFFF"/>
              </w:rPr>
              <w:t>ompliance</w:t>
            </w:r>
            <w:r>
              <w:rPr>
                <w:rFonts w:ascii="Times New Roman" w:hAnsi="Times New Roman" w:cs="Times New Roman"/>
                <w:szCs w:val="21"/>
              </w:rPr>
              <w:t xml:space="preserve">: </w:t>
            </w:r>
          </w:p>
          <w:p>
            <w:pPr>
              <w:pStyle w:val="15"/>
              <w:rPr>
                <w:rFonts w:ascii="Times New Roman" w:hAnsi="Times New Roman" w:cs="Times New Roman"/>
                <w:b w:val="0"/>
                <w:bCs w:val="0"/>
                <w:szCs w:val="21"/>
              </w:rPr>
            </w:pPr>
            <w:r>
              <w:rPr>
                <w:rFonts w:ascii="Times New Roman" w:hAnsi="Times New Roman" w:eastAsia="Segoe UI" w:cs="Times New Roman"/>
                <w:b w:val="0"/>
                <w:bCs w:val="0"/>
                <w:color w:val="101214"/>
                <w:szCs w:val="21"/>
                <w:shd w:val="clear" w:color="auto" w:fill="FFFFFF"/>
              </w:rPr>
              <w:t>Laronidase</w:t>
            </w:r>
            <w:r>
              <w:rPr>
                <w:rFonts w:ascii="Times New Roman" w:hAnsi="Times New Roman" w:cs="Times New Roman"/>
                <w:b w:val="0"/>
                <w:bCs w:val="0"/>
                <w:szCs w:val="21"/>
              </w:rPr>
              <w:t>：</w:t>
            </w:r>
            <w:r>
              <w:rPr>
                <w:rFonts w:ascii="Times New Roman" w:hAnsi="Times New Roman" w:eastAsia="Segoe UI" w:cs="Times New Roman"/>
                <w:b w:val="0"/>
                <w:bCs w:val="0"/>
                <w:color w:val="101214"/>
                <w:szCs w:val="21"/>
                <w:shd w:val="clear" w:color="auto" w:fill="FFFFFF"/>
              </w:rPr>
              <w:t>The Phase III trial showed high adherence to laronidase injections, with more than 97% of planned infusions received in each group.</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219"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rPr>
              <w:t>Type of benefit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Type of therapeutic benefit</w:t>
            </w:r>
          </w:p>
        </w:tc>
        <w:tc>
          <w:tcPr>
            <w:tcW w:w="6544" w:type="dxa"/>
          </w:tcPr>
          <w:p>
            <w:pPr>
              <w:pStyle w:val="16"/>
              <w:numPr>
                <w:ilvl w:val="0"/>
                <w:numId w:val="23"/>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therapeutic goal of</w:t>
            </w:r>
            <w:bookmarkStart w:id="47" w:name="OLE_LINK30"/>
            <w:r>
              <w:rPr>
                <w:rFonts w:ascii="Times New Roman" w:hAnsi="Times New Roman" w:eastAsia="Segoe UI"/>
                <w:color w:val="101214"/>
                <w:kern w:val="2"/>
                <w:shd w:val="clear" w:color="auto" w:fill="FFFFFF"/>
              </w:rPr>
              <w:t xml:space="preserve"> Laronidase </w:t>
            </w:r>
            <w:bookmarkEnd w:id="47"/>
            <w:r>
              <w:rPr>
                <w:rFonts w:ascii="Times New Roman" w:hAnsi="Times New Roman" w:eastAsia="Segoe UI"/>
                <w:color w:val="101214"/>
                <w:kern w:val="2"/>
                <w:shd w:val="clear" w:color="auto" w:fill="FFFFFF"/>
              </w:rPr>
              <w:t>is to prevent, stabilize or reverse the physical symptoms (lung function, walking ability, range of motion, left ventricular hypertrophy, hepatosplenic enlargement, etc.) in patients with MPS I. The use of laronidase during the perioperative period of HSCT improves the disability rate and mortality rate</w:t>
            </w:r>
            <w:r>
              <w:rPr>
                <w:rFonts w:ascii="Times New Roman" w:hAnsi="Times New Roman" w:eastAsiaTheme="minorEastAsia"/>
                <w:color w:val="101214"/>
                <w:kern w:val="2"/>
                <w:shd w:val="clear" w:color="auto" w:fill="FFFFFF"/>
                <w:lang w:val="en-US"/>
              </w:rPr>
              <w:t>.</w:t>
            </w:r>
            <w:r>
              <w:rPr>
                <w:rFonts w:ascii="Times New Roman" w:hAnsi="Times New Roman" w:eastAsiaTheme="minorEastAsia"/>
                <w:kern w:val="2"/>
              </w:rPr>
              <w:fldChar w:fldCharType="begin">
                <w:fldData xml:space="preserve">PEVuZE5vdGU+PENpdGU+PEF1dGhvcj5XcmFpdGg8L0F1dGhvcj48WWVhcj4yMDA0PC9ZZWFyPjxS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</w:fldData>
              </w:fldChar>
            </w:r>
            <w:r>
              <w:rPr>
                <w:rFonts w:ascii="Times New Roman" w:hAnsi="Times New Roman" w:eastAsiaTheme="minorEastAsia"/>
                <w:kern w:val="2"/>
              </w:rPr>
              <w:instrText xml:space="preserve"> ADDIN EN.CITE </w:instrText>
            </w:r>
            <w:r>
              <w:rPr>
                <w:rFonts w:ascii="Times New Roman" w:hAnsi="Times New Roman" w:eastAsiaTheme="minorEastAsia"/>
                <w:kern w:val="2"/>
              </w:rPr>
              <w:fldChar w:fldCharType="begin">
                <w:fldData xml:space="preserve">PEVuZE5vdGU+PENpdGU+PEF1dGhvcj5XcmFpdGg8L0F1dGhvcj48WWVhcj4yMDA0PC9ZZWFyPjxS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</w:fldData>
              </w:fldChar>
            </w:r>
            <w:r>
              <w:rPr>
                <w:rFonts w:ascii="Times New Roman" w:hAnsi="Times New Roman" w:eastAsiaTheme="minorEastAsia"/>
                <w:kern w:val="2"/>
              </w:rPr>
              <w:instrText xml:space="preserve"> ADDIN EN.CITE.DATA </w:instrText>
            </w:r>
            <w:r>
              <w:rPr>
                <w:rFonts w:ascii="Times New Roman" w:hAnsi="Times New Roman" w:eastAsiaTheme="minorEastAsia"/>
                <w:kern w:val="2"/>
              </w:rPr>
              <w:fldChar w:fldCharType="end"/>
            </w:r>
            <w:r>
              <w:rPr>
                <w:rFonts w:ascii="Times New Roman" w:hAnsi="Times New Roman" w:eastAsiaTheme="minorEastAsia"/>
                <w:kern w:val="2"/>
              </w:rPr>
              <w:fldChar w:fldCharType="separate"/>
            </w:r>
            <w:r>
              <w:rPr>
                <w:rFonts w:ascii="Times New Roman" w:hAnsi="Times New Roman" w:eastAsiaTheme="minorEastAsia"/>
                <w:kern w:val="2"/>
                <w:vertAlign w:val="superscript"/>
              </w:rPr>
              <w:t>[134, 136]</w:t>
            </w:r>
            <w:r>
              <w:rPr>
                <w:rFonts w:ascii="Times New Roman" w:hAnsi="Times New Roman" w:eastAsiaTheme="minorEastAsia"/>
                <w:kern w:val="2"/>
              </w:rPr>
              <w:fldChar w:fldCharType="end"/>
            </w:r>
            <w:r>
              <w:rPr>
                <w:rFonts w:ascii="Times New Roman" w:hAnsi="Times New Roman" w:eastAsiaTheme="minorEastAsia"/>
                <w:kern w:val="2"/>
              </w:rPr>
              <w:t>。</w:t>
            </w:r>
          </w:p>
          <w:p>
            <w:pPr>
              <w:pStyle w:val="16"/>
              <w:numPr>
                <w:ilvl w:val="0"/>
                <w:numId w:val="23"/>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In a phase III trial [136], </w:t>
            </w:r>
            <w:r>
              <w:rPr>
                <w:rFonts w:hint="eastAsia" w:ascii="Times New Roman" w:hAnsi="Times New Roman" w:eastAsiaTheme="minorEastAsia"/>
                <w:color w:val="101214"/>
                <w:kern w:val="2"/>
                <w:shd w:val="clear" w:color="auto" w:fill="FFFFFF"/>
                <w:lang w:val="en-US"/>
              </w:rPr>
              <w:t>L</w:t>
            </w:r>
            <w:r>
              <w:rPr>
                <w:rFonts w:ascii="Times New Roman" w:hAnsi="Times New Roman" w:eastAsia="Segoe UI"/>
                <w:color w:val="101214"/>
                <w:kern w:val="2"/>
                <w:shd w:val="clear" w:color="auto" w:fill="FFFFFF"/>
              </w:rPr>
              <w:t xml:space="preserve">alonidase treatment improved lung function, with a relative clinically meaningful increase in FVC at week 26 compared to baseline in patients in the </w:t>
            </w:r>
            <w:r>
              <w:rPr>
                <w:rFonts w:hint="eastAsia" w:ascii="Times New Roman" w:hAnsi="Times New Roman" w:eastAsiaTheme="minorEastAsia"/>
                <w:color w:val="101214"/>
                <w:kern w:val="2"/>
                <w:shd w:val="clear" w:color="auto" w:fill="FFFFFF"/>
                <w:lang w:val="en-US"/>
              </w:rPr>
              <w:t>L</w:t>
            </w:r>
            <w:r>
              <w:rPr>
                <w:rFonts w:ascii="Times New Roman" w:hAnsi="Times New Roman" w:eastAsia="Segoe UI"/>
                <w:color w:val="101214"/>
                <w:kern w:val="2"/>
                <w:shd w:val="clear" w:color="auto" w:fill="FFFFFF"/>
              </w:rPr>
              <w:t>alonidase group (41% vs. 9%)</w:t>
            </w:r>
            <w:r>
              <w:rPr>
                <w:rFonts w:ascii="Times New Roman" w:hAnsi="Times New Roman" w:eastAsiaTheme="minorEastAsia"/>
                <w:kern w:val="2"/>
                <w:lang w:val="en-US"/>
              </w:rPr>
              <w:t xml:space="preserve">; </w:t>
            </w:r>
            <w:r>
              <w:rPr>
                <w:rFonts w:ascii="Times New Roman" w:hAnsi="Times New Roman" w:eastAsia="Segoe UI"/>
                <w:color w:val="101214"/>
                <w:kern w:val="2"/>
                <w:shd w:val="clear" w:color="auto" w:fill="FFFFFF"/>
              </w:rPr>
              <w:t>A clinically significant change was defined as a change in FVC of ≥11% per week. In the 3.5-year extension study, lung function improved to a clinically meaningful extent in 18% of patients and remained stable in 55% (clinically significant change was defined as ≥15% relative annual change in percentage predicted normal FVC).</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Of the patients enrolled in the 3.5-year extension study, 50% had a clinically meaningful improvement in the 6MWT trial, and another 28% remained stable (clinically significant change defined as ≥54 meters).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8219"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rPr>
              <w:t>Economic consequences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Comparative cost consequences–cost of drugs</w:t>
            </w:r>
          </w:p>
        </w:tc>
        <w:tc>
          <w:tcPr>
            <w:tcW w:w="6544"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price of Laronidase is 9,114 yuan /2.9mg, and there is a two-for-one charity program. The average annual cost of drug administration was RMB7,404.8 for both treatments, and the average annual cost of testing was RMB1,060 for both treatments.</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The dosage of laronidase was 0.58mg/kg once a week. Since the patient group was children, it was assumed that the average body weight of the patient was 20kg. It was calculated that the average weekly cost of lalonidase treatment was RMB 24,405.2, the average annual cost was RMB 1,269,070.4, and the incremental cost of placebo was RMB 1,263,808 (the cost of drug administration and testing were from West China Hospital).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Comparative cost consequences–other medical costs</w:t>
            </w:r>
          </w:p>
        </w:tc>
        <w:tc>
          <w:tcPr>
            <w:tcW w:w="6544"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was no evidence of a difference in other medical costs between Lalonidase and placebo treatment.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675" w:type="dxa"/>
          </w:tcPr>
          <w:p>
            <w:pPr>
              <w:pStyle w:val="19"/>
              <w:rPr>
                <w:rFonts w:ascii="Times New Roman" w:hAnsi="Times New Roman" w:cs="Times New Roman"/>
                <w:b w:val="0"/>
                <w:bCs/>
                <w:szCs w:val="21"/>
              </w:rPr>
            </w:pPr>
            <w:r>
              <w:rPr>
                <w:rFonts w:ascii="Times New Roman" w:hAnsi="Times New Roman" w:cs="Times New Roman"/>
                <w:b/>
                <w:bCs w:val="0"/>
                <w:szCs w:val="21"/>
              </w:rPr>
              <w:t>Comparative cost consequences–non-medical costs</w:t>
            </w:r>
          </w:p>
        </w:tc>
        <w:tc>
          <w:tcPr>
            <w:tcW w:w="6544"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There was no evidence of a difference in </w:t>
            </w:r>
            <w:r>
              <w:rPr>
                <w:rFonts w:ascii="Times New Roman" w:hAnsi="Times New Roman" w:eastAsiaTheme="minorEastAsia"/>
                <w:color w:val="101214"/>
                <w:kern w:val="2"/>
                <w:shd w:val="clear" w:color="auto" w:fill="FFFFFF"/>
                <w:lang w:val="en-US"/>
              </w:rPr>
              <w:t>non-</w:t>
            </w:r>
            <w:r>
              <w:rPr>
                <w:rFonts w:ascii="Times New Roman" w:hAnsi="Times New Roman" w:eastAsia="Segoe UI"/>
                <w:color w:val="101214"/>
                <w:kern w:val="2"/>
                <w:shd w:val="clear" w:color="auto" w:fill="FFFFFF"/>
              </w:rPr>
              <w:t>medical costs between Lalonidase and placebo treatment.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 w:hRule="atLeast"/>
        </w:trPr>
        <w:tc>
          <w:tcPr>
            <w:tcW w:w="8219" w:type="dxa"/>
            <w:gridSpan w:val="2"/>
          </w:tcPr>
          <w:p>
            <w:pPr>
              <w:pStyle w:val="16"/>
              <w:spacing w:line="240" w:lineRule="auto"/>
              <w:rPr>
                <w:rFonts w:ascii="Times New Roman" w:hAnsi="Times New Roman" w:eastAsiaTheme="minorEastAsia"/>
                <w:b/>
                <w:bCs/>
                <w:kern w:val="2"/>
              </w:rPr>
            </w:pPr>
            <w:r>
              <w:rPr>
                <w:rFonts w:ascii="Times New Roman" w:hAnsi="Times New Roman" w:eastAsiaTheme="minorEastAsia"/>
                <w:b/>
                <w:bCs/>
                <w:color w:val="000000"/>
                <w:kern w:val="2"/>
              </w:rPr>
              <w:t>Evidence about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3" w:hRule="atLeast"/>
        </w:trPr>
        <w:tc>
          <w:tcPr>
            <w:tcW w:w="1675" w:type="dxa"/>
          </w:tcPr>
          <w:p>
            <w:pPr>
              <w:pStyle w:val="19"/>
              <w:rPr>
                <w:rFonts w:ascii="Times New Roman" w:hAnsi="Times New Roman" w:eastAsia="Calibri" w:cs="Times New Roman"/>
                <w:b w:val="0"/>
                <w:bCs/>
                <w:szCs w:val="21"/>
              </w:rPr>
            </w:pPr>
            <w:r>
              <w:rPr>
                <w:rFonts w:ascii="Times New Roman" w:hAnsi="Times New Roman" w:cs="Times New Roman"/>
                <w:b/>
                <w:bCs w:val="0"/>
                <w:szCs w:val="21"/>
              </w:rPr>
              <w:t>Quality of evidence</w:t>
            </w:r>
          </w:p>
        </w:tc>
        <w:tc>
          <w:tcPr>
            <w:tcW w:w="6544" w:type="dxa"/>
          </w:tcPr>
          <w:p>
            <w:pPr>
              <w:pStyle w:val="15"/>
              <w:rPr>
                <w:rFonts w:ascii="Times New Roman" w:hAnsi="Times New Roman" w:cs="Times New Roman"/>
                <w:szCs w:val="21"/>
              </w:rPr>
            </w:pPr>
            <w:r>
              <w:rPr>
                <w:rFonts w:ascii="Times New Roman" w:hAnsi="Times New Roman" w:cs="Times New Roman"/>
                <w:szCs w:val="21"/>
              </w:rPr>
              <w:t>Clinical data：</w:t>
            </w:r>
          </w:p>
          <w:p>
            <w:pPr>
              <w:pStyle w:val="16"/>
              <w:spacing w:line="240" w:lineRule="auto"/>
              <w:rPr>
                <w:rFonts w:ascii="Times New Roman" w:hAnsi="Times New Roman" w:eastAsiaTheme="minorEastAsia"/>
                <w:kern w:val="2"/>
                <w:lang w:val="en-US"/>
              </w:rPr>
            </w:pPr>
            <w:r>
              <w:rPr>
                <w:rFonts w:ascii="Times New Roman" w:hAnsi="Times New Roman" w:eastAsia="Segoe UI"/>
                <w:color w:val="2A2B2E"/>
                <w:kern w:val="2"/>
                <w:shd w:val="clear" w:color="auto" w:fill="FFFFFF"/>
              </w:rPr>
              <w:t xml:space="preserve">Based on RCT and systematic </w:t>
            </w:r>
            <w:r>
              <w:rPr>
                <w:rFonts w:ascii="Times New Roman" w:hAnsi="Times New Roman" w:eastAsiaTheme="minorEastAsia"/>
                <w:color w:val="2A2B2E"/>
                <w:kern w:val="2"/>
                <w:shd w:val="clear" w:color="auto" w:fill="FFFFFF"/>
                <w:lang w:val="en-US"/>
              </w:rPr>
              <w:t>review</w:t>
            </w:r>
            <w:r>
              <w:rPr>
                <w:rFonts w:ascii="Times New Roman" w:hAnsi="Times New Roman" w:eastAsia="Segoe UI"/>
                <w:color w:val="2A2B2E"/>
                <w:kern w:val="2"/>
                <w:shd w:val="clear" w:color="auto" w:fill="FFFFFF"/>
              </w:rPr>
              <w:t xml:space="preserve"> data</w:t>
            </w:r>
            <w:r>
              <w:rPr>
                <w:rFonts w:ascii="Times New Roman" w:hAnsi="Times New Roman" w:eastAsiaTheme="minorEastAsia"/>
                <w:color w:val="2A2B2E"/>
                <w:kern w:val="2"/>
                <w:shd w:val="clear" w:color="auto" w:fill="FFFFFF"/>
                <w:lang w:val="en-US"/>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Overall, the RCT data consistently show that </w:t>
            </w:r>
            <w:bookmarkStart w:id="48" w:name="OLE_LINK32"/>
            <w:r>
              <w:rPr>
                <w:rFonts w:ascii="Times New Roman" w:hAnsi="Times New Roman" w:eastAsia="Segoe UI"/>
                <w:color w:val="101214"/>
                <w:kern w:val="2"/>
                <w:shd w:val="clear" w:color="auto" w:fill="FFFFFF"/>
              </w:rPr>
              <w:t>Laronidase</w:t>
            </w:r>
            <w:bookmarkEnd w:id="48"/>
            <w:r>
              <w:rPr>
                <w:rFonts w:ascii="Times New Roman" w:hAnsi="Times New Roman" w:eastAsia="Segoe UI"/>
                <w:color w:val="101214"/>
                <w:kern w:val="2"/>
                <w:shd w:val="clear" w:color="auto" w:fill="FFFFFF"/>
              </w:rPr>
              <w:t xml:space="preserve"> has a positive clinical trial effect in the treatment of patients with mucopolysaccharidosis type I, preventing, stabilizing or reversing physical symptoms.</w:t>
            </w:r>
          </w:p>
          <w:p>
            <w:pPr>
              <w:pStyle w:val="15"/>
              <w:rPr>
                <w:rFonts w:ascii="Times New Roman" w:hAnsi="Times New Roman" w:eastAsia="Segoe UI" w:cs="Times New Roman"/>
                <w:b w:val="0"/>
                <w:bCs w:val="0"/>
                <w:color w:val="101214"/>
                <w:szCs w:val="21"/>
                <w:shd w:val="clear" w:color="auto" w:fill="FFFFFF"/>
              </w:rPr>
            </w:pPr>
            <w:r>
              <w:rPr>
                <w:rFonts w:ascii="Times New Roman" w:hAnsi="Times New Roman" w:eastAsia="Segoe UI" w:cs="Times New Roman"/>
                <w:b w:val="0"/>
                <w:bCs w:val="0"/>
                <w:color w:val="101214"/>
                <w:szCs w:val="21"/>
                <w:shd w:val="clear" w:color="auto" w:fill="FFFFFF"/>
              </w:rPr>
              <w:t>However, there is still some uncertainty about the ultimate benefit of Laronicase for patients. During 3.5 years of follow-up, 27% of patients did not have improved or stable lung function, and 22% of patients did not have improved or stable mobility.</w:t>
            </w:r>
          </w:p>
          <w:p>
            <w:pPr>
              <w:pStyle w:val="15"/>
              <w:rPr>
                <w:rFonts w:ascii="Times New Roman" w:hAnsi="Times New Roman" w:cs="Times New Roman"/>
                <w:szCs w:val="21"/>
              </w:rPr>
            </w:pPr>
            <w:r>
              <w:rPr>
                <w:rFonts w:ascii="Times New Roman" w:hAnsi="Times New Roman" w:cs="Times New Roman"/>
                <w:szCs w:val="21"/>
              </w:rPr>
              <w:t>Economic evaluation：</w:t>
            </w:r>
          </w:p>
          <w:p>
            <w:pPr>
              <w:pStyle w:val="16"/>
              <w:spacing w:line="240" w:lineRule="auto"/>
              <w:rPr>
                <w:rFonts w:ascii="Times New Roman" w:hAnsi="Times New Roman" w:eastAsiaTheme="minorEastAsia"/>
                <w:color w:val="101214"/>
                <w:kern w:val="2"/>
                <w:shd w:val="clear" w:color="auto" w:fill="FFFFFF"/>
                <w:lang w:val="en-US"/>
              </w:rPr>
            </w:pPr>
            <w:r>
              <w:rPr>
                <w:rFonts w:ascii="Times New Roman" w:hAnsi="Times New Roman" w:eastAsia="Segoe UI"/>
                <w:color w:val="101214"/>
                <w:kern w:val="2"/>
                <w:shd w:val="clear" w:color="auto" w:fill="FFFFFF"/>
              </w:rPr>
              <w:t>There is no economic evaluation study of Chinese populatio</w:t>
            </w:r>
            <w:r>
              <w:rPr>
                <w:rFonts w:ascii="Times New Roman" w:hAnsi="Times New Roman" w:eastAsiaTheme="minorEastAsia"/>
                <w:color w:val="101214"/>
                <w:kern w:val="2"/>
                <w:shd w:val="clear" w:color="auto" w:fill="FFFFFF"/>
                <w:lang w:val="en-US"/>
              </w:rPr>
              <w:t>n.</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economic evaluation evidence in the above criteria comes from the research group's estimation of its economic results: the drug cost comes from the bid-winning price of Yaozhi.com; The average weight of the population in the economic evaluation may not be accurate enough, and the monitoring cost and drug administration cost are only from the data of one hospital; Non-medical costs and other medical costs are not considered to be comparable due to the lack of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675" w:type="dxa"/>
            <w:tcBorders>
              <w:bottom w:val="single" w:color="000000" w:themeColor="text1" w:sz="12" w:space="0"/>
            </w:tcBorders>
          </w:tcPr>
          <w:p>
            <w:pPr>
              <w:pStyle w:val="19"/>
              <w:rPr>
                <w:rFonts w:ascii="Times New Roman" w:hAnsi="Times New Roman" w:cs="Times New Roman"/>
                <w:b w:val="0"/>
                <w:bCs/>
                <w:szCs w:val="21"/>
              </w:rPr>
            </w:pPr>
            <w:r>
              <w:rPr>
                <w:rFonts w:ascii="Times New Roman" w:hAnsi="Times New Roman" w:cs="Times New Roman"/>
                <w:b/>
                <w:bCs w:val="0"/>
                <w:szCs w:val="21"/>
              </w:rPr>
              <w:t>Expert consensus/clinical practice guidelines</w:t>
            </w:r>
          </w:p>
        </w:tc>
        <w:tc>
          <w:tcPr>
            <w:tcW w:w="6544" w:type="dxa"/>
            <w:tcBorders>
              <w:bottom w:val="single" w:color="000000" w:themeColor="text1" w:sz="12" w:space="0"/>
            </w:tcBorders>
          </w:tcPr>
          <w:p>
            <w:pPr>
              <w:pStyle w:val="15"/>
              <w:numPr>
                <w:ilvl w:val="0"/>
                <w:numId w:val="24"/>
              </w:numPr>
              <w:rPr>
                <w:rFonts w:ascii="Times New Roman" w:hAnsi="Times New Roman" w:cs="Times New Roman"/>
                <w:b w:val="0"/>
                <w:bCs w:val="0"/>
                <w:szCs w:val="21"/>
              </w:rPr>
            </w:pPr>
            <w:r>
              <w:rPr>
                <w:rFonts w:ascii="Times New Roman" w:hAnsi="Times New Roman" w:eastAsia="Segoe UI" w:cs="Times New Roman"/>
                <w:color w:val="101214"/>
                <w:szCs w:val="21"/>
                <w:shd w:val="clear" w:color="auto" w:fill="FFFFFF"/>
              </w:rPr>
              <w:t>American Guidelines for the Management and treatment of Mucopolysaccharidosis Type I (2009)</w:t>
            </w:r>
            <w:r>
              <w:rPr>
                <w:rFonts w:ascii="Times New Roman" w:hAnsi="Times New Roman" w:cs="Times New Roman"/>
                <w:szCs w:val="21"/>
              </w:rPr>
              <w:t>：</w:t>
            </w:r>
          </w:p>
          <w:p>
            <w:pPr>
              <w:pStyle w:val="16"/>
              <w:spacing w:line="240" w:lineRule="auto"/>
              <w:rPr>
                <w:rFonts w:ascii="Times New Roman" w:hAnsi="Times New Roman" w:eastAsiaTheme="minorEastAsia"/>
                <w:kern w:val="2"/>
                <w:lang w:val="en-US"/>
              </w:rPr>
            </w:pPr>
            <w:r>
              <w:rPr>
                <w:rFonts w:ascii="Times New Roman" w:hAnsi="Times New Roman" w:eastAsiaTheme="minorEastAsia"/>
                <w:kern w:val="2"/>
                <w:lang w:val="en-US"/>
              </w:rPr>
              <w:t>F</w:t>
            </w:r>
            <w:bookmarkStart w:id="49" w:name="OLE_LINK31"/>
            <w:r>
              <w:rPr>
                <w:rFonts w:ascii="Times New Roman" w:hAnsi="Times New Roman" w:eastAsiaTheme="minorEastAsia"/>
                <w:kern w:val="2"/>
                <w:lang w:val="en-US"/>
              </w:rPr>
              <w:t>or age&gt;2.5,</w:t>
            </w:r>
            <w:bookmarkEnd w:id="49"/>
            <w:r>
              <w:rPr>
                <w:rFonts w:ascii="Times New Roman" w:hAnsi="Times New Roman" w:eastAsiaTheme="minorEastAsia"/>
                <w:kern w:val="2"/>
                <w:lang w:val="en-US"/>
              </w:rPr>
              <w:t xml:space="preserve"> </w:t>
            </w:r>
            <w:r>
              <w:rPr>
                <w:rFonts w:ascii="Times New Roman" w:hAnsi="Times New Roman" w:eastAsia="Segoe UI"/>
                <w:color w:val="101214"/>
                <w:kern w:val="2"/>
                <w:shd w:val="clear" w:color="auto" w:fill="FFFFFF"/>
              </w:rPr>
              <w:t>Enzyme replacement therapy (ERT) should be recommended for MPS type I patients</w:t>
            </w:r>
            <w:r>
              <w:rPr>
                <w:rFonts w:ascii="Times New Roman" w:hAnsi="Times New Roman" w:eastAsiaTheme="minorEastAsia"/>
                <w:color w:val="101214"/>
                <w:kern w:val="2"/>
                <w:shd w:val="clear" w:color="auto" w:fill="FFFFFF"/>
                <w:lang w:val="en-US"/>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lang w:val="en-US"/>
              </w:rPr>
              <w:t xml:space="preserve">For age≤2.5, </w:t>
            </w:r>
            <w:r>
              <w:rPr>
                <w:rFonts w:ascii="Times New Roman" w:hAnsi="Times New Roman" w:eastAsia="Segoe UI"/>
                <w:color w:val="101214"/>
                <w:kern w:val="2"/>
                <w:shd w:val="clear" w:color="auto" w:fill="FFFFFF"/>
              </w:rPr>
              <w:t>ERT is recommended for patients with subsevere MPS type Ⅰ. Hematopoietic stem cell transplantation (HSCT) can also be considered for patients with nervous system involvement and suitable donors;</w:t>
            </w:r>
            <w:r>
              <w:rPr>
                <w:rFonts w:ascii="Times New Roman" w:hAnsi="Times New Roman" w:eastAsiaTheme="minorEastAsia"/>
                <w:kern w:val="2"/>
              </w:rPr>
              <w:t>；</w:t>
            </w:r>
          </w:p>
          <w:p>
            <w:pPr>
              <w:pStyle w:val="15"/>
              <w:rPr>
                <w:rFonts w:ascii="Times New Roman" w:hAnsi="Times New Roman" w:eastAsia="Segoe UI" w:cs="Times New Roman"/>
                <w:b w:val="0"/>
                <w:bCs w:val="0"/>
                <w:color w:val="101214"/>
                <w:szCs w:val="21"/>
                <w:shd w:val="clear" w:color="auto" w:fill="FFFFFF"/>
              </w:rPr>
            </w:pPr>
            <w:r>
              <w:rPr>
                <w:rFonts w:ascii="Times New Roman" w:hAnsi="Times New Roman" w:eastAsia="Segoe UI" w:cs="Times New Roman"/>
                <w:b w:val="0"/>
                <w:bCs w:val="0"/>
                <w:color w:val="101214"/>
                <w:szCs w:val="21"/>
                <w:shd w:val="clear" w:color="auto" w:fill="FFFFFF"/>
              </w:rPr>
              <w:t>Patients ≤2.5 years old with severe MPS type Ⅰ should be recommended for HSCT.</w:t>
            </w:r>
          </w:p>
          <w:p>
            <w:pPr>
              <w:pStyle w:val="15"/>
              <w:numPr>
                <w:ilvl w:val="0"/>
                <w:numId w:val="24"/>
              </w:numPr>
              <w:rPr>
                <w:rFonts w:ascii="Times New Roman" w:hAnsi="Times New Roman" w:cs="Times New Roman"/>
                <w:b w:val="0"/>
                <w:bCs w:val="0"/>
                <w:szCs w:val="21"/>
              </w:rPr>
            </w:pPr>
            <w:r>
              <w:rPr>
                <w:rFonts w:ascii="Times New Roman" w:hAnsi="Times New Roman" w:eastAsia="Segoe UI" w:cs="Times New Roman"/>
                <w:color w:val="101214"/>
                <w:szCs w:val="21"/>
                <w:shd w:val="clear" w:color="auto" w:fill="FFFFFF"/>
              </w:rPr>
              <w:t>European Expert Consensus on enzyme replacement Therapy and/or Hematopoietic Stem Cell transplantation for patients with Type I mucopolysaccharidosis (2011)</w:t>
            </w:r>
            <w:r>
              <w:rPr>
                <w:rFonts w:ascii="Times New Roman" w:hAnsi="Times New Roman" w:cs="Times New Roman"/>
                <w:szCs w:val="21"/>
                <w:vertAlign w:val="superscript"/>
              </w:rPr>
              <w:fldChar w:fldCharType="begin"/>
            </w:r>
            <w:r>
              <w:rPr>
                <w:rFonts w:ascii="Times New Roman" w:hAnsi="Times New Roman" w:cs="Times New Roman"/>
                <w:szCs w:val="21"/>
                <w:vertAlign w:val="superscript"/>
              </w:rPr>
              <w:instrText xml:space="preserve"> ADDIN EN.CITE &lt;EndNote&gt;&lt;Cite&gt;&lt;Author&gt;de Ru&lt;/Author&gt;&lt;Year&gt;2011&lt;/Year&gt;&lt;RecNum&gt;92&lt;/RecNum&gt;&lt;DisplayText&gt;&lt;style face="superscript"&gt;[141]&lt;/style&gt;&lt;/DisplayText&gt;&lt;record&gt;&lt;rec-number&gt;92&lt;/rec-number&gt;&lt;foreign-keys&gt;&lt;key app="EN" db-id="r0zr2vd015vst7e0e2pva025tefxzppa5z5d" timestamp="1649746165"&gt;92&lt;/key&gt;&lt;/foreign-keys&gt;&lt;ref-type name="Journal Article"&gt;17&lt;/ref-type&gt;&lt;contributors&gt;&lt;authors&gt;&lt;author&gt;de Ru, Minke H&lt;/author&gt;&lt;author&gt;Boelens, Jaap J&lt;/author&gt;&lt;author&gt;Das, Anibh M&lt;/author&gt;&lt;author&gt;Jones, Simon A&lt;/author&gt;&lt;author&gt;van der Lee, Johanna H&lt;/author&gt;&lt;author&gt;Mahlaoui, Nizar&lt;/author&gt;&lt;author&gt;Mengel, Eugen&lt;/author&gt;&lt;author&gt;Offringa, Martin&lt;/author&gt;&lt;author&gt;O&amp;apos;Meara, Anne&lt;/author&gt;&lt;author&gt;Parini, Rossella&lt;/author&gt;&lt;/authors&gt;&lt;/contributors&gt;&lt;titles&gt;&lt;title&gt;Enzyme replacement therapy and/or hematopoietic stem cell transplantation at diagnosis in patients with mucopolysaccharidosis type I: results of a European consensus procedure&lt;/title&gt;&lt;secondary-title&gt;Orphanet journal of rare diseases&lt;/secondary-title&gt;&lt;/titles&gt;&lt;periodical&gt;&lt;full-title&gt;Orphanet journal of rare diseases&lt;/full-title&gt;&lt;/periodical&gt;&lt;pages&gt;1-9&lt;/pages&gt;&lt;volume&gt;6&lt;/volume&gt;&lt;number&gt;1&lt;/number&gt;&lt;dates&gt;&lt;year&gt;2011&lt;/year&gt;&lt;/dates&gt;&lt;isbn&gt;1750-1172&lt;/isbn&gt;&lt;urls&gt;&lt;/urls&gt;&lt;/record&gt;&lt;/Cite&gt;&lt;/EndNote&gt;</w:instrText>
            </w:r>
            <w:r>
              <w:rPr>
                <w:rFonts w:ascii="Times New Roman" w:hAnsi="Times New Roman" w:cs="Times New Roman"/>
                <w:szCs w:val="21"/>
                <w:vertAlign w:val="superscript"/>
              </w:rPr>
              <w:fldChar w:fldCharType="separate"/>
            </w:r>
            <w:r>
              <w:rPr>
                <w:rFonts w:ascii="Times New Roman" w:hAnsi="Times New Roman" w:cs="Times New Roman"/>
                <w:szCs w:val="21"/>
                <w:vertAlign w:val="superscript"/>
              </w:rPr>
              <w:fldChar w:fldCharType="end"/>
            </w:r>
            <w:r>
              <w:rPr>
                <w:rFonts w:ascii="Times New Roman" w:hAnsi="Times New Roman" w:cs="Times New Roman"/>
                <w:szCs w:val="21"/>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All MPS I patients, including those with untransplanted or failed hematopoietic stem cell transplantation, can significantly benefit from ERT (which contains Laronidase);</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Enzyme replacement therapy treatment should be initiated at the time of diagnosis as this is of clinical value to patients awaiting HSCT.</w:t>
            </w:r>
          </w:p>
          <w:p>
            <w:pPr>
              <w:pStyle w:val="16"/>
              <w:numPr>
                <w:ilvl w:val="0"/>
                <w:numId w:val="24"/>
              </w:numPr>
              <w:spacing w:line="240" w:lineRule="auto"/>
              <w:rPr>
                <w:rFonts w:ascii="Times New Roman" w:hAnsi="Times New Roman" w:eastAsiaTheme="minorEastAsia"/>
                <w:kern w:val="2"/>
              </w:rPr>
            </w:pPr>
            <w:r>
              <w:rPr>
                <w:rFonts w:ascii="Times New Roman" w:hAnsi="Times New Roman" w:eastAsia="Segoe UI"/>
                <w:b/>
                <w:bCs/>
                <w:color w:val="101214"/>
                <w:kern w:val="2"/>
                <w:shd w:val="clear" w:color="auto" w:fill="FFFFFF"/>
              </w:rPr>
              <w:t>Chinese Guidelines for the Diagnosis and Treatment of Rare Diseases (2019 edition)</w:t>
            </w:r>
            <w:r>
              <w:rPr>
                <w:rStyle w:val="20"/>
                <w:rFonts w:ascii="Times New Roman" w:hAnsi="Times New Roman" w:cs="Times New Roman"/>
                <w:kern w:val="2"/>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Enzyme replacement therapy with Laronidase is recommended for type I mucopolysaccharidosis</w:t>
            </w:r>
          </w:p>
        </w:tc>
      </w:tr>
    </w:tbl>
    <w:p>
      <w:pPr>
        <w:rPr>
          <w:rFonts w:ascii="Times New Roman" w:hAnsi="Times New Roman" w:cs="Times New Roman"/>
        </w:rPr>
      </w:pPr>
    </w:p>
    <w:p>
      <w:pPr>
        <w:rPr>
          <w:rFonts w:ascii="Times New Roman" w:hAnsi="Times New Roman" w:cs="Times New Roman"/>
        </w:rPr>
      </w:pPr>
      <w:r>
        <w:rPr>
          <w:rFonts w:hint="eastAsia" w:ascii="Times New Roman" w:hAnsi="Times New Roman" w:cs="Times New Roman"/>
        </w:rPr>
        <w:t>Table 3.2.2 Qualitative criteria empirical data set of Laronidase</w:t>
      </w:r>
    </w:p>
    <w:tbl>
      <w:tblPr>
        <w:tblStyle w:val="17"/>
        <w:tblW w:w="8618"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6"/>
        <w:gridCol w:w="6922"/>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696"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 xml:space="preserve">Criteria </w:t>
            </w:r>
          </w:p>
        </w:tc>
        <w:tc>
          <w:tcPr>
            <w:tcW w:w="6922"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Empirical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18" w:type="dxa"/>
            <w:gridSpan w:val="2"/>
            <w:tcBorders>
              <w:top w:val="single" w:color="000000" w:themeColor="text1" w:sz="8" w:space="0"/>
            </w:tcBorders>
          </w:tcPr>
          <w:p>
            <w:pPr>
              <w:pStyle w:val="18"/>
              <w:rPr>
                <w:rFonts w:ascii="Times New Roman" w:hAnsi="Times New Roman" w:cs="Times New Roman"/>
                <w:b/>
                <w:bCs/>
                <w:sz w:val="21"/>
                <w:szCs w:val="21"/>
              </w:rPr>
            </w:pPr>
            <w:r>
              <w:rPr>
                <w:rFonts w:ascii="Times New Roman" w:hAnsi="Times New Roman" w:cs="Times New Roman"/>
                <w:b w:val="0"/>
                <w:bCs w:val="0"/>
                <w:sz w:val="21"/>
                <w:szCs w:val="21"/>
              </w:rPr>
              <w:t>EVIDEM Qualitative Guidelines (textual tool)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18"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lang w:val="en-GB"/>
              </w:rPr>
              <w:t>Normative contextual criteria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eastAsia="Calibri" w:cs="Times New Roman"/>
                <w:b w:val="0"/>
                <w:bCs/>
                <w:szCs w:val="21"/>
              </w:rPr>
            </w:pPr>
            <w:r>
              <w:rPr>
                <w:rFonts w:ascii="Times New Roman" w:hAnsi="Times New Roman" w:cs="Times New Roman"/>
                <w:b/>
                <w:bCs w:val="0"/>
                <w:szCs w:val="21"/>
              </w:rPr>
              <w:t>Mandate and scope of the healthcare system</w:t>
            </w:r>
          </w:p>
        </w:tc>
        <w:tc>
          <w:tcPr>
            <w:tcW w:w="6922" w:type="dxa"/>
          </w:tcPr>
          <w:p>
            <w:pPr>
              <w:pStyle w:val="16"/>
              <w:spacing w:line="240" w:lineRule="auto"/>
              <w:rPr>
                <w:rFonts w:ascii="Times New Roman" w:hAnsi="Times New Roman" w:eastAsiaTheme="minorEastAsia"/>
                <w:kern w:val="2"/>
              </w:rPr>
            </w:pPr>
            <w:bookmarkStart w:id="50" w:name="OLE_LINK37"/>
            <w:r>
              <w:rPr>
                <w:rFonts w:ascii="Times New Roman" w:hAnsi="Times New Roman" w:eastAsia="Segoe UI"/>
                <w:color w:val="101214"/>
                <w:kern w:val="2"/>
                <w:shd w:val="clear" w:color="auto" w:fill="FFFFFF"/>
              </w:rPr>
              <w:t>Laronidase</w:t>
            </w:r>
            <w:bookmarkEnd w:id="50"/>
            <w:r>
              <w:rPr>
                <w:rFonts w:ascii="Times New Roman" w:hAnsi="Times New Roman" w:eastAsia="Segoe UI"/>
                <w:color w:val="101214"/>
                <w:kern w:val="2"/>
                <w:shd w:val="clear" w:color="auto" w:fill="FFFFFF"/>
              </w:rPr>
              <w:t xml:space="preserve"> treats type I mucopycopolysaccharide storage disease, in which patients often suffer from progressive skeletal dysplasia of all bones that is seriously life-threatening.</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Mild cases can also present with learning disabilities and psychiatric symptoms, and are often accompanied by hearing loss, heart valve disease, respiratory tract involvement and corneal opacity. Therefore, the treatment of this drug conforms to the task and scope of the health system.</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eastAsia="Calibri" w:cs="Times New Roman"/>
                <w:b w:val="0"/>
                <w:bCs/>
                <w:szCs w:val="21"/>
              </w:rPr>
            </w:pPr>
            <w:r>
              <w:rPr>
                <w:rFonts w:ascii="Times New Roman" w:hAnsi="Times New Roman" w:cs="Times New Roman"/>
                <w:b/>
                <w:bCs w:val="0"/>
                <w:szCs w:val="21"/>
              </w:rPr>
              <w:t>Population priorities and access</w:t>
            </w:r>
          </w:p>
        </w:tc>
        <w:tc>
          <w:tcPr>
            <w:tcW w:w="6922" w:type="dxa"/>
          </w:tcPr>
          <w:p>
            <w:pPr>
              <w:pStyle w:val="16"/>
              <w:spacing w:line="240" w:lineRule="auto"/>
              <w:rPr>
                <w:rFonts w:ascii="Times New Roman" w:hAnsi="Times New Roman" w:eastAsia="Segoe UI"/>
                <w:color w:val="101214"/>
                <w:kern w:val="2"/>
                <w:shd w:val="clear" w:color="auto" w:fill="FFFFFF"/>
              </w:rPr>
            </w:pPr>
            <w:bookmarkStart w:id="51" w:name="OLE_LINK38"/>
            <w:r>
              <w:rPr>
                <w:rFonts w:ascii="Times New Roman" w:hAnsi="Times New Roman" w:eastAsia="Segoe UI"/>
                <w:color w:val="101214"/>
                <w:kern w:val="2"/>
                <w:shd w:val="clear" w:color="auto" w:fill="FFFFFF"/>
              </w:rPr>
              <w:t xml:space="preserve">Laronidase </w:t>
            </w:r>
            <w:bookmarkEnd w:id="51"/>
            <w:r>
              <w:rPr>
                <w:rFonts w:ascii="Times New Roman" w:hAnsi="Times New Roman" w:eastAsia="Segoe UI"/>
                <w:color w:val="101214"/>
                <w:kern w:val="2"/>
                <w:shd w:val="clear" w:color="auto" w:fill="FFFFFF"/>
              </w:rPr>
              <w:t xml:space="preserve">treats type I mucopolysaccharidosis. The disease usually develops between 2 and 5 years of age and is lifelong and can be disabling if not treated in time. </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Priority group: Children</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eastAsia="Calibri" w:cs="Times New Roman"/>
                <w:b w:val="0"/>
                <w:bCs/>
                <w:szCs w:val="21"/>
              </w:rPr>
            </w:pPr>
            <w:r>
              <w:rPr>
                <w:rFonts w:ascii="Times New Roman" w:hAnsi="Times New Roman" w:cs="Times New Roman"/>
                <w:b/>
                <w:bCs w:val="0"/>
                <w:szCs w:val="21"/>
              </w:rPr>
              <w:t>Common goal and specific interests</w:t>
            </w:r>
          </w:p>
        </w:tc>
        <w:tc>
          <w:tcPr>
            <w:tcW w:w="6922"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are many reports of stress in patients with type I mucopolysaccharidosis. CCTV, China News Network, Health Times and other media have reported it for many times</w:t>
            </w:r>
            <w:r>
              <w:rPr>
                <w:rFonts w:ascii="Times New Roman" w:hAnsi="Times New Roman" w:eastAsiaTheme="minorEastAsia"/>
                <w:color w:val="101214"/>
                <w:kern w:val="2"/>
                <w:shd w:val="clear" w:color="auto" w:fill="FFFFFF"/>
                <w:lang w:val="en-US"/>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18"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lang w:val="en-GB"/>
              </w:rPr>
              <w:t>Feasibility contextual criteria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cs="Times New Roman"/>
                <w:b w:val="0"/>
                <w:bCs/>
                <w:szCs w:val="21"/>
              </w:rPr>
            </w:pPr>
            <w:r>
              <w:rPr>
                <w:rFonts w:ascii="Times New Roman" w:hAnsi="Times New Roman" w:cs="Times New Roman"/>
                <w:b/>
                <w:bCs w:val="0"/>
                <w:szCs w:val="21"/>
              </w:rPr>
              <w:t>System capacity and appropriate use of the intervention</w:t>
            </w:r>
          </w:p>
        </w:tc>
        <w:tc>
          <w:tcPr>
            <w:tcW w:w="6922"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The use of </w:t>
            </w:r>
            <w:bookmarkStart w:id="52" w:name="OLE_LINK39"/>
            <w:r>
              <w:rPr>
                <w:rFonts w:ascii="Times New Roman" w:hAnsi="Times New Roman" w:eastAsia="Segoe UI"/>
                <w:color w:val="101214"/>
                <w:kern w:val="2"/>
                <w:shd w:val="clear" w:color="auto" w:fill="FFFFFF"/>
              </w:rPr>
              <w:t>Laronidase</w:t>
            </w:r>
            <w:bookmarkEnd w:id="52"/>
            <w:r>
              <w:rPr>
                <w:rFonts w:ascii="Times New Roman" w:hAnsi="Times New Roman" w:eastAsia="Segoe UI"/>
                <w:color w:val="101214"/>
                <w:kern w:val="2"/>
                <w:shd w:val="clear" w:color="auto" w:fill="FFFFFF"/>
              </w:rPr>
              <w:t xml:space="preserve"> requires medical institutions to provide conditions for injection. Patients with impaired respiratory function or acute respiratory distress may be at risk of severe acute exacerbation of acute respiratory tract due to infusion reactions and require further medical institutions with monitoring and first aid capabilities.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cs="Times New Roman"/>
                <w:b w:val="0"/>
                <w:bCs/>
                <w:szCs w:val="21"/>
              </w:rPr>
            </w:pPr>
            <w:r>
              <w:rPr>
                <w:rFonts w:ascii="Times New Roman" w:hAnsi="Times New Roman" w:cs="Times New Roman"/>
                <w:b/>
                <w:bCs w:val="0"/>
                <w:szCs w:val="21"/>
              </w:rPr>
              <w:t>Government objectives and policy priorities</w:t>
            </w:r>
          </w:p>
        </w:tc>
        <w:tc>
          <w:tcPr>
            <w:tcW w:w="6922"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There is no national policy for </w:t>
            </w:r>
            <w:bookmarkStart w:id="53" w:name="OLE_LINK40"/>
            <w:r>
              <w:rPr>
                <w:rFonts w:ascii="Times New Roman" w:hAnsi="Times New Roman" w:eastAsia="Segoe UI"/>
                <w:color w:val="101214"/>
                <w:kern w:val="2"/>
                <w:shd w:val="clear" w:color="auto" w:fill="FFFFFF"/>
              </w:rPr>
              <w:t>Laronidase</w:t>
            </w:r>
            <w:bookmarkEnd w:id="53"/>
            <w:r>
              <w:rPr>
                <w:rFonts w:ascii="Times New Roman" w:hAnsi="Times New Roman" w:eastAsia="Segoe UI"/>
                <w:color w:val="101214"/>
                <w:kern w:val="2"/>
                <w:shd w:val="clear" w:color="auto" w:fill="FFFFFF"/>
              </w:rPr>
              <w:t xml:space="preserve"> or </w:t>
            </w:r>
            <w:bookmarkStart w:id="54" w:name="OLE_LINK43"/>
            <w:r>
              <w:rPr>
                <w:rFonts w:ascii="Times New Roman" w:hAnsi="Times New Roman" w:eastAsia="Segoe UI"/>
                <w:color w:val="101214"/>
                <w:kern w:val="2"/>
                <w:shd w:val="clear" w:color="auto" w:fill="FFFFFF"/>
              </w:rPr>
              <w:t>mucopolysaccharidosis</w:t>
            </w:r>
            <w:bookmarkEnd w:id="54"/>
            <w:r>
              <w:rPr>
                <w:rFonts w:ascii="Times New Roman" w:hAnsi="Times New Roman" w:eastAsia="Segoe UI"/>
                <w:color w:val="101214"/>
                <w:kern w:val="2"/>
                <w:shd w:val="clear" w:color="auto" w:fill="FFFFFF"/>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cs="Times New Roman"/>
                <w:b w:val="0"/>
                <w:bCs/>
                <w:szCs w:val="21"/>
              </w:rPr>
            </w:pPr>
            <w:r>
              <w:rPr>
                <w:rFonts w:ascii="Times New Roman" w:hAnsi="Times New Roman" w:cs="Times New Roman"/>
                <w:b/>
                <w:bCs w:val="0"/>
                <w:szCs w:val="21"/>
              </w:rPr>
              <w:t>Aid program sustainability</w:t>
            </w:r>
          </w:p>
        </w:tc>
        <w:tc>
          <w:tcPr>
            <w:tcW w:w="6922" w:type="dxa"/>
          </w:tcPr>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The drug is currently available in mainland China under a charitable aid program: buy two, get one free</w:t>
            </w:r>
            <w:r>
              <w:rPr>
                <w:rFonts w:ascii="Times New Roman" w:hAnsi="Times New Roman" w:eastAsiaTheme="minorEastAsia"/>
                <w:color w:val="101214"/>
                <w:kern w:val="2"/>
                <w:shd w:val="clear" w:color="auto" w:fill="FFFFFF"/>
                <w:lang w:val="en-US"/>
              </w:rPr>
              <w: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Pr>
          <w:p>
            <w:pPr>
              <w:pStyle w:val="19"/>
              <w:rPr>
                <w:rFonts w:ascii="Times New Roman" w:hAnsi="Times New Roman" w:cs="Times New Roman"/>
                <w:b w:val="0"/>
                <w:bCs/>
                <w:szCs w:val="21"/>
              </w:rPr>
            </w:pPr>
            <w:r>
              <w:rPr>
                <w:rFonts w:ascii="Times New Roman" w:hAnsi="Times New Roman" w:cs="Times New Roman"/>
                <w:b/>
                <w:bCs w:val="0"/>
                <w:szCs w:val="21"/>
              </w:rPr>
              <w:t>Technological innovation</w:t>
            </w:r>
          </w:p>
        </w:tc>
        <w:tc>
          <w:tcPr>
            <w:tcW w:w="6922" w:type="dxa"/>
          </w:tcPr>
          <w:p>
            <w:pPr>
              <w:pStyle w:val="16"/>
              <w:spacing w:line="240" w:lineRule="auto"/>
              <w:rPr>
                <w:rFonts w:ascii="Times New Roman" w:hAnsi="Times New Roman" w:eastAsiaTheme="minorEastAsia"/>
                <w:kern w:val="2"/>
              </w:rPr>
            </w:pPr>
            <w:bookmarkStart w:id="55" w:name="OLE_LINK41"/>
            <w:r>
              <w:rPr>
                <w:rFonts w:ascii="Times New Roman" w:hAnsi="Times New Roman" w:eastAsia="Segoe UI"/>
                <w:color w:val="101214"/>
                <w:kern w:val="2"/>
                <w:shd w:val="clear" w:color="auto" w:fill="FFFFFF"/>
              </w:rPr>
              <w:t>Laronidase</w:t>
            </w:r>
            <w:bookmarkEnd w:id="55"/>
            <w:r>
              <w:rPr>
                <w:rFonts w:ascii="Times New Roman" w:hAnsi="Times New Roman" w:eastAsia="Segoe UI"/>
                <w:color w:val="101214"/>
                <w:kern w:val="2"/>
                <w:shd w:val="clear" w:color="auto" w:fill="FFFFFF"/>
              </w:rPr>
              <w:t xml:space="preserve"> was first marketed in the United States in 2003. Launched in China in 2020, there are currently no generic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696" w:type="dxa"/>
            <w:tcBorders>
              <w:bottom w:val="single" w:color="000000" w:themeColor="text1" w:sz="12" w:space="0"/>
            </w:tcBorders>
          </w:tcPr>
          <w:p>
            <w:pPr>
              <w:pStyle w:val="19"/>
              <w:rPr>
                <w:rFonts w:ascii="Times New Roman" w:hAnsi="Times New Roman" w:cs="Times New Roman"/>
                <w:b w:val="0"/>
                <w:bCs/>
                <w:szCs w:val="21"/>
              </w:rPr>
            </w:pPr>
            <w:r>
              <w:rPr>
                <w:rFonts w:ascii="Times New Roman" w:hAnsi="Times New Roman" w:cs="Times New Roman"/>
                <w:b/>
                <w:bCs w:val="0"/>
                <w:szCs w:val="21"/>
              </w:rPr>
              <w:t>Affordability of medical insurance funds</w:t>
            </w:r>
          </w:p>
        </w:tc>
        <w:tc>
          <w:tcPr>
            <w:tcW w:w="6922" w:type="dxa"/>
            <w:tcBorders>
              <w:bottom w:val="single" w:color="000000" w:themeColor="text1" w:sz="12" w:space="0"/>
            </w:tcBorders>
          </w:tcPr>
          <w:p>
            <w:pPr>
              <w:pStyle w:val="16"/>
              <w:spacing w:line="240" w:lineRule="auto"/>
              <w:rPr>
                <w:rFonts w:ascii="Times New Roman" w:hAnsi="Times New Roman" w:eastAsia="Segoe UI"/>
                <w:b/>
                <w:bCs/>
                <w:color w:val="2A2B2E"/>
                <w:kern w:val="2"/>
                <w:shd w:val="clear" w:color="auto" w:fill="FFFFFF"/>
              </w:rPr>
            </w:pPr>
            <w:r>
              <w:rPr>
                <w:rFonts w:ascii="Times New Roman" w:hAnsi="Times New Roman" w:eastAsia="Segoe UI"/>
                <w:b/>
                <w:bCs/>
                <w:color w:val="2A2B2E"/>
                <w:kern w:val="2"/>
                <w:shd w:val="clear" w:color="auto" w:fill="FFFFFF"/>
              </w:rPr>
              <w:t>Budget impact analysis:</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 xml:space="preserve">The research group roughly estimated the budgetary impact of the inclusion of </w:t>
            </w:r>
            <w:bookmarkStart w:id="56" w:name="OLE_LINK42"/>
            <w:r>
              <w:rPr>
                <w:rFonts w:ascii="Times New Roman" w:hAnsi="Times New Roman" w:eastAsia="Segoe UI"/>
                <w:color w:val="101214"/>
                <w:kern w:val="2"/>
                <w:shd w:val="clear" w:color="auto" w:fill="FFFFFF"/>
              </w:rPr>
              <w:t>Laronidase</w:t>
            </w:r>
            <w:bookmarkEnd w:id="56"/>
            <w:r>
              <w:rPr>
                <w:rFonts w:ascii="Times New Roman" w:hAnsi="Times New Roman" w:eastAsia="Segoe UI"/>
                <w:color w:val="101214"/>
                <w:kern w:val="2"/>
                <w:shd w:val="clear" w:color="auto" w:fill="FFFFFF"/>
              </w:rPr>
              <w:t xml:space="preserve"> in the national medical insurance list (negotiation category B) :</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In 2025, it will lead to an increase of 235 million yuan in the expenditure of the national medical insurance fund, accounting for 0.0112% of the total medical insurance. The details are as follows:</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Scenario: Three years after Laronidase enters the medical insurance (officially entered in 2023), </w:t>
            </w:r>
            <w:r>
              <w:rPr>
                <w:rFonts w:ascii="Times New Roman" w:hAnsi="Times New Roman" w:eastAsiaTheme="minorEastAsia"/>
                <w:color w:val="101214"/>
                <w:kern w:val="2"/>
                <w:shd w:val="clear" w:color="auto" w:fill="FFFFFF"/>
                <w:lang w:val="en-US"/>
              </w:rPr>
              <w:t>it</w:t>
            </w:r>
            <w:r>
              <w:rPr>
                <w:rFonts w:ascii="Times New Roman" w:hAnsi="Times New Roman" w:eastAsia="Segoe UI"/>
                <w:color w:val="101214"/>
                <w:kern w:val="2"/>
                <w:shd w:val="clear" w:color="auto" w:fill="FFFFFF"/>
              </w:rPr>
              <w:t xml:space="preserve"> will be the exclusive drug of mucopolysaccharidosis type I.</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Assumptions and key data:</w:t>
            </w:r>
          </w:p>
          <w:p>
            <w:pPr>
              <w:pStyle w:val="16"/>
              <w:spacing w:line="240" w:lineRule="auto"/>
              <w:rPr>
                <w:rFonts w:ascii="Times New Roman" w:hAnsi="Times New Roman" w:eastAsiaTheme="minorEastAsia"/>
                <w:kern w:val="2"/>
              </w:rPr>
            </w:pPr>
            <w:r>
              <w:rPr>
                <w:rFonts w:ascii="Times New Roman" w:hAnsi="Times New Roman" w:eastAsiaTheme="minorEastAsia"/>
                <w:kern w:val="2"/>
              </w:rPr>
              <w:t>（1）</w:t>
            </w:r>
            <w:r>
              <w:rPr>
                <w:rFonts w:ascii="Times New Roman" w:hAnsi="Times New Roman" w:eastAsia="Segoe UI"/>
                <w:color w:val="101214"/>
                <w:kern w:val="2"/>
                <w:shd w:val="clear" w:color="auto" w:fill="FFFFFF"/>
              </w:rPr>
              <w:t>After the drug was included in the medical insurance, the sales data increased by 700% in the first year (refer to IQVIA's nosinazen sodium monoclonal antibody post-medical insurance market change forecast), and increased by 37% in the next two years (rare disease drug market growth forecast in China). The reimbursement rate is 70% for class B.</w:t>
            </w:r>
          </w:p>
          <w:p>
            <w:pPr>
              <w:pStyle w:val="16"/>
              <w:spacing w:line="240" w:lineRule="auto"/>
              <w:rPr>
                <w:rFonts w:ascii="Times New Roman" w:hAnsi="Times New Roman" w:eastAsiaTheme="minorEastAsia"/>
                <w:kern w:val="2"/>
              </w:rPr>
            </w:pPr>
            <w:r>
              <w:rPr>
                <w:rFonts w:ascii="Times New Roman" w:hAnsi="Times New Roman" w:eastAsiaTheme="minorEastAsia"/>
                <w:kern w:val="2"/>
              </w:rPr>
              <w:t>（2）</w:t>
            </w:r>
            <w:r>
              <w:rPr>
                <w:rFonts w:ascii="Times New Roman" w:hAnsi="Times New Roman" w:eastAsia="Segoe UI"/>
                <w:color w:val="101214"/>
                <w:kern w:val="2"/>
                <w:shd w:val="clear" w:color="auto" w:fill="FFFFFF"/>
              </w:rPr>
              <w:t>The number of users is based on the theoretical number of patients with mucopolysaccharidosis type I in China as the upper limit. When the number of users exceeds the theoretical number of patients in the current year, it will not continue to increase.</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Theme="minorEastAsia"/>
                <w:kern w:val="2"/>
              </w:rPr>
              <w:t>（3）</w:t>
            </w:r>
            <w:r>
              <w:rPr>
                <w:rFonts w:ascii="Times New Roman" w:hAnsi="Times New Roman" w:eastAsia="Segoe UI"/>
                <w:color w:val="101214"/>
                <w:kern w:val="2"/>
                <w:shd w:val="clear" w:color="auto" w:fill="FFFFFF"/>
              </w:rPr>
              <w:t>The diagnosis rate is set at 40%, the prevalence rate is 0.11 per 100,000 people, and the drug treatment rate is 12%.</w:t>
            </w:r>
          </w:p>
          <w:p>
            <w:pPr>
              <w:pStyle w:val="16"/>
              <w:spacing w:line="240" w:lineRule="auto"/>
              <w:rPr>
                <w:rFonts w:ascii="Times New Roman" w:hAnsi="Times New Roman" w:eastAsiaTheme="minorEastAsia"/>
                <w:kern w:val="2"/>
              </w:rPr>
            </w:pPr>
            <w:r>
              <w:rPr>
                <w:rFonts w:ascii="Times New Roman" w:hAnsi="Times New Roman" w:eastAsiaTheme="minorEastAsia"/>
                <w:kern w:val="2"/>
              </w:rPr>
              <w:t>（4）</w:t>
            </w:r>
            <w:r>
              <w:rPr>
                <w:rFonts w:ascii="Times New Roman" w:hAnsi="Times New Roman" w:eastAsia="Segoe UI"/>
                <w:color w:val="101214"/>
                <w:kern w:val="2"/>
                <w:shd w:val="clear" w:color="auto" w:fill="FFFFFF"/>
              </w:rPr>
              <w:t>The total amount of medical insurance is 2,094.9 billion yuan of China's total medical insurance in 2020, which is assumed to remain unchanged in the next five years.</w:t>
            </w:r>
          </w:p>
          <w:tbl>
            <w:tblPr>
              <w:tblStyle w:val="10"/>
              <w:tblW w:w="654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
              <w:gridCol w:w="1372"/>
              <w:gridCol w:w="1399"/>
              <w:gridCol w:w="1564"/>
              <w:gridCol w:w="147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7" w:type="dxa"/>
                  <w:tcBorders>
                    <w:top w:val="single" w:color="auto" w:sz="4" w:space="0"/>
                    <w:bottom w:val="single" w:color="auto" w:sz="4" w:space="0"/>
                  </w:tcBorders>
                  <w:shd w:val="clear" w:color="auto" w:fill="auto"/>
                  <w:noWrap/>
                  <w:vAlign w:val="center"/>
                </w:tcPr>
                <w:p>
                  <w:pPr>
                    <w:pStyle w:val="16"/>
                    <w:spacing w:line="240" w:lineRule="auto"/>
                    <w:rPr>
                      <w:rFonts w:ascii="Times New Roman" w:hAnsi="Times New Roman"/>
                      <w:lang w:val="en-US"/>
                    </w:rPr>
                  </w:pPr>
                  <w:r>
                    <w:rPr>
                      <w:rFonts w:ascii="Times New Roman" w:hAnsi="Times New Roman"/>
                      <w:lang w:val="en-US"/>
                    </w:rPr>
                    <w:t xml:space="preserve">Year </w:t>
                  </w:r>
                </w:p>
              </w:tc>
              <w:tc>
                <w:tcPr>
                  <w:tcW w:w="1372" w:type="dxa"/>
                  <w:tcBorders>
                    <w:top w:val="single" w:color="auto" w:sz="4" w:space="0"/>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The number of theoretical type I people</w:t>
                  </w:r>
                </w:p>
              </w:tc>
              <w:tc>
                <w:tcPr>
                  <w:tcW w:w="1399" w:type="dxa"/>
                  <w:tcBorders>
                    <w:top w:val="single" w:color="auto" w:sz="4" w:space="0"/>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Number of people using medical insurance drugs</w:t>
                  </w:r>
                </w:p>
              </w:tc>
              <w:tc>
                <w:tcPr>
                  <w:tcW w:w="1564" w:type="dxa"/>
                  <w:tcBorders>
                    <w:top w:val="single" w:color="auto" w:sz="4" w:space="0"/>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Increase in medical insurance reimbursement expenses (100 million yuan)</w:t>
                  </w:r>
                </w:p>
              </w:tc>
              <w:tc>
                <w:tcPr>
                  <w:tcW w:w="1477" w:type="dxa"/>
                  <w:tcBorders>
                    <w:top w:val="single" w:color="auto" w:sz="4" w:space="0"/>
                    <w:bottom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Proportion of total medical insurance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7" w:type="dxa"/>
                  <w:tcBorders>
                    <w:top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2022</w:t>
                  </w:r>
                </w:p>
              </w:tc>
              <w:tc>
                <w:tcPr>
                  <w:tcW w:w="1372" w:type="dxa"/>
                  <w:tcBorders>
                    <w:top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1588</w:t>
                  </w:r>
                </w:p>
              </w:tc>
              <w:tc>
                <w:tcPr>
                  <w:tcW w:w="1399" w:type="dxa"/>
                  <w:tcBorders>
                    <w:top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76</w:t>
                  </w:r>
                </w:p>
              </w:tc>
              <w:tc>
                <w:tcPr>
                  <w:tcW w:w="1564" w:type="dxa"/>
                  <w:tcBorders>
                    <w:top w:val="single" w:color="auto" w:sz="4" w:space="0"/>
                  </w:tcBorders>
                  <w:shd w:val="clear" w:color="auto" w:fill="auto"/>
                  <w:noWrap/>
                  <w:vAlign w:val="center"/>
                </w:tcPr>
                <w:p>
                  <w:pPr>
                    <w:pStyle w:val="16"/>
                    <w:spacing w:line="240" w:lineRule="auto"/>
                    <w:rPr>
                      <w:rFonts w:ascii="Times New Roman" w:hAnsi="Times New Roman"/>
                    </w:rPr>
                  </w:pPr>
                </w:p>
              </w:tc>
              <w:tc>
                <w:tcPr>
                  <w:tcW w:w="1477" w:type="dxa"/>
                  <w:tcBorders>
                    <w:top w:val="single" w:color="auto" w:sz="4" w:space="0"/>
                  </w:tcBorders>
                  <w:shd w:val="clear" w:color="auto" w:fill="auto"/>
                  <w:noWrap/>
                  <w:vAlign w:val="center"/>
                </w:tcPr>
                <w:p>
                  <w:pPr>
                    <w:pStyle w:val="16"/>
                    <w:spacing w:line="240" w:lineRule="auto"/>
                    <w:rPr>
                      <w:rFonts w:ascii="Times New Roman" w:hAnsi="Times New Roman"/>
                    </w:rPr>
                  </w:pPr>
                  <w:r>
                    <w:rPr>
                      <w:rFonts w:ascii="Times New Roman" w:hAnsi="Times New Roma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7" w:type="dxa"/>
                  <w:shd w:val="clear" w:color="auto" w:fill="auto"/>
                  <w:noWrap/>
                  <w:vAlign w:val="center"/>
                </w:tcPr>
                <w:p>
                  <w:pPr>
                    <w:pStyle w:val="16"/>
                    <w:spacing w:line="240" w:lineRule="auto"/>
                    <w:rPr>
                      <w:rFonts w:ascii="Times New Roman" w:hAnsi="Times New Roman"/>
                    </w:rPr>
                  </w:pPr>
                  <w:r>
                    <w:rPr>
                      <w:rFonts w:ascii="Times New Roman" w:hAnsi="Times New Roman"/>
                    </w:rPr>
                    <w:t>2023</w:t>
                  </w:r>
                </w:p>
              </w:tc>
              <w:tc>
                <w:tcPr>
                  <w:tcW w:w="1372" w:type="dxa"/>
                  <w:shd w:val="clear" w:color="auto" w:fill="auto"/>
                  <w:noWrap/>
                  <w:vAlign w:val="center"/>
                </w:tcPr>
                <w:p>
                  <w:pPr>
                    <w:pStyle w:val="16"/>
                    <w:spacing w:line="240" w:lineRule="auto"/>
                    <w:rPr>
                      <w:rFonts w:ascii="Times New Roman" w:hAnsi="Times New Roman"/>
                    </w:rPr>
                  </w:pPr>
                  <w:r>
                    <w:rPr>
                      <w:rFonts w:ascii="Times New Roman" w:hAnsi="Times New Roman"/>
                    </w:rPr>
                    <w:t>1589</w:t>
                  </w:r>
                </w:p>
              </w:tc>
              <w:tc>
                <w:tcPr>
                  <w:tcW w:w="1399" w:type="dxa"/>
                  <w:shd w:val="clear" w:color="auto" w:fill="auto"/>
                  <w:noWrap/>
                  <w:vAlign w:val="center"/>
                </w:tcPr>
                <w:p>
                  <w:pPr>
                    <w:pStyle w:val="16"/>
                    <w:spacing w:line="240" w:lineRule="auto"/>
                    <w:rPr>
                      <w:rFonts w:ascii="Times New Roman" w:hAnsi="Times New Roman"/>
                    </w:rPr>
                  </w:pPr>
                  <w:r>
                    <w:rPr>
                      <w:rFonts w:ascii="Times New Roman" w:hAnsi="Times New Roman"/>
                    </w:rPr>
                    <w:t>534</w:t>
                  </w:r>
                </w:p>
              </w:tc>
              <w:tc>
                <w:tcPr>
                  <w:tcW w:w="1564" w:type="dxa"/>
                  <w:shd w:val="clear" w:color="auto" w:fill="auto"/>
                  <w:noWrap/>
                  <w:vAlign w:val="center"/>
                </w:tcPr>
                <w:p>
                  <w:pPr>
                    <w:pStyle w:val="16"/>
                    <w:spacing w:line="240" w:lineRule="auto"/>
                    <w:rPr>
                      <w:rFonts w:ascii="Times New Roman" w:hAnsi="Times New Roman"/>
                    </w:rPr>
                  </w:pPr>
                  <w:r>
                    <w:rPr>
                      <w:rFonts w:ascii="Times New Roman" w:hAnsi="Times New Roman"/>
                    </w:rPr>
                    <w:t>1.726</w:t>
                  </w:r>
                </w:p>
              </w:tc>
              <w:tc>
                <w:tcPr>
                  <w:tcW w:w="1477" w:type="dxa"/>
                  <w:shd w:val="clear" w:color="auto" w:fill="auto"/>
                  <w:noWrap/>
                  <w:vAlign w:val="center"/>
                </w:tcPr>
                <w:p>
                  <w:pPr>
                    <w:pStyle w:val="16"/>
                    <w:spacing w:line="240" w:lineRule="auto"/>
                    <w:rPr>
                      <w:rFonts w:ascii="Times New Roman" w:hAnsi="Times New Roman"/>
                    </w:rPr>
                  </w:pPr>
                  <w:r>
                    <w:rPr>
                      <w:rFonts w:ascii="Times New Roman" w:hAnsi="Times New Roman"/>
                    </w:rPr>
                    <w:t>0.0082%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7" w:type="dxa"/>
                  <w:shd w:val="clear" w:color="auto" w:fill="auto"/>
                  <w:noWrap/>
                  <w:vAlign w:val="center"/>
                </w:tcPr>
                <w:p>
                  <w:pPr>
                    <w:pStyle w:val="16"/>
                    <w:spacing w:line="240" w:lineRule="auto"/>
                    <w:rPr>
                      <w:rFonts w:ascii="Times New Roman" w:hAnsi="Times New Roman"/>
                    </w:rPr>
                  </w:pPr>
                  <w:r>
                    <w:rPr>
                      <w:rFonts w:ascii="Times New Roman" w:hAnsi="Times New Roman"/>
                    </w:rPr>
                    <w:t>2024</w:t>
                  </w:r>
                </w:p>
              </w:tc>
              <w:tc>
                <w:tcPr>
                  <w:tcW w:w="1372" w:type="dxa"/>
                  <w:shd w:val="clear" w:color="auto" w:fill="auto"/>
                  <w:noWrap/>
                  <w:vAlign w:val="center"/>
                </w:tcPr>
                <w:p>
                  <w:pPr>
                    <w:pStyle w:val="16"/>
                    <w:spacing w:line="240" w:lineRule="auto"/>
                    <w:rPr>
                      <w:rFonts w:ascii="Times New Roman" w:hAnsi="Times New Roman"/>
                    </w:rPr>
                  </w:pPr>
                  <w:r>
                    <w:rPr>
                      <w:rFonts w:ascii="Times New Roman" w:hAnsi="Times New Roman"/>
                    </w:rPr>
                    <w:t>1589</w:t>
                  </w:r>
                </w:p>
              </w:tc>
              <w:tc>
                <w:tcPr>
                  <w:tcW w:w="1399" w:type="dxa"/>
                  <w:shd w:val="clear" w:color="auto" w:fill="auto"/>
                  <w:noWrap/>
                  <w:vAlign w:val="center"/>
                </w:tcPr>
                <w:p>
                  <w:pPr>
                    <w:pStyle w:val="16"/>
                    <w:spacing w:line="240" w:lineRule="auto"/>
                    <w:rPr>
                      <w:rFonts w:ascii="Times New Roman" w:hAnsi="Times New Roman"/>
                    </w:rPr>
                  </w:pPr>
                  <w:r>
                    <w:rPr>
                      <w:rFonts w:ascii="Times New Roman" w:hAnsi="Times New Roman"/>
                    </w:rPr>
                    <w:t>731</w:t>
                  </w:r>
                </w:p>
              </w:tc>
              <w:tc>
                <w:tcPr>
                  <w:tcW w:w="1564" w:type="dxa"/>
                  <w:shd w:val="clear" w:color="auto" w:fill="auto"/>
                  <w:noWrap/>
                  <w:vAlign w:val="center"/>
                </w:tcPr>
                <w:p>
                  <w:pPr>
                    <w:pStyle w:val="16"/>
                    <w:spacing w:line="240" w:lineRule="auto"/>
                    <w:rPr>
                      <w:rFonts w:ascii="Times New Roman" w:hAnsi="Times New Roman"/>
                    </w:rPr>
                  </w:pPr>
                  <w:r>
                    <w:rPr>
                      <w:rFonts w:ascii="Times New Roman" w:hAnsi="Times New Roman"/>
                    </w:rPr>
                    <w:t>2.364</w:t>
                  </w:r>
                </w:p>
              </w:tc>
              <w:tc>
                <w:tcPr>
                  <w:tcW w:w="1477" w:type="dxa"/>
                  <w:shd w:val="clear" w:color="auto" w:fill="auto"/>
                  <w:noWrap/>
                  <w:vAlign w:val="center"/>
                </w:tcPr>
                <w:p>
                  <w:pPr>
                    <w:pStyle w:val="16"/>
                    <w:spacing w:line="240" w:lineRule="auto"/>
                    <w:rPr>
                      <w:rFonts w:ascii="Times New Roman" w:hAnsi="Times New Roman"/>
                    </w:rPr>
                  </w:pPr>
                  <w:r>
                    <w:rPr>
                      <w:rFonts w:ascii="Times New Roman" w:hAnsi="Times New Roman"/>
                    </w:rPr>
                    <w:t>0.0113%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7" w:type="dxa"/>
                  <w:shd w:val="clear" w:color="auto" w:fill="auto"/>
                  <w:noWrap/>
                  <w:vAlign w:val="center"/>
                </w:tcPr>
                <w:p>
                  <w:pPr>
                    <w:pStyle w:val="16"/>
                    <w:spacing w:line="240" w:lineRule="auto"/>
                    <w:rPr>
                      <w:rFonts w:ascii="Times New Roman" w:hAnsi="Times New Roman"/>
                    </w:rPr>
                  </w:pPr>
                  <w:r>
                    <w:rPr>
                      <w:rFonts w:ascii="Times New Roman" w:hAnsi="Times New Roman"/>
                    </w:rPr>
                    <w:t>2025</w:t>
                  </w:r>
                </w:p>
              </w:tc>
              <w:tc>
                <w:tcPr>
                  <w:tcW w:w="1372" w:type="dxa"/>
                  <w:shd w:val="clear" w:color="auto" w:fill="auto"/>
                  <w:noWrap/>
                  <w:vAlign w:val="center"/>
                </w:tcPr>
                <w:p>
                  <w:pPr>
                    <w:pStyle w:val="16"/>
                    <w:spacing w:line="240" w:lineRule="auto"/>
                    <w:rPr>
                      <w:rFonts w:ascii="Times New Roman" w:hAnsi="Times New Roman"/>
                    </w:rPr>
                  </w:pPr>
                  <w:r>
                    <w:rPr>
                      <w:rFonts w:ascii="Times New Roman" w:hAnsi="Times New Roman"/>
                    </w:rPr>
                    <w:t>1590</w:t>
                  </w:r>
                </w:p>
              </w:tc>
              <w:tc>
                <w:tcPr>
                  <w:tcW w:w="1399" w:type="dxa"/>
                  <w:shd w:val="clear" w:color="auto" w:fill="auto"/>
                  <w:noWrap/>
                  <w:vAlign w:val="center"/>
                </w:tcPr>
                <w:p>
                  <w:pPr>
                    <w:pStyle w:val="16"/>
                    <w:spacing w:line="240" w:lineRule="auto"/>
                    <w:rPr>
                      <w:rFonts w:ascii="Times New Roman" w:hAnsi="Times New Roman"/>
                    </w:rPr>
                  </w:pPr>
                  <w:r>
                    <w:rPr>
                      <w:rFonts w:ascii="Times New Roman" w:hAnsi="Times New Roman"/>
                    </w:rPr>
                    <w:t>1002</w:t>
                  </w:r>
                </w:p>
              </w:tc>
              <w:tc>
                <w:tcPr>
                  <w:tcW w:w="1564" w:type="dxa"/>
                  <w:shd w:val="clear" w:color="auto" w:fill="auto"/>
                  <w:noWrap/>
                  <w:vAlign w:val="center"/>
                </w:tcPr>
                <w:p>
                  <w:pPr>
                    <w:pStyle w:val="16"/>
                    <w:spacing w:line="240" w:lineRule="auto"/>
                    <w:rPr>
                      <w:rFonts w:ascii="Times New Roman" w:hAnsi="Times New Roman"/>
                    </w:rPr>
                  </w:pPr>
                  <w:r>
                    <w:rPr>
                      <w:rFonts w:ascii="Times New Roman" w:hAnsi="Times New Roman"/>
                    </w:rPr>
                    <w:t>3.239</w:t>
                  </w:r>
                </w:p>
              </w:tc>
              <w:tc>
                <w:tcPr>
                  <w:tcW w:w="1477" w:type="dxa"/>
                  <w:shd w:val="clear" w:color="auto" w:fill="auto"/>
                  <w:noWrap/>
                  <w:vAlign w:val="center"/>
                </w:tcPr>
                <w:p>
                  <w:pPr>
                    <w:pStyle w:val="16"/>
                    <w:spacing w:line="240" w:lineRule="auto"/>
                    <w:rPr>
                      <w:rFonts w:ascii="Times New Roman" w:hAnsi="Times New Roman"/>
                    </w:rPr>
                  </w:pPr>
                  <w:r>
                    <w:rPr>
                      <w:rFonts w:ascii="Times New Roman" w:hAnsi="Times New Roman"/>
                    </w:rPr>
                    <w:t>0.0155%</w:t>
                  </w:r>
                </w:p>
              </w:tc>
            </w:tr>
          </w:tbl>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additional increase in medical insurance spending was mainly due to the inclusion of Laloni enzyme in medical insurance reimbursement, which is the only domestically marketed drug treatment for mucopanosaccharidosis type I.</w:t>
            </w:r>
          </w:p>
          <w:p>
            <w:pPr>
              <w:pStyle w:val="15"/>
              <w:rPr>
                <w:rFonts w:ascii="Times New Roman" w:hAnsi="Times New Roman" w:cs="Times New Roman"/>
                <w:szCs w:val="21"/>
              </w:rPr>
            </w:pPr>
            <w:r>
              <w:rPr>
                <w:rFonts w:ascii="Times New Roman" w:hAnsi="Times New Roman" w:eastAsia="宋体" w:cs="Times New Roman"/>
                <w:color w:val="2A2B2E"/>
                <w:szCs w:val="21"/>
                <w:shd w:val="clear" w:color="auto" w:fill="FFFFFF"/>
              </w:rPr>
              <w:t>S</w:t>
            </w:r>
            <w:r>
              <w:rPr>
                <w:rFonts w:ascii="Times New Roman" w:hAnsi="Times New Roman" w:eastAsia="Segoe UI" w:cs="Times New Roman"/>
                <w:color w:val="2A2B2E"/>
                <w:szCs w:val="21"/>
                <w:shd w:val="clear" w:color="auto" w:fill="FFFFFF"/>
              </w:rPr>
              <w:t>ensitivity analysis</w:t>
            </w:r>
            <w:r>
              <w:rPr>
                <w:rFonts w:ascii="Times New Roman" w:hAnsi="Times New Roman" w:cs="Times New Roman"/>
                <w:szCs w:val="21"/>
              </w:rPr>
              <w:t>：</w:t>
            </w:r>
          </w:p>
          <w:p>
            <w:pPr>
              <w:pStyle w:val="16"/>
              <w:spacing w:line="240" w:lineRule="auto"/>
              <w:rPr>
                <w:rFonts w:ascii="Times New Roman" w:hAnsi="Times New Roman" w:eastAsiaTheme="minorEastAsia"/>
                <w:color w:val="101214"/>
                <w:kern w:val="2"/>
                <w:shd w:val="clear" w:color="auto" w:fill="FFFFFF"/>
                <w:lang w:val="en-US"/>
              </w:rPr>
            </w:pPr>
            <w:r>
              <w:rPr>
                <w:rFonts w:ascii="Times New Roman" w:hAnsi="Times New Roman" w:eastAsia="Segoe UI"/>
                <w:color w:val="101214"/>
                <w:kern w:val="2"/>
                <w:shd w:val="clear" w:color="auto" w:fill="FFFFFF"/>
              </w:rPr>
              <w:t>If drug prices fall by 30%, medical insurance expenditure will rise by 226.7 million yuan in 2025, accounting for 0.0108% of the total</w:t>
            </w:r>
            <w:r>
              <w:rPr>
                <w:rFonts w:ascii="Times New Roman" w:hAnsi="Times New Roman" w:eastAsiaTheme="minorEastAsia"/>
                <w:color w:val="101214"/>
                <w:kern w:val="2"/>
                <w:shd w:val="clear" w:color="auto" w:fill="FFFFFF"/>
                <w:lang w:val="en-US"/>
              </w:rPr>
              <w:t>.</w:t>
            </w:r>
          </w:p>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If the diagnosis rate can be increased to 80%, the medical insurance</w:t>
            </w:r>
            <w:r>
              <w:rPr>
                <w:rFonts w:hint="eastAsia"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expenditure will increase by 514.2 million yuan in 2025, accounting for 0.0245% of the total</w:t>
            </w:r>
            <w:r>
              <w:rPr>
                <w:rFonts w:ascii="Times New Roman" w:hAnsi="Times New Roman" w:eastAsiaTheme="minorEastAsia"/>
                <w:color w:val="101214"/>
                <w:kern w:val="2"/>
                <w:shd w:val="clear" w:color="auto" w:fill="FFFFFF"/>
                <w:lang w:val="en-US"/>
              </w:rPr>
              <w:t>.</w:t>
            </w:r>
          </w:p>
        </w:tc>
      </w:tr>
    </w:tbl>
    <w:p>
      <w:pPr>
        <w:rPr>
          <w:rFonts w:ascii="Times New Roman" w:hAnsi="Times New Roman" w:cs="Times New Roman"/>
        </w:rPr>
      </w:pPr>
      <w:r>
        <w:rPr>
          <w:rFonts w:hint="eastAsia" w:ascii="Times New Roman" w:hAnsi="Times New Roman" w:cs="Times New Roman"/>
        </w:rPr>
        <w:br w:type="page"/>
      </w:r>
    </w:p>
    <w:p>
      <w:pPr>
        <w:rPr>
          <w:rFonts w:ascii="Times New Roman" w:hAnsi="Times New Roman" w:eastAsia="Segoe UI" w:cs="Times New Roman"/>
          <w:color w:val="101214"/>
          <w:szCs w:val="21"/>
          <w:shd w:val="clear" w:color="auto" w:fill="FFFFFF"/>
        </w:rPr>
      </w:pPr>
      <w:r>
        <w:rPr>
          <w:rFonts w:hint="eastAsia" w:ascii="Times New Roman" w:hAnsi="Times New Roman" w:cs="Times New Roman"/>
        </w:rPr>
        <w:t xml:space="preserve">3.3 </w:t>
      </w:r>
      <w:r>
        <w:rPr>
          <w:rFonts w:ascii="Times New Roman" w:hAnsi="Times New Roman" w:eastAsia="Segoe UI" w:cs="Times New Roman"/>
          <w:color w:val="101214"/>
          <w:szCs w:val="21"/>
          <w:shd w:val="clear" w:color="auto" w:fill="FFFFFF"/>
        </w:rPr>
        <w:t xml:space="preserve">The basic information of </w:t>
      </w:r>
      <w:r>
        <w:rPr>
          <w:rFonts w:ascii="Times New Roman" w:hAnsi="Times New Roman" w:cs="Times New Roman"/>
          <w:szCs w:val="21"/>
        </w:rPr>
        <w:t>Emicizumab</w:t>
      </w:r>
      <w:r>
        <w:rPr>
          <w:rFonts w:ascii="Times New Roman" w:hAnsi="Times New Roman" w:eastAsia="Segoe UI" w:cs="Times New Roman"/>
          <w:color w:val="101214"/>
          <w:szCs w:val="21"/>
          <w:shd w:val="clear" w:color="auto" w:fill="FFFFFF"/>
        </w:rPr>
        <w:t xml:space="preserve"> is as follows: Drug category: injection; Indications: For routine prophylaxis to prevent or reduce the frequency of bleeding in adults with hemophilia A with or without factor VIII inhibitors; Dosing instructions: The recommended dose for the first 4 weeks is 3 mg/kg once weekly (loading dose), followed by 1.5 mg/kg once weekly (maintenance dose) by subcutaneous injection. Set the weight as 68kg (the average weight of Chinese adults); Intervention duration: continuous injection (once a week); Comparative intervention: genetically recombinant FⅧ preparations or virus-inactivated blood-derived FⅧ preparations.</w:t>
      </w:r>
    </w:p>
    <w:p>
      <w:pPr>
        <w:rPr>
          <w:rFonts w:ascii="Segoe UI" w:hAnsi="Segoe UI" w:eastAsia="Segoe UI" w:cs="Segoe UI"/>
          <w:color w:val="101214"/>
          <w:sz w:val="16"/>
          <w:szCs w:val="16"/>
          <w:shd w:val="clear" w:color="auto" w:fill="FFFFFF"/>
        </w:rPr>
      </w:pPr>
    </w:p>
    <w:p>
      <w:pPr>
        <w:rPr>
          <w:rFonts w:ascii="Times New Roman" w:hAnsi="Times New Roman" w:cs="Times New Roman"/>
        </w:rPr>
      </w:pPr>
      <w:r>
        <w:rPr>
          <w:rFonts w:hint="eastAsia" w:ascii="Times New Roman" w:hAnsi="Times New Roman" w:cs="Times New Roman"/>
        </w:rPr>
        <w:t xml:space="preserve">Table 3.3.1 Quantitative criteria empirical data set of </w:t>
      </w:r>
      <w:bookmarkStart w:id="57" w:name="OLE_LINK45"/>
      <w:r>
        <w:rPr>
          <w:rFonts w:hint="eastAsia" w:ascii="Times New Roman" w:hAnsi="Times New Roman" w:cs="Times New Roman"/>
        </w:rPr>
        <w:t>Emicizumab</w:t>
      </w:r>
      <w:bookmarkEnd w:id="57"/>
    </w:p>
    <w:tbl>
      <w:tblPr>
        <w:tblStyle w:val="17"/>
        <w:tblW w:w="5000" w:type="pct"/>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92"/>
        <w:gridCol w:w="7294"/>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059"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Criteria</w:t>
            </w:r>
          </w:p>
        </w:tc>
        <w:tc>
          <w:tcPr>
            <w:tcW w:w="7563"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Empirical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622" w:type="dxa"/>
            <w:gridSpan w:val="2"/>
            <w:tcBorders>
              <w:top w:val="single" w:color="000000" w:themeColor="text1" w:sz="8" w:space="0"/>
            </w:tcBorders>
          </w:tcPr>
          <w:p>
            <w:pPr>
              <w:pStyle w:val="18"/>
              <w:rPr>
                <w:rFonts w:ascii="Times New Roman" w:hAnsi="Times New Roman" w:cs="Times New Roman"/>
                <w:b/>
                <w:bCs/>
                <w:sz w:val="21"/>
                <w:szCs w:val="21"/>
              </w:rPr>
            </w:pPr>
            <w:r>
              <w:rPr>
                <w:rFonts w:ascii="Times New Roman" w:hAnsi="Times New Roman" w:cs="Times New Roman"/>
                <w:b w:val="0"/>
                <w:bCs w:val="0"/>
                <w:sz w:val="21"/>
                <w:szCs w:val="21"/>
              </w:rPr>
              <w:t>EVIDEM core model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622" w:type="dxa"/>
            <w:gridSpan w:val="2"/>
          </w:tcPr>
          <w:p>
            <w:pPr>
              <w:pStyle w:val="16"/>
              <w:spacing w:line="240" w:lineRule="auto"/>
              <w:rPr>
                <w:rFonts w:ascii="Times New Roman" w:hAnsi="Times New Roman" w:eastAsiaTheme="minorEastAsia"/>
                <w:b/>
                <w:bCs/>
                <w:kern w:val="2"/>
              </w:rPr>
            </w:pPr>
            <w:r>
              <w:rPr>
                <w:rFonts w:ascii="Times New Roman" w:hAnsi="Times New Roman" w:eastAsiaTheme="minorEastAsia"/>
                <w:b/>
                <w:bCs/>
                <w:color w:val="000000"/>
                <w:kern w:val="2"/>
              </w:rPr>
              <w:t>Need for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Disease severity</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Hemophilia A(HA) is an inherited disease in which genetic defects lead to the decrease of coagulation factor Ⅷ, resulting in coagulation dysfunction and eventually bleeding</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.It can cause self-bleeding, trauma and postoperative massive bleeding. Target joints and chronically damaged joints are also common in hemophiliacs.</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In A retrospective study of 780 patients with hemophilia in China, it was found that all patients with severe hemophilia A/B had recurrent spontaneous bleeding since childhood, mainly bleeding in joints, muscles and skin and mucosa, and 43.0% of them had joint deformities. Most of the medium-sized patients had bleeding after injury, mainly skin, mucous membrane and joint bleeding, and 25.3% of the patients had joint deformity. Mild patients were mainly bleeding after skin and mucous membrane injury, and 14.4% of them had joint deformity.</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Unmet needs</w:t>
            </w:r>
          </w:p>
        </w:tc>
        <w:tc>
          <w:tcPr>
            <w:tcW w:w="7563" w:type="dxa"/>
          </w:tcPr>
          <w:p>
            <w:pPr>
              <w:pStyle w:val="16"/>
              <w:numPr>
                <w:ilvl w:val="0"/>
                <w:numId w:val="25"/>
              </w:numPr>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At present, the commonly used treatment is coagulation factor therapy. Maintaining factor levels above a certain threshold reduces the severity of the disease phenotype.</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But long-term use can produce inhibitors. About 30% of patients with severe hemophilia A and 10% of patients with moderate hemophilia A will develop inhibitors of factor Ⅷ for long-term use, resulting in patients no longer effective for factor Ⅷ. Patients with high inhibitor titers require the use of extremely expensive bypass drugs (most commonly recombinant coagulation factors VIIa and aPCC) or ITT therapy (time-consuming and costly).</w:t>
            </w:r>
          </w:p>
          <w:p>
            <w:pPr>
              <w:pStyle w:val="16"/>
              <w:numPr>
                <w:ilvl w:val="0"/>
                <w:numId w:val="25"/>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Inhibitor hazards: The production of FⅧ inhibitor brings uncertain treatment outcomes to patients, directly leads to the reduction of treatment effectiveness of patients, and has certain hazards such as increased risk of intracranial hemorrhage, increased risk of joint hemorrhage, increased risk of disability, and increased risk of death.</w:t>
            </w:r>
          </w:p>
          <w:p>
            <w:pPr>
              <w:pStyle w:val="16"/>
              <w:numPr>
                <w:ilvl w:val="0"/>
                <w:numId w:val="25"/>
              </w:numPr>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Defects of coagulation factors:</w:t>
            </w:r>
          </w:p>
          <w:p>
            <w:pPr>
              <w:pStyle w:val="16"/>
              <w:numPr>
                <w:ilvl w:val="0"/>
                <w:numId w:val="26"/>
              </w:numPr>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Frequent intravenous injections increase the burden of treatment and increase patient anxiety and distress.</w:t>
            </w:r>
          </w:p>
          <w:p>
            <w:pPr>
              <w:pStyle w:val="16"/>
              <w:numPr>
                <w:ilvl w:val="0"/>
                <w:numId w:val="26"/>
              </w:numPr>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The half-life of the drug is short. The half-life of unmodified factor Ⅷ (including plasma source and recombinant) is about 12h, and PEGylation and Fc fusion can appropriately increase its half-life, but it is also less than 20h. As a result, the frequency of clinical drug injection is high (bleeding event treatment is generally once 12 hours, daily preventive treatment is generally 2-3 times a week), poor patient compliance and increased economic burden.</w:t>
            </w:r>
          </w:p>
          <w:p>
            <w:pPr>
              <w:pStyle w:val="16"/>
              <w:numPr>
                <w:ilvl w:val="0"/>
                <w:numId w:val="26"/>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Factors need to be lyophilized and stored at low temperature. Factor Ⅷ is unstable at room temperature and in solution state, so freeze-dried preparations need to be made and stored at low temperature, resulting in high costs of drug production, transportation, storage and use, increasing the complexity of use and the economic burden of patients.</w:t>
            </w:r>
          </w:p>
          <w:p>
            <w:pPr>
              <w:pStyle w:val="16"/>
              <w:spacing w:line="240" w:lineRule="auto"/>
              <w:rPr>
                <w:rFonts w:ascii="Times New Roman" w:hAnsi="Times New Roman" w:eastAsiaTheme="minorEastAsia"/>
                <w:kern w:val="2"/>
              </w:rPr>
            </w:pPr>
            <w:r>
              <w:rPr>
                <w:rFonts w:ascii="Times New Roman" w:hAnsi="Times New Roman" w:eastAsiaTheme="minorEastAsia"/>
                <w:kern w:val="2"/>
              </w:rPr>
              <w:t xml:space="preserve">d. </w:t>
            </w:r>
            <w:r>
              <w:rPr>
                <w:rFonts w:ascii="Times New Roman" w:hAnsi="Times New Roman" w:eastAsia="Segoe UI"/>
                <w:color w:val="101214"/>
                <w:kern w:val="2"/>
                <w:shd w:val="clear" w:color="auto" w:fill="FFFFFF"/>
              </w:rPr>
              <w:t>Route of administration patient compliance is poor. The bioavailability of subcutaneous injection of coagulation factors is low, and the current products are all intravenous injection, resulting in inconvenient medication and poor patient compliance.</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622"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kern w:val="2"/>
                <w:sz w:val="21"/>
                <w:szCs w:val="21"/>
              </w:rPr>
              <w:t>Comparative outcomes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2"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Comparative effectiveness</w:t>
            </w:r>
          </w:p>
        </w:tc>
        <w:tc>
          <w:tcPr>
            <w:tcW w:w="7563" w:type="dxa"/>
          </w:tcPr>
          <w:p>
            <w:pPr>
              <w:pStyle w:val="16"/>
              <w:spacing w:line="240" w:lineRule="auto"/>
              <w:rPr>
                <w:rFonts w:ascii="Times New Roman" w:hAnsi="Times New Roman" w:eastAsiaTheme="minorEastAsia"/>
                <w:b/>
                <w:bCs/>
                <w:color w:val="2A2B2E"/>
                <w:kern w:val="2"/>
                <w:shd w:val="clear" w:color="auto" w:fill="FFFFFF"/>
                <w:lang w:val="en-US"/>
              </w:rPr>
            </w:pPr>
            <w:r>
              <w:rPr>
                <w:rFonts w:ascii="Times New Roman" w:hAnsi="Times New Roman" w:eastAsia="Segoe UI"/>
                <w:b/>
                <w:bCs/>
                <w:color w:val="2A2B2E"/>
                <w:kern w:val="2"/>
                <w:shd w:val="clear" w:color="auto" w:fill="FFFFFF"/>
              </w:rPr>
              <w:t>Validity data</w:t>
            </w:r>
            <w:r>
              <w:rPr>
                <w:rFonts w:ascii="Times New Roman" w:hAnsi="Times New Roman" w:eastAsiaTheme="minorEastAsia"/>
                <w:b/>
                <w:bCs/>
                <w:color w:val="2A2B2E"/>
                <w:kern w:val="2"/>
                <w:shd w:val="clear" w:color="auto" w:fill="FFFFFF"/>
                <w:lang w:val="en-US"/>
              </w:rPr>
              <w:t>:</w:t>
            </w:r>
          </w:p>
          <w:p>
            <w:pPr>
              <w:pStyle w:val="16"/>
              <w:numPr>
                <w:ilvl w:val="0"/>
                <w:numId w:val="27"/>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Based on the HAVEN1 clinical trial</w:t>
            </w:r>
          </w:p>
          <w:p>
            <w:pPr>
              <w:pStyle w:val="16"/>
              <w:spacing w:line="240" w:lineRule="auto"/>
              <w:rPr>
                <w:rFonts w:ascii="Times New Roman" w:hAnsi="Times New Roman" w:eastAsia="Segoe UI"/>
                <w:color w:val="101214"/>
                <w:kern w:val="2"/>
                <w:shd w:val="clear" w:color="auto" w:fill="FFFFFF"/>
              </w:rPr>
            </w:pPr>
            <w:bookmarkStart w:id="58" w:name="OLE_LINK46"/>
            <w:r>
              <w:rPr>
                <w:rFonts w:ascii="Times New Roman" w:hAnsi="Times New Roman" w:eastAsia="Segoe UI"/>
                <w:color w:val="101214"/>
                <w:kern w:val="2"/>
                <w:shd w:val="clear" w:color="auto" w:fill="FFFFFF"/>
              </w:rPr>
              <w:t xml:space="preserve">Treatment plan: experimental group: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prevention treatment </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control group: FVIII preparation treatment</w:t>
            </w:r>
          </w:p>
          <w:bookmarkEnd w:id="58"/>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Inclusion criteria: adults and adolescents (≥12 years) with hemophilia A with inhibitors</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 xml:space="preserve">Efficacy indicators and results: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prophylaxis significantly reduced bleeding events in inhibitor patients (annualized bleeding rate ABR decreased by 87%, p &lt; 0.001; The proportion of patients with no bleeding was 62.9%); Prophylaxis with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was significantly better than that with bypass agents as needed or prophylaxis (ABR decreased by 79%, P=0.0003; The proportion of patients with zero bleeding was 70.8%)</w:t>
            </w:r>
          </w:p>
          <w:p>
            <w:pPr>
              <w:pStyle w:val="16"/>
              <w:numPr>
                <w:ilvl w:val="0"/>
                <w:numId w:val="27"/>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Based on the HAVEN2 clinical trial</w:t>
            </w:r>
          </w:p>
          <w:p>
            <w:pPr>
              <w:pStyle w:val="16"/>
              <w:spacing w:line="240" w:lineRule="auto"/>
              <w:rPr>
                <w:rFonts w:ascii="Times New Roman" w:hAnsi="Times New Roman" w:eastAsia="Segoe UI"/>
                <w:color w:val="101214"/>
                <w:kern w:val="2"/>
                <w:shd w:val="clear" w:color="auto" w:fill="FFFFFF"/>
              </w:rPr>
            </w:pPr>
            <w:bookmarkStart w:id="59" w:name="OLE_LINK48"/>
            <w:r>
              <w:rPr>
                <w:rFonts w:ascii="Times New Roman" w:hAnsi="Times New Roman" w:eastAsia="Segoe UI"/>
                <w:color w:val="101214"/>
                <w:kern w:val="2"/>
                <w:shd w:val="clear" w:color="auto" w:fill="FFFFFF"/>
              </w:rPr>
              <w:t xml:space="preserve">Treatment plan: experimental group: </w:t>
            </w:r>
            <w:bookmarkStart w:id="60" w:name="OLE_LINK47"/>
            <w:r>
              <w:rPr>
                <w:rFonts w:ascii="Times New Roman" w:hAnsi="Times New Roman" w:eastAsiaTheme="minorEastAsia"/>
                <w:kern w:val="2"/>
              </w:rPr>
              <w:t>Emicizumab</w:t>
            </w:r>
            <w:bookmarkEnd w:id="60"/>
            <w:r>
              <w:rPr>
                <w:rFonts w:ascii="Times New Roman" w:hAnsi="Times New Roman" w:eastAsia="Segoe UI"/>
                <w:color w:val="101214"/>
                <w:kern w:val="2"/>
                <w:shd w:val="clear" w:color="auto" w:fill="FFFFFF"/>
              </w:rPr>
              <w:t xml:space="preserve"> prevention treatment </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control group: FVIII preparation treatment</w:t>
            </w:r>
          </w:p>
          <w:bookmarkEnd w:id="59"/>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Inclusion criteria: children with hemophilia A and inhibitor</w:t>
            </w:r>
          </w:p>
          <w:p>
            <w:pPr>
              <w:pStyle w:val="16"/>
              <w:spacing w:line="240" w:lineRule="auto"/>
              <w:rPr>
                <w:rFonts w:ascii="Times New Roman" w:hAnsi="Times New Roman" w:eastAsiaTheme="minorEastAsia"/>
                <w:color w:val="101214"/>
                <w:kern w:val="2"/>
                <w:shd w:val="clear" w:color="auto" w:fill="FFFFFF"/>
                <w:lang w:val="en-US"/>
              </w:rPr>
            </w:pPr>
            <w:r>
              <w:rPr>
                <w:rFonts w:ascii="Times New Roman" w:hAnsi="Times New Roman" w:eastAsia="Segoe UI"/>
                <w:color w:val="101214"/>
                <w:kern w:val="2"/>
                <w:shd w:val="clear" w:color="auto" w:fill="FFFFFF"/>
              </w:rPr>
              <w:t xml:space="preserve">Efficacy indicators and results: In children with hemophilia A with inhibitors, treatment with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significantly reduced bleeding events in patients with inhibitors (mean annualized bleeding rate ABR 0.3, median annualized bleeding rate ABR 0.0; 76.9% of patients with no bleeding); The 2-week regimen (3mg/kg, Q2W) and 4-week regimen (6mg/kg, Q4W) also showed excellent treatment efficacy (mean annualized bleeding rate ABR was 0.2, median annualized bleeding rate ABR was 0.0, and the proportion of patients with no bleeding was 90.0% for Q2W; The average annualized bleeding rate ABR of Q4W was 2.2, and the median annualized bleeding rate ABR was 0.0. The proportion of patients with zero bleeding was 60.0%)</w:t>
            </w:r>
            <w:r>
              <w:rPr>
                <w:rFonts w:ascii="Times New Roman" w:hAnsi="Times New Roman" w:eastAsiaTheme="minorEastAsia"/>
                <w:color w:val="101214"/>
                <w:kern w:val="2"/>
                <w:shd w:val="clear" w:color="auto" w:fill="FFFFFF"/>
                <w:lang w:val="en-US"/>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rPr>
              <w:t xml:space="preserve">3. </w:t>
            </w:r>
            <w:r>
              <w:rPr>
                <w:rFonts w:ascii="Times New Roman" w:hAnsi="Times New Roman" w:eastAsia="Segoe UI"/>
                <w:color w:val="101214"/>
                <w:kern w:val="2"/>
                <w:shd w:val="clear" w:color="auto" w:fill="FFFFFF"/>
              </w:rPr>
              <w:t>Based on the HAVEN</w:t>
            </w:r>
            <w:r>
              <w:rPr>
                <w:rFonts w:ascii="Times New Roman" w:hAnsi="Times New Roman" w:eastAsiaTheme="minorEastAsia"/>
                <w:color w:val="101214"/>
                <w:kern w:val="2"/>
                <w:shd w:val="clear" w:color="auto" w:fill="FFFFFF"/>
                <w:lang w:val="en-US"/>
              </w:rPr>
              <w:t>3</w:t>
            </w:r>
            <w:r>
              <w:rPr>
                <w:rFonts w:ascii="Times New Roman" w:hAnsi="Times New Roman" w:eastAsia="Segoe UI"/>
                <w:color w:val="101214"/>
                <w:kern w:val="2"/>
                <w:shd w:val="clear" w:color="auto" w:fill="FFFFFF"/>
              </w:rPr>
              <w:t xml:space="preserve"> clinical trial</w:t>
            </w:r>
          </w:p>
          <w:p>
            <w:pPr>
              <w:pStyle w:val="16"/>
              <w:spacing w:line="240" w:lineRule="auto"/>
              <w:rPr>
                <w:rFonts w:ascii="Times New Roman" w:hAnsi="Times New Roman" w:eastAsia="Segoe UI"/>
                <w:color w:val="101214"/>
                <w:kern w:val="2"/>
                <w:shd w:val="clear" w:color="auto" w:fill="FFFFFF"/>
              </w:rPr>
            </w:pPr>
            <w:bookmarkStart w:id="61" w:name="OLE_LINK49"/>
            <w:r>
              <w:rPr>
                <w:rFonts w:ascii="Times New Roman" w:hAnsi="Times New Roman" w:eastAsia="Segoe UI"/>
                <w:color w:val="101214"/>
                <w:kern w:val="2"/>
                <w:shd w:val="clear" w:color="auto" w:fill="FFFFFF"/>
              </w:rPr>
              <w:t xml:space="preserve">Treatment plan: experimental group: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prevention treatment </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control group: FVIII preparation treatment</w:t>
            </w:r>
          </w:p>
          <w:bookmarkEnd w:id="61"/>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Inclusion criteria: adults and adolescents (≥12 years) with hemophilia A without inhibitor</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 xml:space="preserve">Efficacy indicators and results: Prophylaxis with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significantly reduced bleeding events (average annualized bleeding rate ABR decreased by 96% in patients with 1.5mg/kg QW and by 97% in patients with 3mg/kg Q2W). Bleeding events were significantly reduced with either weekly or 2-week dosing regimens (56% of patients in the QW group and 60% of patients in the Q2W group). Compared with FⅧ prophylaxis,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further reduced bleeding events (average annualized bleeding rate ABR decreased 68%, RR 0.32, p &lt; 0.0001).</w:t>
            </w:r>
          </w:p>
          <w:p>
            <w:pPr>
              <w:pStyle w:val="16"/>
              <w:spacing w:line="240" w:lineRule="auto"/>
              <w:rPr>
                <w:rFonts w:ascii="Times New Roman" w:hAnsi="Times New Roman" w:eastAsiaTheme="minorEastAsia"/>
                <w:kern w:val="2"/>
              </w:rPr>
            </w:pPr>
            <w:r>
              <w:rPr>
                <w:rFonts w:ascii="Times New Roman" w:hAnsi="Times New Roman" w:eastAsiaTheme="minorEastAsia"/>
                <w:kern w:val="2"/>
              </w:rPr>
              <w:t xml:space="preserve">4. </w:t>
            </w:r>
            <w:bookmarkStart w:id="62" w:name="OLE_LINK50"/>
            <w:r>
              <w:rPr>
                <w:rFonts w:ascii="Times New Roman" w:hAnsi="Times New Roman" w:eastAsia="Segoe UI"/>
                <w:color w:val="101214"/>
                <w:kern w:val="2"/>
                <w:shd w:val="clear" w:color="auto" w:fill="FFFFFF"/>
              </w:rPr>
              <w:t>Based on the HAVEN</w:t>
            </w:r>
            <w:r>
              <w:rPr>
                <w:rFonts w:ascii="Times New Roman" w:hAnsi="Times New Roman" w:eastAsiaTheme="minorEastAsia"/>
                <w:color w:val="101214"/>
                <w:kern w:val="2"/>
                <w:shd w:val="clear" w:color="auto" w:fill="FFFFFF"/>
                <w:lang w:val="en-US"/>
              </w:rPr>
              <w:t>5</w:t>
            </w:r>
            <w:r>
              <w:rPr>
                <w:rFonts w:ascii="Times New Roman" w:hAnsi="Times New Roman" w:eastAsia="Segoe UI"/>
                <w:color w:val="101214"/>
                <w:kern w:val="2"/>
                <w:shd w:val="clear" w:color="auto" w:fill="FFFFFF"/>
              </w:rPr>
              <w:t xml:space="preserve"> clinical trial</w:t>
            </w:r>
            <w:bookmarkEnd w:id="62"/>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 xml:space="preserve">Treatment plan: experimental group: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prevention treatment </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control group: FVIII preparation treatment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Inclusion criteria: Adults and adolescents (≥12 years) with or without inhibitor hemophilia Efficacy indicators and results: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prophylaxis significantly reduced bleeding events (average annualized bleeding rate ABR decreased by 96% in 1.5mg/kg QW group, p &lt; 0.0001; The average annualized bleeding rate ABR decreased by 96% in the 6mg/kg Q4W group, p &lt; 0.0001), and the bleeding events were significantly reduced in both weekly and 4-week dosing regimens (65.5% of patients in the QW group and 55.6% in the Q2W group).</w:t>
            </w:r>
          </w:p>
          <w:p>
            <w:pPr>
              <w:pStyle w:val="16"/>
              <w:spacing w:line="240" w:lineRule="auto"/>
              <w:rPr>
                <w:rFonts w:ascii="Times New Roman" w:hAnsi="Times New Roman" w:eastAsiaTheme="minorEastAsia"/>
                <w:kern w:val="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Comparative safety/tolerability</w:t>
            </w:r>
          </w:p>
        </w:tc>
        <w:tc>
          <w:tcPr>
            <w:tcW w:w="7563" w:type="dxa"/>
          </w:tcPr>
          <w:p>
            <w:pPr>
              <w:pStyle w:val="15"/>
              <w:rPr>
                <w:rFonts w:ascii="Times New Roman" w:hAnsi="Times New Roman" w:cs="Times New Roman"/>
                <w:szCs w:val="21"/>
              </w:rPr>
            </w:pPr>
            <w:r>
              <w:rPr>
                <w:rFonts w:ascii="Times New Roman" w:hAnsi="Times New Roman" w:cs="Times New Roman"/>
                <w:szCs w:val="21"/>
              </w:rPr>
              <w:t>Safety data：</w:t>
            </w:r>
          </w:p>
          <w:p>
            <w:pPr>
              <w:pStyle w:val="16"/>
              <w:numPr>
                <w:ilvl w:val="0"/>
                <w:numId w:val="28"/>
              </w:numPr>
              <w:spacing w:line="240" w:lineRule="auto"/>
              <w:rPr>
                <w:rFonts w:ascii="Times New Roman" w:hAnsi="Times New Roman" w:eastAsiaTheme="minorEastAsia"/>
                <w:kern w:val="2"/>
              </w:rPr>
            </w:pPr>
            <w:bookmarkStart w:id="63" w:name="OLE_LINK51"/>
            <w:r>
              <w:rPr>
                <w:rFonts w:ascii="Times New Roman" w:hAnsi="Times New Roman" w:eastAsia="Segoe UI"/>
                <w:color w:val="101214"/>
                <w:kern w:val="2"/>
                <w:shd w:val="clear" w:color="auto" w:fill="FFFFFF"/>
              </w:rPr>
              <w:t>Based on the HAVEN</w:t>
            </w:r>
            <w:r>
              <w:rPr>
                <w:rFonts w:ascii="Times New Roman" w:hAnsi="Times New Roman" w:eastAsiaTheme="minorEastAsia"/>
                <w:color w:val="101214"/>
                <w:kern w:val="2"/>
                <w:shd w:val="clear" w:color="auto" w:fill="FFFFFF"/>
                <w:lang w:val="en-US"/>
              </w:rPr>
              <w:t>1</w:t>
            </w:r>
            <w:r>
              <w:rPr>
                <w:rFonts w:ascii="Times New Roman" w:hAnsi="Times New Roman" w:eastAsia="Segoe UI"/>
                <w:color w:val="101214"/>
                <w:kern w:val="2"/>
                <w:shd w:val="clear" w:color="auto" w:fill="FFFFFF"/>
              </w:rPr>
              <w:t xml:space="preserve"> clinical trial</w:t>
            </w:r>
            <w:bookmarkEnd w:id="63"/>
            <w:r>
              <w:rPr>
                <w:rFonts w:ascii="Times New Roman" w:hAnsi="Times New Roman" w:eastAsiaTheme="minorEastAsia"/>
                <w:kern w:val="2"/>
              </w:rPr>
              <w:t>：</w:t>
            </w:r>
          </w:p>
          <w:p>
            <w:pPr>
              <w:pStyle w:val="16"/>
              <w:numPr>
                <w:ilvl w:val="0"/>
                <w:numId w:val="29"/>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198 adverse events were reported in 103 subjects receiving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prophylaxis. The most common adverse event was injection site reaction (15%), most of which was mild and recovered.</w:t>
            </w:r>
          </w:p>
          <w:p>
            <w:pPr>
              <w:pStyle w:val="16"/>
              <w:numPr>
                <w:ilvl w:val="0"/>
                <w:numId w:val="29"/>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A total of five patients reported TE/TMA. All events were due to combined aPCC use at a dose &gt; 100 U/kg/24h and continuous use for ≥24 hours. Improvement occurred shortly after discontinuation of aPCC. Two patients had transient TMA events and recovered shortly after discontinuation of aPCC.</w:t>
            </w:r>
          </w:p>
          <w:p>
            <w:pPr>
              <w:pStyle w:val="16"/>
              <w:numPr>
                <w:ilvl w:val="0"/>
                <w:numId w:val="29"/>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Severe AEs each included one event: iron deficiency anemia, sepsis, hemarthrosis, muscle bleeding, gastric ulcer bleeding, headache, and hematuria. The thrombotic event was skin necrosis/superficial thrombophlebitis in one patient and cavernous sinus thrombosis in another patient</w:t>
            </w:r>
            <w:r>
              <w:rPr>
                <w:rFonts w:ascii="Times New Roman" w:hAnsi="Times New Roman" w:eastAsiaTheme="minorEastAsia"/>
                <w:color w:val="101214"/>
                <w:kern w:val="2"/>
                <w:shd w:val="clear" w:color="auto" w:fill="FFFFFF"/>
                <w:lang w:val="en-US"/>
              </w:rPr>
              <w:t>.</w:t>
            </w:r>
          </w:p>
          <w:p>
            <w:pPr>
              <w:pStyle w:val="16"/>
              <w:numPr>
                <w:ilvl w:val="0"/>
                <w:numId w:val="28"/>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Based on the HAVEN</w:t>
            </w:r>
            <w:r>
              <w:rPr>
                <w:rFonts w:ascii="Times New Roman" w:hAnsi="Times New Roman" w:eastAsiaTheme="minorEastAsia"/>
                <w:color w:val="101214"/>
                <w:kern w:val="2"/>
                <w:shd w:val="clear" w:color="auto" w:fill="FFFFFF"/>
                <w:lang w:val="en-US"/>
              </w:rPr>
              <w:t>2</w:t>
            </w:r>
            <w:r>
              <w:rPr>
                <w:rFonts w:ascii="Times New Roman" w:hAnsi="Times New Roman" w:eastAsia="Segoe UI"/>
                <w:color w:val="101214"/>
                <w:kern w:val="2"/>
                <w:shd w:val="clear" w:color="auto" w:fill="FFFFFF"/>
              </w:rPr>
              <w:t xml:space="preserve"> clinical trial</w:t>
            </w:r>
            <w:r>
              <w:rPr>
                <w:rFonts w:ascii="Times New Roman" w:hAnsi="Times New Roman" w:eastAsiaTheme="minorEastAsia"/>
                <w:kern w:val="2"/>
              </w:rPr>
              <w:t>：</w:t>
            </w:r>
          </w:p>
          <w:p>
            <w:pPr>
              <w:pStyle w:val="16"/>
              <w:numPr>
                <w:ilvl w:val="0"/>
                <w:numId w:val="30"/>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The most common adverse events </w:t>
            </w:r>
            <w:r>
              <w:rPr>
                <w:rFonts w:ascii="Times New Roman" w:hAnsi="Times New Roman" w:eastAsiaTheme="minorEastAsia"/>
                <w:kern w:val="2"/>
                <w:lang w:val="en-US"/>
              </w:rPr>
              <w:t>(</w:t>
            </w:r>
            <w:r>
              <w:rPr>
                <w:rFonts w:ascii="Times New Roman" w:hAnsi="Times New Roman" w:eastAsia="Segoe UI"/>
                <w:color w:val="101214"/>
                <w:kern w:val="2"/>
              </w:rPr>
              <w:t>incidence</w:t>
            </w:r>
            <w:r>
              <w:rPr>
                <w:rFonts w:ascii="Times New Roman" w:hAnsi="Times New Roman" w:eastAsiaTheme="minorEastAsia"/>
                <w:kern w:val="2"/>
              </w:rPr>
              <w:t xml:space="preserve"> &gt; 10%</w:t>
            </w:r>
            <w:r>
              <w:rPr>
                <w:rFonts w:ascii="Times New Roman" w:hAnsi="Times New Roman" w:eastAsiaTheme="minorEastAsia"/>
                <w:kern w:val="2"/>
                <w:lang w:val="en-US"/>
              </w:rPr>
              <w:t>)</w:t>
            </w:r>
            <w:r>
              <w:rPr>
                <w:rFonts w:ascii="Times New Roman" w:hAnsi="Times New Roman" w:eastAsiaTheme="minorEastAsia"/>
                <w:kern w:val="2"/>
              </w:rPr>
              <w:t>:</w:t>
            </w:r>
            <w:r>
              <w:rPr>
                <w:rFonts w:ascii="Times New Roman" w:hAnsi="Times New Roman" w:eastAsiaTheme="minorEastAsia"/>
                <w:kern w:val="2"/>
                <w:lang w:val="en-US"/>
              </w:rPr>
              <w:t xml:space="preserve"> </w:t>
            </w:r>
            <w:r>
              <w:rPr>
                <w:rFonts w:ascii="Times New Roman" w:hAnsi="Times New Roman" w:eastAsia="Segoe UI"/>
                <w:color w:val="101214"/>
                <w:kern w:val="2"/>
                <w:shd w:val="clear" w:color="auto" w:fill="FFFFFF"/>
              </w:rPr>
              <w:t>Nasopharyngitis (37.5%), injection site reaction (ISR, 29.5%), fever (23.9%), upper respiratory tract infection (23.9%), cough (23.9%), diarrhea (15.9%), vomiting (15.9%), headache (14.8%), contusion (12.5%) and fall (12.5%) and influenza (10.2%).</w:t>
            </w:r>
          </w:p>
          <w:p>
            <w:pPr>
              <w:pStyle w:val="16"/>
              <w:numPr>
                <w:ilvl w:val="0"/>
                <w:numId w:val="30"/>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No patients discontinued treatment due to ISR</w:t>
            </w:r>
          </w:p>
          <w:p>
            <w:pPr>
              <w:pStyle w:val="16"/>
              <w:numPr>
                <w:ilvl w:val="0"/>
                <w:numId w:val="30"/>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Seventeen subjects developed 21 SAEs, of which only 1 was treatment-related (anti-drug antibodies with neutralizing potential).</w:t>
            </w:r>
          </w:p>
          <w:p>
            <w:pPr>
              <w:pStyle w:val="16"/>
              <w:numPr>
                <w:ilvl w:val="0"/>
                <w:numId w:val="30"/>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Four subjects tested positive for anti-drug antibodies (ADA). Among them, 2 cases were ADA with neutralizing potential, 1 case stopped treatment due to poor efficacy, and the other 1 case continued treatment with </w:t>
            </w:r>
            <w:bookmarkStart w:id="64" w:name="OLE_LINK52"/>
            <w:r>
              <w:rPr>
                <w:rFonts w:ascii="Times New Roman" w:hAnsi="Times New Roman" w:eastAsiaTheme="minorEastAsia"/>
                <w:kern w:val="2"/>
              </w:rPr>
              <w:t>Emicizumab</w:t>
            </w:r>
            <w:bookmarkEnd w:id="64"/>
            <w:r>
              <w:rPr>
                <w:rFonts w:ascii="Times New Roman" w:hAnsi="Times New Roman" w:eastAsia="Segoe UI"/>
                <w:color w:val="101214"/>
                <w:kern w:val="2"/>
                <w:shd w:val="clear" w:color="auto" w:fill="FFFFFF"/>
              </w:rPr>
              <w:t>.</w:t>
            </w:r>
          </w:p>
          <w:p>
            <w:pPr>
              <w:pStyle w:val="16"/>
              <w:numPr>
                <w:ilvl w:val="0"/>
                <w:numId w:val="28"/>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Based on the HAVEN</w:t>
            </w:r>
            <w:r>
              <w:rPr>
                <w:rFonts w:ascii="Times New Roman" w:hAnsi="Times New Roman" w:eastAsiaTheme="minorEastAsia"/>
                <w:color w:val="101214"/>
                <w:kern w:val="2"/>
                <w:shd w:val="clear" w:color="auto" w:fill="FFFFFF"/>
                <w:lang w:val="en-US"/>
              </w:rPr>
              <w:t>5</w:t>
            </w:r>
            <w:r>
              <w:rPr>
                <w:rFonts w:ascii="Times New Roman" w:hAnsi="Times New Roman" w:eastAsia="Segoe UI"/>
                <w:color w:val="101214"/>
                <w:kern w:val="2"/>
                <w:shd w:val="clear" w:color="auto" w:fill="FFFFFF"/>
              </w:rPr>
              <w:t xml:space="preserve"> clinical trial</w:t>
            </w:r>
            <w:r>
              <w:rPr>
                <w:rFonts w:ascii="Times New Roman" w:hAnsi="Times New Roman" w:eastAsiaTheme="minorEastAsia"/>
                <w:kern w:val="2"/>
              </w:rPr>
              <w:t>：</w:t>
            </w:r>
          </w:p>
          <w:p>
            <w:pPr>
              <w:pStyle w:val="16"/>
              <w:spacing w:line="240" w:lineRule="auto"/>
              <w:rPr>
                <w:rFonts w:ascii="Times New Roman" w:hAnsi="Times New Roman" w:eastAsiaTheme="minorEastAsia"/>
                <w:kern w:val="2"/>
              </w:rPr>
            </w:pPr>
            <w:r>
              <w:rPr>
                <w:rFonts w:ascii="Times New Roman" w:hAnsi="Times New Roman" w:eastAsiaTheme="minorEastAsia"/>
                <w:kern w:val="2"/>
              </w:rPr>
              <w:t>a.</w:t>
            </w:r>
            <w:r>
              <w:rPr>
                <w:rFonts w:ascii="Times New Roman" w:hAnsi="Times New Roman" w:eastAsiaTheme="minorEastAsia"/>
                <w:kern w:val="2"/>
                <w:lang w:val="en-US"/>
              </w:rPr>
              <w:t xml:space="preserve"> </w:t>
            </w:r>
            <w:r>
              <w:rPr>
                <w:rFonts w:ascii="Times New Roman" w:hAnsi="Times New Roman" w:eastAsia="Segoe UI"/>
                <w:color w:val="101214"/>
                <w:kern w:val="2"/>
                <w:shd w:val="clear" w:color="auto" w:fill="FFFFFF"/>
              </w:rPr>
              <w:t>The most common adverse events were upper respiratory tract infection and injection site reaction.</w:t>
            </w:r>
          </w:p>
          <w:p>
            <w:pPr>
              <w:pStyle w:val="16"/>
              <w:spacing w:line="240" w:lineRule="auto"/>
              <w:rPr>
                <w:rFonts w:ascii="Times New Roman" w:hAnsi="Times New Roman" w:eastAsiaTheme="minorEastAsia"/>
                <w:kern w:val="2"/>
              </w:rPr>
            </w:pPr>
            <w:r>
              <w:rPr>
                <w:rFonts w:ascii="Times New Roman" w:hAnsi="Times New Roman" w:eastAsiaTheme="minorEastAsia"/>
                <w:kern w:val="2"/>
              </w:rPr>
              <w:t>b.</w:t>
            </w:r>
            <w:r>
              <w:rPr>
                <w:rFonts w:ascii="Times New Roman" w:hAnsi="Times New Roman" w:eastAsiaTheme="minorEastAsia"/>
                <w:kern w:val="2"/>
                <w:lang w:val="en-US"/>
              </w:rPr>
              <w:t xml:space="preserve"> </w:t>
            </w:r>
            <w:r>
              <w:rPr>
                <w:rFonts w:ascii="Times New Roman" w:hAnsi="Times New Roman" w:eastAsia="Segoe UI"/>
                <w:color w:val="101214"/>
                <w:kern w:val="2"/>
                <w:shd w:val="clear" w:color="auto" w:fill="FFFFFF"/>
              </w:rPr>
              <w:t>No deaths, thrombotic microangiopathy, or thrombotic events were reported.</w:t>
            </w:r>
          </w:p>
          <w:p>
            <w:pPr>
              <w:pStyle w:val="16"/>
              <w:spacing w:line="240" w:lineRule="auto"/>
              <w:rPr>
                <w:rFonts w:ascii="Times New Roman" w:hAnsi="Times New Roman" w:eastAsiaTheme="minorEastAsia"/>
                <w:kern w:val="2"/>
              </w:rPr>
            </w:pPr>
            <w:r>
              <w:rPr>
                <w:rFonts w:ascii="Times New Roman" w:hAnsi="Times New Roman" w:eastAsiaTheme="minorEastAsia"/>
                <w:kern w:val="2"/>
              </w:rPr>
              <w:t>c.</w:t>
            </w:r>
            <w:r>
              <w:rPr>
                <w:rFonts w:ascii="Times New Roman" w:hAnsi="Times New Roman" w:eastAsiaTheme="minorEastAsia"/>
                <w:kern w:val="2"/>
                <w:lang w:val="en-US"/>
              </w:rPr>
              <w:t xml:space="preserve"> </w:t>
            </w:r>
            <w:r>
              <w:rPr>
                <w:rFonts w:ascii="Times New Roman" w:hAnsi="Times New Roman" w:eastAsia="Segoe UI"/>
                <w:color w:val="101214"/>
                <w:kern w:val="2"/>
                <w:shd w:val="clear" w:color="auto" w:fill="FFFFFF"/>
              </w:rPr>
              <w:t>Only 1 patient had ADA with neutralizing potential, and it was transient.</w:t>
            </w:r>
          </w:p>
          <w:p>
            <w:pPr>
              <w:pStyle w:val="16"/>
              <w:spacing w:line="240" w:lineRule="auto"/>
              <w:rPr>
                <w:rFonts w:ascii="Times New Roman" w:hAnsi="Times New Roman" w:eastAsia="Segoe UI"/>
                <w:b/>
                <w:bCs/>
                <w:color w:val="2A2B2E"/>
                <w:kern w:val="2"/>
                <w:shd w:val="clear" w:color="auto" w:fill="FFFFFF"/>
              </w:rPr>
            </w:pPr>
            <w:r>
              <w:rPr>
                <w:rFonts w:ascii="Times New Roman" w:hAnsi="Times New Roman" w:eastAsia="Segoe UI"/>
                <w:b/>
                <w:bCs/>
                <w:color w:val="2A2B2E"/>
                <w:kern w:val="2"/>
                <w:shd w:val="clear" w:color="auto" w:fill="FFFFFF"/>
              </w:rPr>
              <w:t>Long-term safety:</w:t>
            </w:r>
          </w:p>
          <w:p>
            <w:pPr>
              <w:pStyle w:val="15"/>
              <w:rPr>
                <w:rFonts w:ascii="Times New Roman" w:hAnsi="Times New Roman" w:eastAsia="Segoe UI" w:cs="Times New Roman"/>
                <w:b w:val="0"/>
                <w:bCs w:val="0"/>
                <w:color w:val="101214"/>
                <w:szCs w:val="21"/>
                <w:shd w:val="clear" w:color="auto" w:fill="FFFFFF"/>
              </w:rPr>
            </w:pPr>
            <w:r>
              <w:rPr>
                <w:rFonts w:ascii="Times New Roman" w:hAnsi="Times New Roman" w:eastAsia="Segoe UI" w:cs="Times New Roman"/>
                <w:b w:val="0"/>
                <w:bCs w:val="0"/>
                <w:color w:val="101214"/>
                <w:szCs w:val="21"/>
                <w:shd w:val="clear" w:color="auto" w:fill="FFFFFF"/>
              </w:rPr>
              <w:t>The long-term follow-up results of HAVEN 1-4 showed that the long-term safety of emicerizumab was good, with no unexpected safety signals and no treatment-related death observed.</w:t>
            </w:r>
          </w:p>
          <w:p>
            <w:pPr>
              <w:pStyle w:val="16"/>
              <w:spacing w:line="240" w:lineRule="auto"/>
              <w:rPr>
                <w:rFonts w:ascii="Times New Roman" w:hAnsi="Times New Roman" w:eastAsiaTheme="minorEastAsia"/>
                <w:b/>
                <w:bCs/>
                <w:color w:val="2A2B2E"/>
                <w:kern w:val="2"/>
                <w:shd w:val="clear" w:color="auto" w:fill="FFFFFF"/>
                <w:lang w:val="en-US"/>
              </w:rPr>
            </w:pPr>
            <w:r>
              <w:rPr>
                <w:rFonts w:ascii="Times New Roman" w:hAnsi="Times New Roman" w:eastAsia="Segoe UI"/>
                <w:b/>
                <w:bCs/>
                <w:color w:val="2A2B2E"/>
                <w:kern w:val="2"/>
                <w:shd w:val="clear" w:color="auto" w:fill="FFFFFF"/>
              </w:rPr>
              <w:t>Tolerance</w:t>
            </w:r>
            <w:r>
              <w:rPr>
                <w:rFonts w:ascii="Times New Roman" w:hAnsi="Times New Roman" w:eastAsiaTheme="minorEastAsia"/>
                <w:b/>
                <w:bCs/>
                <w:color w:val="2A2B2E"/>
                <w:kern w:val="2"/>
                <w:shd w:val="clear" w:color="auto" w:fill="FFFFFF"/>
                <w:lang w:val="en-US"/>
              </w:rPr>
              <w:t>:</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was well tolerated, and no anti-drug antibodies and emerging FVIII inhibitors were detected. </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Note: aPCC, activated prothrombin complex; TE, thrombotic event; TMA, thrombotic microangiopathy; ISR, injection site reaction</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Comparative patient-perceived health/patient-reported outcomes</w:t>
            </w:r>
          </w:p>
        </w:tc>
        <w:tc>
          <w:tcPr>
            <w:tcW w:w="7563" w:type="dxa"/>
          </w:tcPr>
          <w:p>
            <w:pPr>
              <w:pStyle w:val="15"/>
              <w:rPr>
                <w:rFonts w:ascii="Times New Roman" w:hAnsi="Times New Roman" w:cs="Times New Roman"/>
                <w:szCs w:val="21"/>
              </w:rPr>
            </w:pPr>
            <w:r>
              <w:rPr>
                <w:rFonts w:ascii="Times New Roman" w:hAnsi="Times New Roman" w:eastAsia="Segoe UI" w:cs="Times New Roman"/>
                <w:color w:val="101214"/>
                <w:szCs w:val="21"/>
                <w:shd w:val="clear" w:color="auto" w:fill="FFFFFF"/>
              </w:rPr>
              <w:t>Health-related improvements in quality of life</w:t>
            </w:r>
          </w:p>
          <w:p>
            <w:pPr>
              <w:pStyle w:val="16"/>
              <w:numPr>
                <w:ilvl w:val="0"/>
                <w:numId w:val="31"/>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Mean Haem‐A‐QoL and Haemo‐QoL SF (Adolescent scale) scores in both the "overall" and "physical health" domains improved from near-moderate to less than the lower third of the scale for the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prophylaxis group in HAVEN1, indicating significant improvements in quality of life associated with hemophilia.</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Improvements were observed in the "work and school" and "exercise and leisure" domains of the Haem‐A‐QoL and in the "exercise and school" domains of the Haemo‐QoL SF, as well as low rates of hospitalization and low rates of work/school absenteeism, indicating that emicerzil improved patients' ability to participate in activities of daily living.</w:t>
            </w:r>
          </w:p>
          <w:p>
            <w:pPr>
              <w:pStyle w:val="16"/>
              <w:numPr>
                <w:ilvl w:val="0"/>
                <w:numId w:val="31"/>
              </w:numPr>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Emicizumab also improved quality of life in the EQ‐5D‐5L IUS questionnaire, as shown in the figure below.</w:t>
            </w:r>
          </w:p>
          <w:p>
            <w:pPr>
              <w:pStyle w:val="16"/>
              <w:spacing w:line="240" w:lineRule="auto"/>
              <w:rPr>
                <w:rFonts w:ascii="Times New Roman" w:hAnsi="Times New Roman" w:eastAsiaTheme="minorEastAsia"/>
                <w:kern w:val="2"/>
              </w:rPr>
            </w:pPr>
            <w:r>
              <w:rPr>
                <w:rFonts w:ascii="Times New Roman" w:hAnsi="Times New Roman" w:eastAsiaTheme="minorEastAsia"/>
                <w:kern w:val="2"/>
              </w:rPr>
              <w:drawing>
                <wp:inline distT="0" distB="0" distL="114300" distR="114300">
                  <wp:extent cx="4133850" cy="3173730"/>
                  <wp:effectExtent l="0" t="0" r="11430" b="11430"/>
                  <wp:docPr id="3"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10;&#10;描述已自动生成"/>
                          <pic:cNvPicPr>
                            <a:picLocks noChangeAspect="1"/>
                          </pic:cNvPicPr>
                        </pic:nvPicPr>
                        <pic:blipFill>
                          <a:blip r:embed="rId9"/>
                          <a:stretch>
                            <a:fillRect/>
                          </a:stretch>
                        </pic:blipFill>
                        <pic:spPr>
                          <a:xfrm>
                            <a:off x="0" y="0"/>
                            <a:ext cx="4133850" cy="3173730"/>
                          </a:xfrm>
                          <a:prstGeom prst="rect">
                            <a:avLst/>
                          </a:prstGeom>
                        </pic:spPr>
                      </pic:pic>
                    </a:graphicData>
                  </a:graphic>
                </wp:inline>
              </w:drawing>
            </w:r>
          </w:p>
          <w:p>
            <w:pPr>
              <w:pStyle w:val="16"/>
              <w:spacing w:line="240" w:lineRule="auto"/>
              <w:rPr>
                <w:rFonts w:ascii="Times New Roman" w:hAnsi="Times New Roman" w:eastAsiaTheme="minorEastAsia"/>
                <w:b/>
                <w:bCs/>
                <w:color w:val="2A2B2E"/>
                <w:kern w:val="2"/>
                <w:shd w:val="clear" w:color="auto" w:fill="FFFFFF"/>
                <w:lang w:val="en-US"/>
              </w:rPr>
            </w:pPr>
            <w:r>
              <w:rPr>
                <w:rFonts w:ascii="Times New Roman" w:hAnsi="Times New Roman" w:eastAsia="Segoe UI"/>
                <w:b/>
                <w:bCs/>
                <w:color w:val="2A2B2E"/>
                <w:kern w:val="2"/>
                <w:shd w:val="clear" w:color="auto" w:fill="FFFFFF"/>
              </w:rPr>
              <w:t>Convenience</w:t>
            </w:r>
            <w:r>
              <w:rPr>
                <w:rFonts w:ascii="Times New Roman" w:hAnsi="Times New Roman" w:eastAsiaTheme="minorEastAsia"/>
                <w:b/>
                <w:bCs/>
                <w:color w:val="2A2B2E"/>
                <w:kern w:val="2"/>
                <w:shd w:val="clear" w:color="auto" w:fill="FFFFFF"/>
                <w:lang w:val="en-US"/>
              </w:rPr>
              <w:t>:</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Taking subcutaneous injection will benefit infants, children and the elderly with difficult venous access. It is convenient for patients to inject themselves.</w:t>
            </w:r>
          </w:p>
          <w:p>
            <w:pPr>
              <w:pStyle w:val="16"/>
              <w:spacing w:line="240" w:lineRule="auto"/>
              <w:rPr>
                <w:rFonts w:ascii="Times New Roman" w:hAnsi="Times New Roman" w:eastAsiaTheme="minorEastAsia"/>
                <w:kern w:val="2"/>
              </w:rPr>
            </w:pPr>
            <w:r>
              <w:rPr>
                <w:rFonts w:ascii="Times New Roman" w:hAnsi="Times New Roman" w:eastAsiaTheme="minorEastAsia"/>
                <w:b/>
                <w:bCs/>
                <w:color w:val="2A2B2E"/>
                <w:kern w:val="2"/>
                <w:shd w:val="clear" w:color="auto" w:fill="FFFFFF"/>
                <w:lang w:val="en-US"/>
              </w:rPr>
              <w:t>C</w:t>
            </w:r>
            <w:r>
              <w:rPr>
                <w:rFonts w:ascii="Times New Roman" w:hAnsi="Times New Roman" w:eastAsia="Segoe UI"/>
                <w:b/>
                <w:bCs/>
                <w:color w:val="2A2B2E"/>
                <w:kern w:val="2"/>
                <w:shd w:val="clear" w:color="auto" w:fill="FFFFFF"/>
              </w:rPr>
              <w:t>ompliance</w:t>
            </w:r>
            <w:r>
              <w:rPr>
                <w:rFonts w:ascii="Times New Roman" w:hAnsi="Times New Roman" w:eastAsiaTheme="minorEastAsia"/>
                <w:kern w:val="2"/>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Reduce the frequency of intravenous prophylaxis for hemophilia A patients. The traditional alternative treatment regimen for hemophilia A prophylaxis requires multiple weekly intravenous injections, whereas data from the emicizumab trial suggest that once weekly injections can have a good effect.</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9622"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rPr>
              <w:t>Type of benefit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Type of therapeutic benefit</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Therapeutic objectives of emicizumab: it is used for routine preventive treatment of hemophilia A patients to prevent or reduce the frequency of bleeding, promote the recovery of target joints, and improve the quality of life of hemophilia A patients.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9622" w:type="dxa"/>
            <w:gridSpan w:val="2"/>
          </w:tcPr>
          <w:p>
            <w:pPr>
              <w:pStyle w:val="16"/>
              <w:spacing w:line="240" w:lineRule="auto"/>
              <w:rPr>
                <w:rFonts w:ascii="Times New Roman" w:hAnsi="Times New Roman" w:eastAsiaTheme="minorEastAsia"/>
                <w:b/>
                <w:bCs/>
                <w:kern w:val="2"/>
              </w:rPr>
            </w:pPr>
            <w:r>
              <w:rPr>
                <w:rFonts w:ascii="Times New Roman" w:hAnsi="Times New Roman" w:eastAsiaTheme="minorEastAsia"/>
                <w:b/>
                <w:bCs/>
                <w:color w:val="000000"/>
                <w:kern w:val="2"/>
              </w:rPr>
              <w:t>Economic consequences of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Comparative cost consequences–cost of drugs</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Emicizumab is sold for 16,200 yuan for 60mg and 420 yuan for human coagulation factor VIII for 200IU. The average annual cost of drug administration was RMB7,404.8 for both treatments, and the average annual cost of testing was RMB1,060 for both treatments.</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The average weekly treatment cost of emicerizumab was 29750.05 yuan, and the average annual treatment cost was 1,547,002.4 yuan. The average weekly treatment cost of human coagulation factor VIII was 3058.4 yuan, and the average annual treatment cost was 159,036.8 yuan. The incremental cost of emicerizumab compared with human coagulation factor VIII was RMB 1,387,965.6 (the cost of administration and testing were from West China Hospital).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Comparative cost consequences–other medical costs</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is no evidence of a difference in other medical costs when emicizumab is compared with human coagulation factor VIII therapy.</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Comparative cost consequences–non-medical costs</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From a pharmacoeconomic evaluation based on a Chinese perspective</w:t>
            </w:r>
            <w:r>
              <w:rPr>
                <w:rFonts w:ascii="Times New Roman" w:hAnsi="Times New Roman" w:eastAsiaTheme="minorEastAsia"/>
                <w:kern w:val="2"/>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When compared with human coagulation factor treatment, patients with imecizumab required 465.47 hours of informal care time per year, and coagulation factor required 761.27 hours of informal care time.</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Based on China's per capita GDP of 80,976 yuan/year, emicerizumab saved caregivers 295.8 hours, equivalent to 2,734.33 yuan, in other non-medical costs compared with coagulation factors.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9622" w:type="dxa"/>
            <w:gridSpan w:val="2"/>
          </w:tcPr>
          <w:p>
            <w:pPr>
              <w:pStyle w:val="16"/>
              <w:spacing w:line="240" w:lineRule="auto"/>
              <w:rPr>
                <w:rFonts w:ascii="Times New Roman" w:hAnsi="Times New Roman" w:eastAsiaTheme="minorEastAsia"/>
                <w:b/>
                <w:bCs/>
                <w:kern w:val="2"/>
              </w:rPr>
            </w:pPr>
            <w:r>
              <w:rPr>
                <w:rFonts w:ascii="Times New Roman" w:hAnsi="Times New Roman" w:eastAsiaTheme="minorEastAsia"/>
                <w:b/>
                <w:bCs/>
                <w:color w:val="000000"/>
                <w:kern w:val="2"/>
              </w:rPr>
              <w:t>Evidence about drugs</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1"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Quality of evidence</w:t>
            </w:r>
          </w:p>
        </w:tc>
        <w:tc>
          <w:tcPr>
            <w:tcW w:w="7563" w:type="dxa"/>
          </w:tcPr>
          <w:p>
            <w:pPr>
              <w:pStyle w:val="15"/>
              <w:rPr>
                <w:rFonts w:ascii="Times New Roman" w:hAnsi="Times New Roman" w:cs="Times New Roman"/>
                <w:szCs w:val="21"/>
              </w:rPr>
            </w:pPr>
            <w:r>
              <w:rPr>
                <w:rFonts w:ascii="Times New Roman" w:hAnsi="Times New Roman" w:cs="Times New Roman"/>
                <w:szCs w:val="21"/>
              </w:rPr>
              <w:t>Clinical data：</w:t>
            </w:r>
          </w:p>
          <w:p>
            <w:pPr>
              <w:pStyle w:val="16"/>
              <w:spacing w:line="240" w:lineRule="auto"/>
              <w:rPr>
                <w:rFonts w:ascii="Times New Roman" w:hAnsi="Times New Roman" w:eastAsiaTheme="minorEastAsia"/>
                <w:color w:val="101214"/>
                <w:kern w:val="2"/>
                <w:shd w:val="clear" w:color="auto" w:fill="FFFFFF"/>
                <w:lang w:val="en-US"/>
              </w:rPr>
            </w:pPr>
            <w:r>
              <w:rPr>
                <w:rFonts w:ascii="Times New Roman" w:hAnsi="Times New Roman" w:eastAsia="Segoe UI"/>
                <w:color w:val="101214"/>
                <w:kern w:val="2"/>
                <w:shd w:val="clear" w:color="auto" w:fill="FFFFFF"/>
              </w:rPr>
              <w:t>Data from RCTS and non-randomized trials were used</w:t>
            </w:r>
            <w:r>
              <w:rPr>
                <w:rFonts w:ascii="Times New Roman" w:hAnsi="Times New Roman" w:eastAsiaTheme="minorEastAsia"/>
                <w:color w:val="101214"/>
                <w:kern w:val="2"/>
                <w:shd w:val="clear" w:color="auto" w:fill="FFFFFF"/>
                <w:lang w:val="en-US"/>
              </w:rPr>
              <w:t>.</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Overall, emicerizumab has had A positive clinical trial effect in the treatment of hemophilia A patients, preventing or reducing the frequency of bleeding episodes.</w:t>
            </w:r>
          </w:p>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 xml:space="preserve">However, thrombotic microangiopathy and thrombotic events were reported in 5 patients who received 24 hours or more of activated prothrombin complex (aPCC) treatment with an average cumulative dose </w:t>
            </w:r>
            <w:r>
              <w:rPr>
                <w:rFonts w:ascii="Times New Roman" w:hAnsi="Times New Roman" w:eastAsiaTheme="minorEastAsia"/>
                <w:kern w:val="2"/>
              </w:rPr>
              <w:t>&gt;</w:t>
            </w:r>
            <w:r>
              <w:rPr>
                <w:rFonts w:ascii="Times New Roman" w:hAnsi="Times New Roman" w:eastAsia="Segoe UI"/>
                <w:color w:val="101214"/>
                <w:kern w:val="2"/>
                <w:shd w:val="clear" w:color="auto" w:fill="FFFFFF"/>
              </w:rPr>
              <w:t>100 U/kg/24 hours during emicizumab prophylaxis.</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There is no clinical experience of prothrombin complex (PCC) treatment during emeserizumab prophylaxis</w:t>
            </w:r>
            <w:r>
              <w:rPr>
                <w:rFonts w:ascii="Times New Roman" w:hAnsi="Times New Roman" w:eastAsiaTheme="minorEastAsia"/>
                <w:color w:val="101214"/>
                <w:kern w:val="2"/>
                <w:shd w:val="clear" w:color="auto" w:fill="FFFFFF"/>
                <w:lang w:val="en-US"/>
              </w:rPr>
              <w:t>.</w:t>
            </w:r>
          </w:p>
          <w:p>
            <w:pPr>
              <w:pStyle w:val="15"/>
              <w:rPr>
                <w:rFonts w:ascii="Times New Roman" w:hAnsi="Times New Roman" w:cs="Times New Roman"/>
                <w:szCs w:val="21"/>
              </w:rPr>
            </w:pPr>
            <w:r>
              <w:rPr>
                <w:rFonts w:ascii="Times New Roman" w:hAnsi="Times New Roman" w:cs="Times New Roman"/>
                <w:szCs w:val="21"/>
              </w:rPr>
              <w:t>Economic evaluation：</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is no economic evaluation study of Chinese population.</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economic evaluation evidence in the above criteria comes from the research group's estimation of its economic results: the drug cost comes from the bid-winning price of Yaozhi.com; The average weight of the population in the economic evaluation may not be accurate enough, because hemophilia patients include both children and adults, so setting the average weight of China may cause errors in the results. Non-medical costs and other medical costs are not considered to be comparable due to the lack of data.</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1" w:hRule="atLeast"/>
        </w:trPr>
        <w:tc>
          <w:tcPr>
            <w:tcW w:w="2059" w:type="dxa"/>
            <w:tcBorders>
              <w:bottom w:val="single" w:color="000000" w:themeColor="text1" w:sz="12" w:space="0"/>
            </w:tcBorders>
          </w:tcPr>
          <w:p>
            <w:pPr>
              <w:pStyle w:val="19"/>
              <w:rPr>
                <w:rFonts w:ascii="Times New Roman" w:hAnsi="Times New Roman" w:cs="Times New Roman"/>
                <w:b w:val="0"/>
                <w:bCs/>
                <w:szCs w:val="21"/>
              </w:rPr>
            </w:pPr>
            <w:r>
              <w:rPr>
                <w:rFonts w:ascii="Times New Roman" w:hAnsi="Times New Roman" w:cs="Times New Roman"/>
                <w:b/>
                <w:bCs w:val="0"/>
                <w:szCs w:val="21"/>
              </w:rPr>
              <w:t>Expert consensus/clinical practice guidelines</w:t>
            </w:r>
          </w:p>
        </w:tc>
        <w:tc>
          <w:tcPr>
            <w:tcW w:w="7563" w:type="dxa"/>
            <w:tcBorders>
              <w:bottom w:val="single" w:color="000000" w:themeColor="text1" w:sz="12" w:space="0"/>
            </w:tcBorders>
          </w:tcPr>
          <w:p>
            <w:pPr>
              <w:pStyle w:val="15"/>
              <w:numPr>
                <w:ilvl w:val="0"/>
                <w:numId w:val="32"/>
              </w:numPr>
              <w:rPr>
                <w:rFonts w:ascii="Times New Roman" w:hAnsi="Times New Roman" w:cs="Times New Roman"/>
                <w:szCs w:val="21"/>
              </w:rPr>
            </w:pPr>
            <w:r>
              <w:rPr>
                <w:rFonts w:ascii="Times New Roman" w:hAnsi="Times New Roman" w:eastAsia="Segoe UI" w:cs="Times New Roman"/>
                <w:color w:val="101214"/>
                <w:szCs w:val="21"/>
                <w:shd w:val="clear" w:color="auto" w:fill="FFFFFF"/>
              </w:rPr>
              <w:t>Chinese guidelines for diagnosis and treatment of acquired hemophilia A (2021 edition)</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Reports of bisspecific antibody emicizumab for hemophilia A are gradually increasing. Because it takes several weeks for blood concentration to peak, it can only be used for the prevention of bleeding, not for the treatment of acute bleeding.</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In a study of 12 patients, the regimen used was 3 mg/kg subcutaneously once a week for two to three times, followed by 1.5 mg/kg every 3 weeks to prevent bleeding.</w:t>
            </w:r>
          </w:p>
          <w:p>
            <w:pPr>
              <w:pStyle w:val="15"/>
              <w:numPr>
                <w:ilvl w:val="0"/>
                <w:numId w:val="32"/>
              </w:numPr>
              <w:rPr>
                <w:rFonts w:ascii="Times New Roman" w:hAnsi="Times New Roman" w:cs="Times New Roman"/>
                <w:szCs w:val="21"/>
              </w:rPr>
            </w:pPr>
            <w:r>
              <w:rPr>
                <w:rFonts w:ascii="Times New Roman" w:hAnsi="Times New Roman" w:eastAsia="Segoe UI" w:cs="Times New Roman"/>
                <w:color w:val="101214"/>
                <w:szCs w:val="21"/>
                <w:shd w:val="clear" w:color="auto" w:fill="FFFFFF"/>
              </w:rPr>
              <w:t>Chinese guidelines for the treatment of hemophilia (2020 edition)</w:t>
            </w:r>
          </w:p>
          <w:p>
            <w:pPr>
              <w:pStyle w:val="15"/>
              <w:rPr>
                <w:rFonts w:ascii="Times New Roman" w:hAnsi="Times New Roman" w:eastAsia="Segoe UI" w:cs="Times New Roman"/>
                <w:b w:val="0"/>
                <w:bCs w:val="0"/>
                <w:color w:val="101214"/>
                <w:szCs w:val="21"/>
                <w:shd w:val="clear" w:color="auto" w:fill="FFFFFF"/>
              </w:rPr>
            </w:pPr>
            <w:r>
              <w:rPr>
                <w:rFonts w:ascii="Times New Roman" w:hAnsi="Times New Roman" w:eastAsia="Segoe UI" w:cs="Times New Roman"/>
                <w:b w:val="0"/>
                <w:bCs w:val="0"/>
                <w:color w:val="101214"/>
                <w:szCs w:val="21"/>
                <w:shd w:val="clear" w:color="auto" w:fill="FFFFFF"/>
              </w:rPr>
              <w:t>Emicizumab has been approved for routine preventive treatment of hemophilia A patients with FⅧ inhibitor in China. The recommended dosing regimen is a loading dose of 3 mg/kg once a week by subcutaneous injection for the first 4 weeks to quickly achieve the target blood concentration, and a maintenance dose of 1.5 mg/kg once a week from week 5.</w:t>
            </w:r>
          </w:p>
          <w:p>
            <w:pPr>
              <w:pStyle w:val="15"/>
              <w:numPr>
                <w:ilvl w:val="0"/>
                <w:numId w:val="32"/>
              </w:numPr>
              <w:rPr>
                <w:rFonts w:ascii="Times New Roman" w:hAnsi="Times New Roman" w:cs="Times New Roman"/>
                <w:szCs w:val="21"/>
              </w:rPr>
            </w:pPr>
            <w:r>
              <w:rPr>
                <w:rFonts w:ascii="Times New Roman" w:hAnsi="Times New Roman" w:eastAsia="Segoe UI" w:cs="Times New Roman"/>
                <w:color w:val="101214"/>
                <w:szCs w:val="21"/>
                <w:shd w:val="clear" w:color="auto" w:fill="FFFFFF"/>
              </w:rPr>
              <w:t>Diagnosis and treatment of Hemophilia in Children (2019 edition)</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Emicizumab is recommended for preventive therapy in children with hemophilia A with/without inhibitors. The specific application methods were as follows: loading dose administration period: 3 mg/kg body weight subcutaneously once a week from the first week to the fourth week; Maintenance dose administration period: starting from the 5th week, 1.5mg /kg body weight once a week. At present, 3 mg/kg body weight once every 2 weeks and 6mg/kg body weight once every 4 weeks are also approved in foreign countries.</w:t>
            </w:r>
            <w:r>
              <w:rPr>
                <w:rFonts w:ascii="Times New Roman" w:hAnsi="Times New Roman" w:eastAsiaTheme="minorEastAsia"/>
                <w:color w:val="101214"/>
                <w:kern w:val="2"/>
                <w:shd w:val="clear" w:color="auto" w:fill="FFFFFF"/>
                <w:lang w:val="en-US"/>
              </w:rPr>
              <w:t xml:space="preserve"> </w:t>
            </w:r>
            <w:r>
              <w:rPr>
                <w:rFonts w:ascii="Times New Roman" w:hAnsi="Times New Roman" w:eastAsia="Segoe UI"/>
                <w:color w:val="101214"/>
                <w:kern w:val="2"/>
                <w:shd w:val="clear" w:color="auto" w:fill="FFFFFF"/>
              </w:rPr>
              <w:t>It should be noted that if breakthrough bleeding occurs during the application of this drug, children with hemophilia A who are not accompanied by inhibitor can be treated with concentrated FⅧ preparation, while children with hemophilia A who are accompanied by inhibitor can only be treated with rFⅦa.</w:t>
            </w:r>
          </w:p>
          <w:p>
            <w:pPr>
              <w:pStyle w:val="15"/>
              <w:numPr>
                <w:ilvl w:val="0"/>
                <w:numId w:val="32"/>
              </w:numPr>
              <w:rPr>
                <w:rFonts w:ascii="Times New Roman" w:hAnsi="Times New Roman" w:cs="Times New Roman"/>
                <w:szCs w:val="21"/>
              </w:rPr>
            </w:pPr>
            <w:r>
              <w:rPr>
                <w:rFonts w:ascii="Times New Roman" w:hAnsi="Times New Roman" w:eastAsia="Segoe UI" w:cs="Times New Roman"/>
                <w:color w:val="101214"/>
                <w:szCs w:val="21"/>
                <w:shd w:val="clear" w:color="auto" w:fill="FFFFFF"/>
              </w:rPr>
              <w:t>Chinese Guidelines for the Diagnosis and Treatment of Rare Diseases (2019 edition)</w:t>
            </w:r>
            <w:r>
              <w:rPr>
                <w:rFonts w:ascii="Times New Roman" w:hAnsi="Times New Roman" w:cs="Times New Roman"/>
                <w:szCs w:val="21"/>
              </w:rPr>
              <w:t>：</w:t>
            </w:r>
          </w:p>
          <w:p>
            <w:pPr>
              <w:pStyle w:val="15"/>
              <w:rPr>
                <w:rFonts w:ascii="Times New Roman" w:hAnsi="Times New Roman" w:eastAsia="宋体" w:cs="Times New Roman"/>
                <w:b w:val="0"/>
                <w:bCs w:val="0"/>
                <w:color w:val="101214"/>
                <w:szCs w:val="21"/>
                <w:shd w:val="clear" w:color="auto" w:fill="FFFFFF"/>
              </w:rPr>
            </w:pPr>
            <w:r>
              <w:rPr>
                <w:rFonts w:ascii="Times New Roman" w:hAnsi="Times New Roman" w:eastAsia="Segoe UI" w:cs="Times New Roman"/>
                <w:b w:val="0"/>
                <w:bCs w:val="0"/>
                <w:color w:val="101214"/>
                <w:szCs w:val="21"/>
                <w:shd w:val="clear" w:color="auto" w:fill="FFFFFF"/>
              </w:rPr>
              <w:t>It has been approved for the preventive treatment of hemophilia A patients with FⅧ inhibitor</w:t>
            </w:r>
            <w:r>
              <w:rPr>
                <w:rFonts w:ascii="Times New Roman" w:hAnsi="Times New Roman" w:eastAsia="宋体" w:cs="Times New Roman"/>
                <w:b w:val="0"/>
                <w:bCs w:val="0"/>
                <w:color w:val="101214"/>
                <w:szCs w:val="21"/>
                <w:shd w:val="clear" w:color="auto" w:fill="FFFFFF"/>
              </w:rPr>
              <w:t>.</w:t>
            </w:r>
          </w:p>
          <w:p>
            <w:pPr>
              <w:pStyle w:val="15"/>
              <w:numPr>
                <w:ilvl w:val="0"/>
                <w:numId w:val="32"/>
              </w:numPr>
              <w:rPr>
                <w:rFonts w:ascii="Times New Roman" w:hAnsi="Times New Roman" w:cs="Times New Roman"/>
                <w:szCs w:val="21"/>
              </w:rPr>
            </w:pPr>
            <w:r>
              <w:rPr>
                <w:rFonts w:ascii="Times New Roman" w:hAnsi="Times New Roman" w:eastAsia="Segoe UI" w:cs="Times New Roman"/>
                <w:color w:val="101214"/>
                <w:szCs w:val="21"/>
                <w:shd w:val="clear" w:color="auto" w:fill="FFFFFF"/>
              </w:rPr>
              <w:t>The 2020WFH Guideline: Management of Hemophilia (3rd Edition)</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Emicizumab (Shu Youlile) is recommended for non-factor replacement therapy in hemophilia A. It is given subcutaneously once a week, and in some cases once every 2 or 4 weeks.</w:t>
            </w:r>
          </w:p>
        </w:tc>
      </w:tr>
    </w:tbl>
    <w:p>
      <w:pPr>
        <w:rPr>
          <w:rFonts w:ascii="Segoe UI" w:hAnsi="Segoe UI" w:eastAsia="Segoe UI" w:cs="Segoe UI"/>
          <w:color w:val="101214"/>
          <w:sz w:val="16"/>
          <w:szCs w:val="16"/>
          <w:shd w:val="clear" w:color="auto" w:fill="FFFFFF"/>
        </w:rPr>
      </w:pPr>
    </w:p>
    <w:p>
      <w:pPr>
        <w:rPr>
          <w:rFonts w:ascii="Segoe UI" w:hAnsi="Segoe UI" w:eastAsia="Segoe UI" w:cs="Segoe UI"/>
          <w:color w:val="101214"/>
          <w:sz w:val="16"/>
          <w:szCs w:val="16"/>
          <w:shd w:val="clear" w:color="auto" w:fill="FFFFFF"/>
        </w:rPr>
      </w:pPr>
    </w:p>
    <w:p>
      <w:pPr>
        <w:rPr>
          <w:rFonts w:ascii="Times New Roman" w:hAnsi="Times New Roman" w:cs="Times New Roman"/>
        </w:rPr>
      </w:pPr>
      <w:r>
        <w:rPr>
          <w:rFonts w:hint="eastAsia" w:ascii="Times New Roman" w:hAnsi="Times New Roman" w:cs="Times New Roman"/>
        </w:rPr>
        <w:t xml:space="preserve">Table 3.3.2 Qualitative criteria empirical data set of </w:t>
      </w:r>
      <w:bookmarkStart w:id="65" w:name="OLE_LINK53"/>
      <w:r>
        <w:rPr>
          <w:rFonts w:hint="eastAsia" w:ascii="Times New Roman" w:hAnsi="Times New Roman" w:cs="Times New Roman"/>
        </w:rPr>
        <w:t>Emicizumab</w:t>
      </w:r>
      <w:bookmarkEnd w:id="65"/>
    </w:p>
    <w:tbl>
      <w:tblPr>
        <w:tblStyle w:val="17"/>
        <w:tblW w:w="5000" w:type="pct"/>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92"/>
        <w:gridCol w:w="7294"/>
      </w:tblGrid>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059"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 xml:space="preserve">Criteria </w:t>
            </w:r>
          </w:p>
        </w:tc>
        <w:tc>
          <w:tcPr>
            <w:tcW w:w="7563" w:type="dxa"/>
            <w:tcBorders>
              <w:top w:val="single" w:color="000000" w:themeColor="text1" w:sz="12" w:space="0"/>
              <w:bottom w:val="single" w:color="000000" w:themeColor="text1" w:sz="8" w:space="0"/>
            </w:tcBorders>
            <w:vAlign w:val="center"/>
          </w:tcPr>
          <w:p>
            <w:pPr>
              <w:pStyle w:val="16"/>
              <w:spacing w:line="240" w:lineRule="auto"/>
              <w:rPr>
                <w:rFonts w:ascii="Times New Roman" w:hAnsi="Times New Roman" w:eastAsiaTheme="minorEastAsia"/>
                <w:b/>
                <w:bCs/>
                <w:kern w:val="2"/>
              </w:rPr>
            </w:pPr>
            <w:r>
              <w:rPr>
                <w:rFonts w:ascii="Times New Roman" w:hAnsi="Times New Roman" w:eastAsiaTheme="minorEastAsia"/>
                <w:b/>
                <w:bCs/>
                <w:kern w:val="2"/>
                <w:lang w:val="en-US"/>
              </w:rPr>
              <w:t>Empirical data</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9622" w:type="dxa"/>
            <w:gridSpan w:val="2"/>
            <w:tcBorders>
              <w:top w:val="single" w:color="000000" w:themeColor="text1" w:sz="8" w:space="0"/>
            </w:tcBorders>
          </w:tcPr>
          <w:p>
            <w:pPr>
              <w:pStyle w:val="18"/>
              <w:rPr>
                <w:rFonts w:ascii="Times New Roman" w:hAnsi="Times New Roman" w:cs="Times New Roman"/>
                <w:b/>
                <w:bCs/>
                <w:sz w:val="21"/>
                <w:szCs w:val="21"/>
              </w:rPr>
            </w:pPr>
            <w:r>
              <w:rPr>
                <w:rFonts w:ascii="Times New Roman" w:hAnsi="Times New Roman" w:cs="Times New Roman"/>
                <w:b w:val="0"/>
                <w:bCs w:val="0"/>
                <w:sz w:val="21"/>
                <w:szCs w:val="21"/>
              </w:rPr>
              <w:t>EVIDEM Qualitative Guidelines (textual tool)</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9622"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lang w:val="en-GB"/>
              </w:rPr>
              <w:t>Normative contextual criteria</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Mandate and scope of the healthcare system</w:t>
            </w:r>
          </w:p>
          <w:p>
            <w:pPr>
              <w:pStyle w:val="19"/>
              <w:rPr>
                <w:rFonts w:ascii="Times New Roman" w:hAnsi="Times New Roman" w:cs="Times New Roman"/>
                <w:b w:val="0"/>
                <w:bCs/>
                <w:szCs w:val="21"/>
              </w:rPr>
            </w:pPr>
          </w:p>
        </w:tc>
        <w:tc>
          <w:tcPr>
            <w:tcW w:w="7563" w:type="dxa"/>
          </w:tcPr>
          <w:p>
            <w:pPr>
              <w:pStyle w:val="16"/>
              <w:spacing w:line="240" w:lineRule="auto"/>
              <w:rPr>
                <w:rFonts w:ascii="Times New Roman" w:hAnsi="Times New Roman" w:eastAsiaTheme="minorEastAsia"/>
                <w:kern w:val="2"/>
              </w:rPr>
            </w:pPr>
            <w:bookmarkStart w:id="66" w:name="OLE_LINK54"/>
            <w:r>
              <w:rPr>
                <w:rFonts w:ascii="Times New Roman" w:hAnsi="Times New Roman" w:eastAsiaTheme="minorEastAsia"/>
                <w:kern w:val="2"/>
              </w:rPr>
              <w:t>Emicizumab</w:t>
            </w:r>
            <w:bookmarkEnd w:id="66"/>
            <w:r>
              <w:rPr>
                <w:rFonts w:ascii="Times New Roman" w:hAnsi="Times New Roman" w:eastAsia="Segoe UI"/>
                <w:color w:val="101214"/>
                <w:kern w:val="2"/>
                <w:shd w:val="clear" w:color="auto" w:fill="FFFFFF"/>
              </w:rPr>
              <w:t xml:space="preserve"> treats hemophilia A. Patients with the disease usually experience bleeding in the joints, muscles and deep tissues, as well as bleeding in the gastrointestinal tract, urinary tract, central nervous system and after tooth extraction. Therefore, the treatment of this drug conforms to the task and scope of the health system.</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Population priorities and access</w:t>
            </w:r>
          </w:p>
        </w:tc>
        <w:tc>
          <w:tcPr>
            <w:tcW w:w="7563" w:type="dxa"/>
          </w:tcPr>
          <w:p>
            <w:pPr>
              <w:pStyle w:val="16"/>
              <w:spacing w:line="240" w:lineRule="auto"/>
              <w:rPr>
                <w:rFonts w:ascii="Times New Roman" w:hAnsi="Times New Roman" w:eastAsiaTheme="minorEastAsia"/>
                <w:color w:val="101214"/>
                <w:kern w:val="2"/>
                <w:shd w:val="clear" w:color="auto" w:fill="FFFFFF"/>
                <w:lang w:val="en-US"/>
              </w:rPr>
            </w:pPr>
            <w:bookmarkStart w:id="67" w:name="OLE_LINK55"/>
            <w:r>
              <w:rPr>
                <w:rFonts w:ascii="Times New Roman" w:hAnsi="Times New Roman" w:eastAsiaTheme="minorEastAsia"/>
                <w:kern w:val="2"/>
              </w:rPr>
              <w:t>Emicizumab</w:t>
            </w:r>
            <w:bookmarkEnd w:id="67"/>
            <w:r>
              <w:rPr>
                <w:rFonts w:ascii="Times New Roman" w:hAnsi="Times New Roman" w:eastAsia="Segoe UI"/>
                <w:color w:val="101214"/>
                <w:kern w:val="2"/>
                <w:shd w:val="clear" w:color="auto" w:fill="FFFFFF"/>
              </w:rPr>
              <w:t xml:space="preserve"> treats hemophilia A, which, if repeated bleeding is left untreated, can lead to joint deformity and/or pseudotumor formation, which can be life-threatening in severe cases. And a birth to suffer from this disease, more children with hemophilia</w:t>
            </w:r>
            <w:r>
              <w:rPr>
                <w:rFonts w:ascii="Times New Roman" w:hAnsi="Times New Roman" w:eastAsiaTheme="minorEastAsia"/>
                <w:color w:val="101214"/>
                <w:kern w:val="2"/>
                <w:shd w:val="clear" w:color="auto" w:fill="FFFFFF"/>
                <w:lang w:val="en-US"/>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priority groups: children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Common goal and specific interests</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There are more reports of stress in patients with hemophilia. China News Network, Health Times and other media have reported many times.</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9622" w:type="dxa"/>
            <w:gridSpan w:val="2"/>
          </w:tcPr>
          <w:p>
            <w:pPr>
              <w:pStyle w:val="18"/>
              <w:rPr>
                <w:rFonts w:ascii="Times New Roman" w:hAnsi="Times New Roman" w:cs="Times New Roman"/>
                <w:b/>
                <w:bCs/>
                <w:sz w:val="21"/>
                <w:szCs w:val="21"/>
              </w:rPr>
            </w:pPr>
            <w:r>
              <w:rPr>
                <w:rFonts w:ascii="Times New Roman" w:hAnsi="Times New Roman" w:cs="Times New Roman" w:eastAsiaTheme="minorEastAsia"/>
                <w:b/>
                <w:bCs/>
                <w:sz w:val="21"/>
                <w:szCs w:val="21"/>
              </w:rPr>
              <w:t>Feasibility contextual criteria</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System capacity and appropriate use of the intervention</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 xml:space="preserve">The use of </w:t>
            </w: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requires the corresponding injection conditions provided by medical institutions. According to foreign experience, there are also cases of home injection.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Government objectives and policy priorities</w:t>
            </w:r>
          </w:p>
        </w:tc>
        <w:tc>
          <w:tcPr>
            <w:tcW w:w="7563" w:type="dxa"/>
          </w:tcPr>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In August 2019, the National Health Commission issued the Notice on Carrying out Medical Treatment and Security management of children's blood diseases and malignant Tumors, naming hemophilia as the first group of diseases for treatment and management.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In May 2019, the National Health Commission issued the Notice on the Special Treatment for Serious Diseases among the Rural Poor in 2019, further expanding the scope of diseases to include hemophilia in the special treatment for serious diseases among the rural poor.</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Aid program sustainability</w:t>
            </w:r>
          </w:p>
        </w:tc>
        <w:tc>
          <w:tcPr>
            <w:tcW w:w="7563" w:type="dxa"/>
          </w:tcPr>
          <w:p>
            <w:pPr>
              <w:pStyle w:val="16"/>
              <w:spacing w:line="240" w:lineRule="auto"/>
              <w:rPr>
                <w:rFonts w:ascii="Times New Roman" w:hAnsi="Times New Roman" w:eastAsiaTheme="minorEastAsia"/>
                <w:kern w:val="2"/>
                <w:lang w:val="en-US"/>
              </w:rPr>
            </w:pPr>
            <w:r>
              <w:rPr>
                <w:rFonts w:ascii="Times New Roman" w:hAnsi="Times New Roman" w:eastAsia="Segoe UI"/>
                <w:color w:val="101214"/>
                <w:kern w:val="2"/>
                <w:shd w:val="clear" w:color="auto" w:fill="FFFFFF"/>
              </w:rPr>
              <w:t>There are currently no charitable plans for the drug</w:t>
            </w:r>
            <w:r>
              <w:rPr>
                <w:rFonts w:ascii="Times New Roman" w:hAnsi="Times New Roman" w:eastAsiaTheme="minorEastAsia"/>
                <w:color w:val="101214"/>
                <w:kern w:val="2"/>
                <w:shd w:val="clear" w:color="auto" w:fill="FFFFFF"/>
                <w:lang w:val="en-US"/>
              </w:rPr>
              <w: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Technological innovation</w:t>
            </w:r>
          </w:p>
          <w:p>
            <w:pPr>
              <w:pStyle w:val="19"/>
              <w:rPr>
                <w:rFonts w:ascii="Times New Roman" w:hAnsi="Times New Roman" w:cs="Times New Roman"/>
                <w:b w:val="0"/>
                <w:bCs/>
                <w:szCs w:val="21"/>
              </w:rPr>
            </w:pPr>
          </w:p>
        </w:tc>
        <w:tc>
          <w:tcPr>
            <w:tcW w:w="7563" w:type="dxa"/>
          </w:tcPr>
          <w:p>
            <w:pPr>
              <w:pStyle w:val="16"/>
              <w:spacing w:line="240" w:lineRule="auto"/>
              <w:rPr>
                <w:rFonts w:ascii="Times New Roman" w:hAnsi="Times New Roman" w:eastAsiaTheme="minorEastAsia"/>
                <w:kern w:val="2"/>
              </w:rPr>
            </w:pPr>
            <w:r>
              <w:rPr>
                <w:rFonts w:ascii="Times New Roman" w:hAnsi="Times New Roman" w:eastAsiaTheme="minorEastAsia"/>
                <w:kern w:val="2"/>
              </w:rPr>
              <w:t>Emicizumab</w:t>
            </w:r>
            <w:r>
              <w:rPr>
                <w:rFonts w:ascii="Times New Roman" w:hAnsi="Times New Roman" w:eastAsia="Segoe UI"/>
                <w:color w:val="101214"/>
                <w:kern w:val="2"/>
                <w:shd w:val="clear" w:color="auto" w:fill="FFFFFF"/>
              </w:rPr>
              <w:t xml:space="preserve"> was first approved by the US FDA in November 2017 and launched in China at the end of 2018. Currently, there are no generic drugs.</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059" w:type="dxa"/>
          </w:tcPr>
          <w:p>
            <w:pPr>
              <w:pStyle w:val="19"/>
              <w:rPr>
                <w:rFonts w:ascii="Times New Roman" w:hAnsi="Times New Roman" w:cs="Times New Roman"/>
                <w:b w:val="0"/>
                <w:bCs/>
                <w:szCs w:val="21"/>
              </w:rPr>
            </w:pPr>
            <w:r>
              <w:rPr>
                <w:rFonts w:ascii="Times New Roman" w:hAnsi="Times New Roman" w:cs="Times New Roman"/>
                <w:b/>
                <w:bCs w:val="0"/>
                <w:szCs w:val="21"/>
              </w:rPr>
              <w:t>Affordability of medical insurance funds</w:t>
            </w:r>
          </w:p>
        </w:tc>
        <w:tc>
          <w:tcPr>
            <w:tcW w:w="7563" w:type="dxa"/>
          </w:tcPr>
          <w:p>
            <w:pPr>
              <w:pStyle w:val="15"/>
              <w:rPr>
                <w:rFonts w:ascii="Times New Roman" w:hAnsi="Times New Roman" w:cs="Times New Roman"/>
                <w:szCs w:val="21"/>
              </w:rPr>
            </w:pPr>
            <w:r>
              <w:rPr>
                <w:rFonts w:ascii="Times New Roman" w:hAnsi="Times New Roman" w:eastAsia="Segoe UI" w:cs="Times New Roman"/>
                <w:color w:val="2A2B2E"/>
                <w:szCs w:val="21"/>
                <w:shd w:val="clear" w:color="auto" w:fill="FFFFFF"/>
              </w:rPr>
              <w:t>Budget impact analysis</w:t>
            </w:r>
            <w:r>
              <w:rPr>
                <w:rFonts w:ascii="Times New Roman" w:hAnsi="Times New Roman" w:cs="Times New Roman"/>
                <w:szCs w:val="21"/>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research group calculated the budget impact of the inclusion of emicizumab in the national medical insurance catalog (negotiation category B) : in 2025, it will lead to an increase of 1.25664 billion yuan in the national medical insurance fund expenditure, accounting for 0.0600% of the total medical insurance. The details are as follows:</w:t>
            </w:r>
          </w:p>
          <w:p>
            <w:pPr>
              <w:pStyle w:val="16"/>
              <w:spacing w:line="240" w:lineRule="auto"/>
              <w:rPr>
                <w:rFonts w:ascii="Times New Roman" w:hAnsi="Times New Roman" w:eastAsia="Segoe UI"/>
                <w:color w:val="101214"/>
                <w:kern w:val="2"/>
                <w:shd w:val="clear" w:color="auto" w:fill="FFFFFF"/>
              </w:rPr>
            </w:pPr>
            <w:bookmarkStart w:id="68" w:name="OLE_LINK56"/>
            <w:r>
              <w:rPr>
                <w:rFonts w:ascii="Times New Roman" w:hAnsi="Times New Roman" w:eastAsia="Segoe UI"/>
                <w:color w:val="101214"/>
                <w:kern w:val="2"/>
                <w:shd w:val="clear" w:color="auto" w:fill="FFFFFF"/>
              </w:rPr>
              <w:t>Scenario</w:t>
            </w:r>
            <w:bookmarkEnd w:id="68"/>
            <w:r>
              <w:rPr>
                <w:rFonts w:ascii="Times New Roman" w:hAnsi="Times New Roman" w:eastAsia="Segoe UI"/>
                <w:color w:val="101214"/>
                <w:kern w:val="2"/>
                <w:shd w:val="clear" w:color="auto" w:fill="FFFFFF"/>
              </w:rPr>
              <w:t>: Three years after the entry of emeserzide single card into medical insurance (officially entered in 2023), its competing products include recombinant human coagulation factor Ⅷ for injection, human coagulation factor Ⅷ for injection, recombinant human coagulation factor Ⅶ for injection and human prothrombin complex, which have been listed in the national class B, class A, Class B and class B medical insurance catalog respectively.</w:t>
            </w: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 xml:space="preserve">Assumptions and key data: After the drug is included in </w:t>
            </w:r>
            <w:r>
              <w:rPr>
                <w:rFonts w:ascii="Times New Roman" w:hAnsi="Times New Roman" w:eastAsiaTheme="minorEastAsia"/>
                <w:color w:val="101214"/>
                <w:kern w:val="2"/>
                <w:shd w:val="clear" w:color="auto" w:fill="FFFFFF"/>
                <w:lang w:val="en-US"/>
              </w:rPr>
              <w:t>m</w:t>
            </w:r>
            <w:r>
              <w:rPr>
                <w:rFonts w:ascii="Times New Roman" w:hAnsi="Times New Roman" w:eastAsia="Segoe UI"/>
                <w:color w:val="101214"/>
                <w:kern w:val="2"/>
                <w:shd w:val="clear" w:color="auto" w:fill="FFFFFF"/>
              </w:rPr>
              <w:t>edical insurance, the sales market share increases by 700% in the first year (refer to IQVIA's post-Medicare market change forecast for nosinasant) and remains stable thereafter. Overall market sales are growing at a rate of 37% per year (China rare disease drug market growth rate forecast).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total amount of medical insurance is 2,094.9 billion yuan of China's total medical insurance in 2020, which is assumed to remain unchanged in the next five years. Referring to other budget impact analysis studies, in this study, the reimbursement ratio of category A is set at 100% and category B is set at 70%.</w:t>
            </w:r>
          </w:p>
          <w:tbl>
            <w:tblPr>
              <w:tblStyle w:val="10"/>
              <w:tblW w:w="7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145"/>
              <w:gridCol w:w="1193"/>
              <w:gridCol w:w="1161"/>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5" w:type="dxa"/>
                  <w:gridSpan w:val="5"/>
                  <w:tcBorders>
                    <w:top w:val="single" w:color="auto" w:sz="4" w:space="0"/>
                    <w:left w:val="nil"/>
                    <w:bottom w:val="single" w:color="auto" w:sz="4" w:space="0"/>
                    <w:right w:val="nil"/>
                  </w:tcBorders>
                </w:tcPr>
                <w:p>
                  <w:pPr>
                    <w:pStyle w:val="16"/>
                    <w:spacing w:line="240" w:lineRule="auto"/>
                    <w:rPr>
                      <w:rFonts w:ascii="Times New Roman" w:hAnsi="Times New Roman"/>
                    </w:rPr>
                  </w:pPr>
                  <w:r>
                    <w:rPr>
                      <w:rFonts w:ascii="Times New Roman" w:hAnsi="Times New Roman" w:eastAsia="Segoe UI"/>
                      <w:color w:val="101214"/>
                      <w:shd w:val="clear" w:color="auto" w:fill="FFFFFF"/>
                    </w:rPr>
                    <w:t>Scenario</w:t>
                  </w:r>
                  <w:r>
                    <w:rPr>
                      <w:rFonts w:ascii="Times New Roman" w:hAnsi="Times New Roman"/>
                      <w:color w:val="101214"/>
                      <w:shd w:val="clear" w:color="auto" w:fill="FFFFFF"/>
                      <w:lang w:val="en-US"/>
                    </w:rPr>
                    <w:t xml:space="preserve"> 1</w:t>
                  </w:r>
                  <w:r>
                    <w:rPr>
                      <w:rFonts w:ascii="Times New Roman" w:hAnsi="Times New Roman"/>
                    </w:rPr>
                    <w:t>：</w:t>
                  </w:r>
                  <w:r>
                    <w:rPr>
                      <w:rFonts w:ascii="Times New Roman" w:hAnsi="Times New Roman" w:eastAsia="Segoe UI"/>
                      <w:color w:val="101214"/>
                      <w:shd w:val="clear" w:color="auto" w:fill="FFFFFF"/>
                    </w:rPr>
                    <w:t xml:space="preserve">Emicizumab is not covered by </w:t>
                  </w:r>
                  <w:r>
                    <w:rPr>
                      <w:rFonts w:ascii="Times New Roman" w:hAnsi="Times New Roman"/>
                      <w:color w:val="101214"/>
                      <w:shd w:val="clear" w:color="auto" w:fill="FFFFFF"/>
                      <w:lang w:val="en-US"/>
                    </w:rPr>
                    <w:t xml:space="preserve">medical </w:t>
                  </w:r>
                  <w:r>
                    <w:rPr>
                      <w:rFonts w:ascii="Times New Roman" w:hAnsi="Times New Roman" w:eastAsia="Segoe UI"/>
                      <w:color w:val="101214"/>
                      <w:shd w:val="clear" w:color="auto" w:fill="FFFFFF"/>
                    </w:rPr>
                    <w:t>insurance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tcBorders>
                    <w:top w:val="single" w:color="auto" w:sz="4" w:space="0"/>
                    <w:left w:val="nil"/>
                    <w:bottom w:val="nil"/>
                    <w:right w:val="nil"/>
                  </w:tcBorders>
                </w:tcPr>
                <w:p>
                  <w:pPr>
                    <w:pStyle w:val="16"/>
                    <w:spacing w:line="240" w:lineRule="auto"/>
                    <w:rPr>
                      <w:rFonts w:ascii="Times New Roman" w:hAnsi="Times New Roman"/>
                    </w:rPr>
                  </w:pPr>
                </w:p>
              </w:tc>
              <w:tc>
                <w:tcPr>
                  <w:tcW w:w="1145" w:type="dxa"/>
                  <w:tcBorders>
                    <w:top w:val="single" w:color="auto" w:sz="4" w:space="0"/>
                    <w:left w:val="nil"/>
                    <w:bottom w:val="nil"/>
                    <w:right w:val="nil"/>
                  </w:tcBorders>
                  <w:vAlign w:val="center"/>
                </w:tcPr>
                <w:p>
                  <w:pPr>
                    <w:pStyle w:val="16"/>
                    <w:spacing w:line="240" w:lineRule="auto"/>
                    <w:rPr>
                      <w:rFonts w:ascii="Times New Roman" w:hAnsi="Times New Roman"/>
                    </w:rPr>
                  </w:pPr>
                  <w:r>
                    <w:rPr>
                      <w:rFonts w:ascii="Times New Roman" w:hAnsi="Times New Roman"/>
                    </w:rPr>
                    <w:t>2022</w:t>
                  </w:r>
                </w:p>
              </w:tc>
              <w:tc>
                <w:tcPr>
                  <w:tcW w:w="1193" w:type="dxa"/>
                  <w:tcBorders>
                    <w:top w:val="single" w:color="auto" w:sz="4" w:space="0"/>
                    <w:left w:val="nil"/>
                    <w:bottom w:val="nil"/>
                    <w:right w:val="nil"/>
                  </w:tcBorders>
                </w:tcPr>
                <w:p>
                  <w:pPr>
                    <w:pStyle w:val="16"/>
                    <w:spacing w:line="240" w:lineRule="auto"/>
                    <w:rPr>
                      <w:rFonts w:ascii="Times New Roman" w:hAnsi="Times New Roman"/>
                    </w:rPr>
                  </w:pPr>
                  <w:r>
                    <w:rPr>
                      <w:rFonts w:ascii="Times New Roman" w:hAnsi="Times New Roman"/>
                    </w:rPr>
                    <w:t>2023</w:t>
                  </w:r>
                </w:p>
              </w:tc>
              <w:tc>
                <w:tcPr>
                  <w:tcW w:w="1161" w:type="dxa"/>
                  <w:tcBorders>
                    <w:top w:val="single" w:color="auto" w:sz="4" w:space="0"/>
                    <w:left w:val="nil"/>
                    <w:bottom w:val="nil"/>
                    <w:right w:val="nil"/>
                  </w:tcBorders>
                </w:tcPr>
                <w:p>
                  <w:pPr>
                    <w:pStyle w:val="16"/>
                    <w:spacing w:line="240" w:lineRule="auto"/>
                    <w:rPr>
                      <w:rFonts w:ascii="Times New Roman" w:hAnsi="Times New Roman"/>
                    </w:rPr>
                  </w:pPr>
                  <w:r>
                    <w:rPr>
                      <w:rFonts w:ascii="Times New Roman" w:hAnsi="Times New Roman"/>
                    </w:rPr>
                    <w:t>2024</w:t>
                  </w:r>
                </w:p>
              </w:tc>
              <w:tc>
                <w:tcPr>
                  <w:tcW w:w="1186" w:type="dxa"/>
                  <w:tcBorders>
                    <w:top w:val="single" w:color="auto" w:sz="4" w:space="0"/>
                    <w:left w:val="nil"/>
                    <w:bottom w:val="nil"/>
                    <w:right w:val="nil"/>
                  </w:tcBorders>
                </w:tcPr>
                <w:p>
                  <w:pPr>
                    <w:pStyle w:val="16"/>
                    <w:spacing w:line="240" w:lineRule="auto"/>
                    <w:rPr>
                      <w:rFonts w:ascii="Times New Roman" w:hAnsi="Times New Roman"/>
                    </w:rPr>
                  </w:pPr>
                  <w:r>
                    <w:rPr>
                      <w:rFonts w:ascii="Times New Roman" w:hAnsi="Times New Roman"/>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tcBorders>
                    <w:top w:val="nil"/>
                    <w:left w:val="nil"/>
                    <w:bottom w:val="single" w:color="000000" w:sz="4" w:space="0"/>
                    <w:right w:val="nil"/>
                  </w:tcBorders>
                </w:tcPr>
                <w:p>
                  <w:pPr>
                    <w:pStyle w:val="16"/>
                    <w:spacing w:line="240" w:lineRule="auto"/>
                    <w:rPr>
                      <w:rFonts w:ascii="Times New Roman" w:hAnsi="Times New Roman"/>
                    </w:rPr>
                  </w:pPr>
                  <w:bookmarkStart w:id="69" w:name="OLE_LINK57"/>
                  <w:r>
                    <w:rPr>
                      <w:rFonts w:ascii="Times New Roman" w:hAnsi="Times New Roman" w:eastAsia="Segoe UI"/>
                      <w:color w:val="2A2B2E"/>
                      <w:shd w:val="clear" w:color="auto" w:fill="FFFFFF"/>
                    </w:rPr>
                    <w:t>Medical insurance expenditure (100 million yuan)</w:t>
                  </w:r>
                  <w:bookmarkEnd w:id="69"/>
                </w:p>
              </w:tc>
              <w:tc>
                <w:tcPr>
                  <w:tcW w:w="1145" w:type="dxa"/>
                  <w:tcBorders>
                    <w:top w:val="nil"/>
                    <w:left w:val="nil"/>
                    <w:bottom w:val="single" w:color="000000" w:sz="4" w:space="0"/>
                    <w:right w:val="nil"/>
                  </w:tcBorders>
                  <w:vAlign w:val="center"/>
                </w:tcPr>
                <w:p>
                  <w:pPr>
                    <w:pStyle w:val="16"/>
                    <w:spacing w:line="240" w:lineRule="auto"/>
                    <w:rPr>
                      <w:rFonts w:ascii="Times New Roman" w:hAnsi="Times New Roman"/>
                    </w:rPr>
                  </w:pPr>
                  <w:r>
                    <w:rPr>
                      <w:rFonts w:ascii="Times New Roman" w:hAnsi="Times New Roman"/>
                    </w:rPr>
                    <w:t>18.6517</w:t>
                  </w:r>
                </w:p>
              </w:tc>
              <w:tc>
                <w:tcPr>
                  <w:tcW w:w="1193" w:type="dxa"/>
                  <w:tcBorders>
                    <w:top w:val="nil"/>
                    <w:left w:val="nil"/>
                    <w:bottom w:val="single" w:color="000000" w:sz="4" w:space="0"/>
                    <w:right w:val="nil"/>
                  </w:tcBorders>
                  <w:vAlign w:val="center"/>
                </w:tcPr>
                <w:p>
                  <w:pPr>
                    <w:pStyle w:val="16"/>
                    <w:spacing w:line="240" w:lineRule="auto"/>
                    <w:rPr>
                      <w:rFonts w:ascii="Times New Roman" w:hAnsi="Times New Roman"/>
                    </w:rPr>
                  </w:pPr>
                  <w:r>
                    <w:rPr>
                      <w:rFonts w:ascii="Times New Roman" w:hAnsi="Times New Roman"/>
                    </w:rPr>
                    <w:t>25.5528</w:t>
                  </w:r>
                </w:p>
              </w:tc>
              <w:tc>
                <w:tcPr>
                  <w:tcW w:w="1161" w:type="dxa"/>
                  <w:tcBorders>
                    <w:top w:val="nil"/>
                    <w:left w:val="nil"/>
                    <w:bottom w:val="single" w:color="000000" w:sz="4" w:space="0"/>
                    <w:right w:val="nil"/>
                  </w:tcBorders>
                  <w:vAlign w:val="center"/>
                </w:tcPr>
                <w:p>
                  <w:pPr>
                    <w:pStyle w:val="16"/>
                    <w:spacing w:line="240" w:lineRule="auto"/>
                    <w:rPr>
                      <w:rFonts w:ascii="Times New Roman" w:hAnsi="Times New Roman"/>
                    </w:rPr>
                  </w:pPr>
                  <w:r>
                    <w:rPr>
                      <w:rFonts w:ascii="Times New Roman" w:hAnsi="Times New Roman"/>
                    </w:rPr>
                    <w:t>35.0073</w:t>
                  </w:r>
                </w:p>
              </w:tc>
              <w:tc>
                <w:tcPr>
                  <w:tcW w:w="1186" w:type="dxa"/>
                  <w:tcBorders>
                    <w:top w:val="nil"/>
                    <w:left w:val="nil"/>
                    <w:bottom w:val="single" w:color="000000" w:sz="4" w:space="0"/>
                    <w:right w:val="nil"/>
                  </w:tcBorders>
                  <w:vAlign w:val="center"/>
                </w:tcPr>
                <w:p>
                  <w:pPr>
                    <w:pStyle w:val="16"/>
                    <w:spacing w:line="240" w:lineRule="auto"/>
                    <w:rPr>
                      <w:rFonts w:ascii="Times New Roman" w:hAnsi="Times New Roman"/>
                    </w:rPr>
                  </w:pPr>
                  <w:r>
                    <w:rPr>
                      <w:rFonts w:ascii="Times New Roman" w:hAnsi="Times New Roman"/>
                    </w:rPr>
                    <w:t>47.9600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5" w:type="dxa"/>
                  <w:gridSpan w:val="5"/>
                  <w:tcBorders>
                    <w:top w:val="single" w:color="000000" w:sz="4" w:space="0"/>
                    <w:left w:val="nil"/>
                    <w:bottom w:val="single" w:color="000000" w:sz="4" w:space="0"/>
                    <w:right w:val="nil"/>
                  </w:tcBorders>
                </w:tcPr>
                <w:p>
                  <w:pPr>
                    <w:pStyle w:val="16"/>
                    <w:spacing w:line="240" w:lineRule="auto"/>
                    <w:rPr>
                      <w:rFonts w:ascii="Times New Roman" w:hAnsi="Times New Roman"/>
                    </w:rPr>
                  </w:pPr>
                  <w:r>
                    <w:rPr>
                      <w:rFonts w:ascii="Times New Roman" w:hAnsi="Times New Roman" w:eastAsia="Segoe UI"/>
                      <w:color w:val="101214"/>
                      <w:shd w:val="clear" w:color="auto" w:fill="FFFFFF"/>
                    </w:rPr>
                    <w:t>Scenario</w:t>
                  </w:r>
                  <w:r>
                    <w:rPr>
                      <w:rFonts w:ascii="Times New Roman" w:hAnsi="Times New Roman"/>
                      <w:color w:val="101214"/>
                      <w:shd w:val="clear" w:color="auto" w:fill="FFFFFF"/>
                      <w:lang w:val="en-US"/>
                    </w:rPr>
                    <w:t xml:space="preserve"> 2</w:t>
                  </w:r>
                  <w:r>
                    <w:rPr>
                      <w:rFonts w:ascii="Times New Roman" w:hAnsi="Times New Roman"/>
                    </w:rPr>
                    <w:t>：</w:t>
                  </w:r>
                  <w:r>
                    <w:rPr>
                      <w:rFonts w:ascii="Times New Roman" w:hAnsi="Times New Roman" w:eastAsia="Segoe UI"/>
                      <w:color w:val="101214"/>
                      <w:shd w:val="clear" w:color="auto" w:fill="FFFFFF"/>
                    </w:rPr>
                    <w:t>Emicizumab is covered by medical insurance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tcBorders>
                    <w:top w:val="single" w:color="000000" w:sz="4" w:space="0"/>
                    <w:left w:val="nil"/>
                    <w:bottom w:val="nil"/>
                    <w:right w:val="nil"/>
                  </w:tcBorders>
                  <w:vAlign w:val="center"/>
                </w:tcPr>
                <w:p>
                  <w:pPr>
                    <w:pStyle w:val="16"/>
                    <w:spacing w:line="240" w:lineRule="auto"/>
                    <w:rPr>
                      <w:rFonts w:ascii="Times New Roman" w:hAnsi="Times New Roman"/>
                    </w:rPr>
                  </w:pPr>
                </w:p>
              </w:tc>
              <w:tc>
                <w:tcPr>
                  <w:tcW w:w="1145" w:type="dxa"/>
                  <w:tcBorders>
                    <w:top w:val="single" w:color="000000" w:sz="4" w:space="0"/>
                    <w:left w:val="nil"/>
                    <w:bottom w:val="nil"/>
                    <w:right w:val="nil"/>
                  </w:tcBorders>
                  <w:vAlign w:val="center"/>
                </w:tcPr>
                <w:p>
                  <w:pPr>
                    <w:pStyle w:val="16"/>
                    <w:spacing w:line="240" w:lineRule="auto"/>
                    <w:rPr>
                      <w:rFonts w:ascii="Times New Roman" w:hAnsi="Times New Roman"/>
                    </w:rPr>
                  </w:pPr>
                  <w:r>
                    <w:rPr>
                      <w:rFonts w:ascii="Times New Roman" w:hAnsi="Times New Roman"/>
                    </w:rPr>
                    <w:t>2022</w:t>
                  </w:r>
                </w:p>
              </w:tc>
              <w:tc>
                <w:tcPr>
                  <w:tcW w:w="1193" w:type="dxa"/>
                  <w:tcBorders>
                    <w:top w:val="single" w:color="000000" w:sz="4" w:space="0"/>
                    <w:left w:val="nil"/>
                    <w:bottom w:val="nil"/>
                    <w:right w:val="nil"/>
                  </w:tcBorders>
                  <w:vAlign w:val="center"/>
                </w:tcPr>
                <w:p>
                  <w:pPr>
                    <w:pStyle w:val="16"/>
                    <w:spacing w:line="240" w:lineRule="auto"/>
                    <w:rPr>
                      <w:rFonts w:ascii="Times New Roman" w:hAnsi="Times New Roman"/>
                    </w:rPr>
                  </w:pPr>
                  <w:r>
                    <w:rPr>
                      <w:rFonts w:ascii="Times New Roman" w:hAnsi="Times New Roman"/>
                    </w:rPr>
                    <w:t>2023</w:t>
                  </w:r>
                </w:p>
              </w:tc>
              <w:tc>
                <w:tcPr>
                  <w:tcW w:w="1161" w:type="dxa"/>
                  <w:tcBorders>
                    <w:top w:val="single" w:color="000000" w:sz="4" w:space="0"/>
                    <w:left w:val="nil"/>
                    <w:bottom w:val="nil"/>
                    <w:right w:val="nil"/>
                  </w:tcBorders>
                  <w:vAlign w:val="center"/>
                </w:tcPr>
                <w:p>
                  <w:pPr>
                    <w:pStyle w:val="16"/>
                    <w:spacing w:line="240" w:lineRule="auto"/>
                    <w:rPr>
                      <w:rFonts w:ascii="Times New Roman" w:hAnsi="Times New Roman"/>
                    </w:rPr>
                  </w:pPr>
                  <w:r>
                    <w:rPr>
                      <w:rFonts w:ascii="Times New Roman" w:hAnsi="Times New Roman"/>
                    </w:rPr>
                    <w:t>2024</w:t>
                  </w:r>
                </w:p>
              </w:tc>
              <w:tc>
                <w:tcPr>
                  <w:tcW w:w="1186" w:type="dxa"/>
                  <w:tcBorders>
                    <w:top w:val="single" w:color="000000" w:sz="4" w:space="0"/>
                    <w:left w:val="nil"/>
                    <w:bottom w:val="nil"/>
                    <w:right w:val="nil"/>
                  </w:tcBorders>
                  <w:vAlign w:val="center"/>
                </w:tcPr>
                <w:p>
                  <w:pPr>
                    <w:pStyle w:val="16"/>
                    <w:spacing w:line="240" w:lineRule="auto"/>
                    <w:rPr>
                      <w:rFonts w:ascii="Times New Roman" w:hAnsi="Times New Roman"/>
                    </w:rPr>
                  </w:pPr>
                  <w:r>
                    <w:rPr>
                      <w:rFonts w:ascii="Times New Roman" w:hAnsi="Times New Roman"/>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eastAsia="Segoe UI"/>
                      <w:color w:val="2A2B2E"/>
                      <w:shd w:val="clear" w:color="auto" w:fill="FFFFFF"/>
                    </w:rPr>
                    <w:t>Medical insurance expenditure (100 million yuan)</w:t>
                  </w:r>
                </w:p>
              </w:tc>
              <w:tc>
                <w:tcPr>
                  <w:tcW w:w="1145"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18.6517</w:t>
                  </w:r>
                </w:p>
              </w:tc>
              <w:tc>
                <w:tcPr>
                  <w:tcW w:w="1193"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26.9474</w:t>
                  </w:r>
                </w:p>
              </w:tc>
              <w:tc>
                <w:tcPr>
                  <w:tcW w:w="1161"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36.9179</w:t>
                  </w:r>
                </w:p>
              </w:tc>
              <w:tc>
                <w:tcPr>
                  <w:tcW w:w="1186"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50.5776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0"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Increased medical insurance expenditure (100 million yuan)</w:t>
                  </w:r>
                </w:p>
              </w:tc>
              <w:tc>
                <w:tcPr>
                  <w:tcW w:w="1145"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0</w:t>
                  </w:r>
                </w:p>
              </w:tc>
              <w:tc>
                <w:tcPr>
                  <w:tcW w:w="1193"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1.3946</w:t>
                  </w:r>
                </w:p>
              </w:tc>
              <w:tc>
                <w:tcPr>
                  <w:tcW w:w="1161"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1.9107</w:t>
                  </w:r>
                </w:p>
              </w:tc>
              <w:tc>
                <w:tcPr>
                  <w:tcW w:w="1186" w:type="dxa"/>
                  <w:tcBorders>
                    <w:top w:val="nil"/>
                    <w:left w:val="nil"/>
                    <w:bottom w:val="nil"/>
                    <w:right w:val="nil"/>
                  </w:tcBorders>
                  <w:vAlign w:val="center"/>
                </w:tcPr>
                <w:p>
                  <w:pPr>
                    <w:pStyle w:val="16"/>
                    <w:spacing w:line="240" w:lineRule="auto"/>
                    <w:rPr>
                      <w:rFonts w:ascii="Times New Roman" w:hAnsi="Times New Roman"/>
                    </w:rPr>
                  </w:pPr>
                  <w:r>
                    <w:rPr>
                      <w:rFonts w:ascii="Times New Roman" w:hAnsi="Times New Roman"/>
                    </w:rPr>
                    <w:t>2.6176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tcBorders>
                    <w:top w:val="nil"/>
                    <w:left w:val="nil"/>
                    <w:bottom w:val="single" w:color="auto" w:sz="4" w:space="0"/>
                    <w:right w:val="nil"/>
                  </w:tcBorders>
                  <w:vAlign w:val="center"/>
                </w:tcPr>
                <w:p>
                  <w:pPr>
                    <w:pStyle w:val="16"/>
                    <w:spacing w:line="240" w:lineRule="auto"/>
                    <w:rPr>
                      <w:rFonts w:ascii="Times New Roman" w:hAnsi="Times New Roman"/>
                    </w:rPr>
                  </w:pPr>
                  <w:r>
                    <w:rPr>
                      <w:rFonts w:ascii="Times New Roman" w:hAnsi="Times New Roman" w:eastAsia="Segoe UI"/>
                      <w:color w:val="101214"/>
                      <w:shd w:val="clear" w:color="auto" w:fill="FFFFFF"/>
                    </w:rPr>
                    <w:t>Increased spending as a percentage of total health care spending</w:t>
                  </w:r>
                </w:p>
              </w:tc>
              <w:tc>
                <w:tcPr>
                  <w:tcW w:w="1145" w:type="dxa"/>
                  <w:tcBorders>
                    <w:top w:val="nil"/>
                    <w:left w:val="nil"/>
                    <w:bottom w:val="single" w:color="auto" w:sz="4" w:space="0"/>
                    <w:right w:val="nil"/>
                  </w:tcBorders>
                  <w:vAlign w:val="center"/>
                </w:tcPr>
                <w:p>
                  <w:pPr>
                    <w:pStyle w:val="16"/>
                    <w:spacing w:line="240" w:lineRule="auto"/>
                    <w:rPr>
                      <w:rFonts w:ascii="Times New Roman" w:hAnsi="Times New Roman"/>
                    </w:rPr>
                  </w:pPr>
                  <w:r>
                    <w:rPr>
                      <w:rFonts w:ascii="Times New Roman" w:hAnsi="Times New Roman"/>
                    </w:rPr>
                    <w:t>0</w:t>
                  </w:r>
                </w:p>
              </w:tc>
              <w:tc>
                <w:tcPr>
                  <w:tcW w:w="1193" w:type="dxa"/>
                  <w:tcBorders>
                    <w:top w:val="nil"/>
                    <w:left w:val="nil"/>
                    <w:bottom w:val="single" w:color="auto" w:sz="4" w:space="0"/>
                    <w:right w:val="nil"/>
                  </w:tcBorders>
                  <w:vAlign w:val="center"/>
                </w:tcPr>
                <w:p>
                  <w:pPr>
                    <w:pStyle w:val="16"/>
                    <w:spacing w:line="240" w:lineRule="auto"/>
                    <w:rPr>
                      <w:rFonts w:ascii="Times New Roman" w:hAnsi="Times New Roman"/>
                    </w:rPr>
                  </w:pPr>
                  <w:r>
                    <w:rPr>
                      <w:rFonts w:ascii="Times New Roman" w:hAnsi="Times New Roman"/>
                    </w:rPr>
                    <w:t>0.0067%</w:t>
                  </w:r>
                </w:p>
              </w:tc>
              <w:tc>
                <w:tcPr>
                  <w:tcW w:w="1161" w:type="dxa"/>
                  <w:tcBorders>
                    <w:top w:val="nil"/>
                    <w:left w:val="nil"/>
                    <w:bottom w:val="single" w:color="auto" w:sz="4" w:space="0"/>
                    <w:right w:val="nil"/>
                  </w:tcBorders>
                  <w:vAlign w:val="center"/>
                </w:tcPr>
                <w:p>
                  <w:pPr>
                    <w:pStyle w:val="16"/>
                    <w:spacing w:line="240" w:lineRule="auto"/>
                    <w:rPr>
                      <w:rFonts w:ascii="Times New Roman" w:hAnsi="Times New Roman"/>
                    </w:rPr>
                  </w:pPr>
                  <w:r>
                    <w:rPr>
                      <w:rFonts w:ascii="Times New Roman" w:hAnsi="Times New Roman"/>
                    </w:rPr>
                    <w:t>0.0091%</w:t>
                  </w:r>
                </w:p>
              </w:tc>
              <w:tc>
                <w:tcPr>
                  <w:tcW w:w="1186" w:type="dxa"/>
                  <w:tcBorders>
                    <w:top w:val="nil"/>
                    <w:left w:val="nil"/>
                    <w:bottom w:val="single" w:color="auto" w:sz="4" w:space="0"/>
                    <w:right w:val="nil"/>
                  </w:tcBorders>
                  <w:vAlign w:val="center"/>
                </w:tcPr>
                <w:p>
                  <w:pPr>
                    <w:pStyle w:val="16"/>
                    <w:spacing w:line="240" w:lineRule="auto"/>
                    <w:rPr>
                      <w:rFonts w:ascii="Times New Roman" w:hAnsi="Times New Roman"/>
                    </w:rPr>
                  </w:pPr>
                  <w:r>
                    <w:rPr>
                      <w:rFonts w:ascii="Times New Roman" w:hAnsi="Times New Roman"/>
                    </w:rPr>
                    <w:t>0.0125%</w:t>
                  </w:r>
                </w:p>
              </w:tc>
            </w:tr>
          </w:tbl>
          <w:p>
            <w:pPr>
              <w:pStyle w:val="16"/>
              <w:spacing w:line="240" w:lineRule="auto"/>
              <w:rPr>
                <w:rFonts w:ascii="Times New Roman" w:hAnsi="Times New Roman" w:eastAsiaTheme="minorEastAsia"/>
                <w:kern w:val="2"/>
              </w:rPr>
            </w:pPr>
          </w:p>
          <w:p>
            <w:pPr>
              <w:pStyle w:val="16"/>
              <w:spacing w:line="240" w:lineRule="auto"/>
              <w:rPr>
                <w:rFonts w:ascii="Times New Roman" w:hAnsi="Times New Roman" w:eastAsia="Segoe UI"/>
                <w:color w:val="101214"/>
                <w:kern w:val="2"/>
                <w:shd w:val="clear" w:color="auto" w:fill="FFFFFF"/>
              </w:rPr>
            </w:pPr>
            <w:r>
              <w:rPr>
                <w:rFonts w:ascii="Times New Roman" w:hAnsi="Times New Roman" w:eastAsia="Segoe UI"/>
                <w:color w:val="101214"/>
                <w:kern w:val="2"/>
                <w:shd w:val="clear" w:color="auto" w:fill="FFFFFF"/>
              </w:rPr>
              <w:t>If emicizumab is included in the national medical insurance version, the increased medical insurance expenditure in 2023-2025 is 139.46, 19107 and 261.76 million yuan respectively, accounting for 0.0067%, 0.0091% and 0.0125% of the total medical insurance expenditure respectively.</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The additional increase in health care spending was mainly due to the higher price of emicizumab, which was covered by health care, resulting in higher health care spending.</w:t>
            </w:r>
          </w:p>
          <w:p>
            <w:pPr>
              <w:pStyle w:val="15"/>
              <w:rPr>
                <w:rFonts w:ascii="Times New Roman" w:hAnsi="Times New Roman" w:cs="Times New Roman"/>
                <w:szCs w:val="21"/>
              </w:rPr>
            </w:pPr>
            <w:r>
              <w:rPr>
                <w:rFonts w:ascii="Times New Roman" w:hAnsi="Times New Roman" w:eastAsia="宋体" w:cs="Times New Roman"/>
                <w:color w:val="2A2B2E"/>
                <w:szCs w:val="21"/>
                <w:shd w:val="clear" w:color="auto" w:fill="FFFFFF"/>
              </w:rPr>
              <w:t>S</w:t>
            </w:r>
            <w:r>
              <w:rPr>
                <w:rFonts w:ascii="Times New Roman" w:hAnsi="Times New Roman" w:eastAsia="Segoe UI" w:cs="Times New Roman"/>
                <w:color w:val="2A2B2E"/>
                <w:szCs w:val="21"/>
                <w:shd w:val="clear" w:color="auto" w:fill="FFFFFF"/>
              </w:rPr>
              <w:t>ensitivity analysis</w:t>
            </w:r>
            <w:r>
              <w:rPr>
                <w:rFonts w:ascii="Times New Roman" w:hAnsi="Times New Roman" w:cs="Times New Roman"/>
                <w:szCs w:val="21"/>
              </w:rPr>
              <w:t>：</w:t>
            </w:r>
          </w:p>
          <w:p>
            <w:pPr>
              <w:pStyle w:val="16"/>
              <w:spacing w:line="240" w:lineRule="auto"/>
              <w:rPr>
                <w:rFonts w:ascii="Times New Roman" w:hAnsi="Times New Roman" w:eastAsiaTheme="minorEastAsia"/>
                <w:kern w:val="2"/>
              </w:rPr>
            </w:pPr>
            <w:r>
              <w:rPr>
                <w:rFonts w:ascii="Times New Roman" w:hAnsi="Times New Roman" w:eastAsia="Segoe UI"/>
                <w:color w:val="101214"/>
                <w:kern w:val="2"/>
                <w:shd w:val="clear" w:color="auto" w:fill="FFFFFF"/>
              </w:rPr>
              <w:t>If the drug price decreases by 30%, the increased medical insurance expenditure in 2023-2025 will be 0.8545, 117.06 and 160.38 million yuan respectively, accounting for 0.0041%, 0.0056% and 0.0077% of the total medical insurance expenditure respectively.</w:t>
            </w:r>
          </w:p>
        </w:tc>
      </w:tr>
    </w:tbl>
    <w:p>
      <w:pPr>
        <w:rPr>
          <w:rFonts w:ascii="Times New Roman" w:hAnsi="Times New Roman" w:cs="Times New Roman"/>
        </w:rPr>
      </w:pPr>
      <w:r>
        <w:rPr>
          <w:rFonts w:ascii="Times New Roman" w:hAnsi="Times New Roman" w:cs="Times New Roman"/>
        </w:rPr>
        <w:br w:type="page"/>
      </w:r>
    </w:p>
    <w:p>
      <w:pPr>
        <w:rPr>
          <w:rFonts w:ascii="Times New Roman" w:hAnsi="Times New Roman" w:cs="Times New Roman"/>
        </w:rPr>
      </w:pPr>
      <w:r>
        <w:rPr>
          <w:rFonts w:ascii="Times New Roman" w:hAnsi="Times New Roman" w:cs="Times New Roman"/>
          <w:b/>
          <w:bCs/>
        </w:rPr>
        <w:t xml:space="preserve">Appendix </w:t>
      </w:r>
      <w:r>
        <w:rPr>
          <w:rFonts w:hint="eastAsia" w:ascii="Times New Roman" w:hAnsi="Times New Roman" w:cs="Times New Roman"/>
          <w:b/>
          <w:bCs/>
        </w:rPr>
        <w:t>Table 4</w:t>
      </w:r>
      <w:r>
        <w:rPr>
          <w:rFonts w:ascii="Times New Roman" w:hAnsi="Times New Roman" w:cs="Times New Roman"/>
          <w:b/>
          <w:bCs/>
        </w:rPr>
        <w:t>.</w:t>
      </w:r>
      <w:r>
        <w:rPr>
          <w:rFonts w:hint="eastAsia" w:ascii="Times New Roman" w:hAnsi="Times New Roman" w:cs="Times New Roman"/>
        </w:rPr>
        <w:t xml:space="preserve"> </w:t>
      </w:r>
      <w:r>
        <w:rPr>
          <w:rFonts w:ascii="Times New Roman" w:hAnsi="Times New Roman" w:cs="Times New Roman"/>
        </w:rPr>
        <w:t>Detailed information with regarding to the stakeholder experts within the panel</w:t>
      </w:r>
    </w:p>
    <w:tbl>
      <w:tblPr>
        <w:tblStyle w:val="11"/>
        <w:tblW w:w="9581" w:type="dxa"/>
        <w:tblInd w:w="149"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2"/>
        <w:gridCol w:w="1723"/>
        <w:gridCol w:w="4206"/>
        <w:gridCol w:w="1833"/>
        <w:gridCol w:w="127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tcBorders>
              <w:top w:val="single" w:color="auto" w:sz="12" w:space="0"/>
              <w:bottom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NO</w:t>
            </w:r>
          </w:p>
        </w:tc>
        <w:tc>
          <w:tcPr>
            <w:tcW w:w="1723" w:type="dxa"/>
            <w:tcBorders>
              <w:top w:val="single" w:color="auto" w:sz="12" w:space="0"/>
              <w:bottom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Name</w:t>
            </w:r>
          </w:p>
        </w:tc>
        <w:tc>
          <w:tcPr>
            <w:tcW w:w="4206" w:type="dxa"/>
            <w:tcBorders>
              <w:top w:val="single" w:color="auto" w:sz="12" w:space="0"/>
              <w:bottom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Institute</w:t>
            </w:r>
          </w:p>
        </w:tc>
        <w:tc>
          <w:tcPr>
            <w:tcW w:w="1833" w:type="dxa"/>
            <w:tcBorders>
              <w:top w:val="single" w:color="auto" w:sz="12" w:space="0"/>
              <w:bottom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Professional</w:t>
            </w:r>
          </w:p>
        </w:tc>
        <w:tc>
          <w:tcPr>
            <w:tcW w:w="1277" w:type="dxa"/>
            <w:tcBorders>
              <w:top w:val="single" w:color="auto" w:sz="12" w:space="0"/>
              <w:bottom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Types of the stakeholder member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tcBorders>
              <w:top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1</w:t>
            </w:r>
          </w:p>
        </w:tc>
        <w:tc>
          <w:tcPr>
            <w:tcW w:w="1723" w:type="dxa"/>
            <w:tcBorders>
              <w:top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Hongfei Gu</w:t>
            </w:r>
          </w:p>
        </w:tc>
        <w:tc>
          <w:tcPr>
            <w:tcW w:w="4206" w:type="dxa"/>
            <w:tcBorders>
              <w:top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HOME OF PATIENT WITH MULTIPLE SCLEROSIS IN CHINA</w:t>
            </w:r>
          </w:p>
        </w:tc>
        <w:tc>
          <w:tcPr>
            <w:tcW w:w="1833" w:type="dxa"/>
            <w:tcBorders>
              <w:top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Founder</w:t>
            </w:r>
          </w:p>
        </w:tc>
        <w:tc>
          <w:tcPr>
            <w:tcW w:w="1277" w:type="dxa"/>
            <w:tcBorders>
              <w:top w:val="single" w:color="000000" w:themeColor="text1" w:sz="8" w:space="0"/>
            </w:tcBorders>
            <w:vAlign w:val="center"/>
          </w:tcPr>
          <w:p>
            <w:pPr>
              <w:jc w:val="center"/>
              <w:rPr>
                <w:rFonts w:ascii="Times New Roman" w:hAnsi="Times New Roman" w:cs="Times New Roman"/>
              </w:rPr>
            </w:pPr>
            <w:r>
              <w:rPr>
                <w:rFonts w:ascii="Times New Roman" w:hAnsi="Times New Roman" w:cs="Times New Roman"/>
              </w:rPr>
              <w:t>PR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2</w:t>
            </w:r>
          </w:p>
        </w:tc>
        <w:tc>
          <w:tcPr>
            <w:tcW w:w="1723" w:type="dxa"/>
            <w:vAlign w:val="center"/>
          </w:tcPr>
          <w:p>
            <w:pPr>
              <w:jc w:val="center"/>
              <w:rPr>
                <w:rFonts w:ascii="Times New Roman" w:hAnsi="Times New Roman" w:cs="Times New Roman"/>
              </w:rPr>
            </w:pPr>
            <w:r>
              <w:rPr>
                <w:rFonts w:ascii="Times New Roman" w:hAnsi="Times New Roman" w:cs="Times New Roman"/>
              </w:rPr>
              <w:t>Tianwei Long</w:t>
            </w:r>
          </w:p>
        </w:tc>
        <w:tc>
          <w:tcPr>
            <w:tcW w:w="4206" w:type="dxa"/>
            <w:vAlign w:val="center"/>
          </w:tcPr>
          <w:p>
            <w:pPr>
              <w:jc w:val="center"/>
              <w:rPr>
                <w:rFonts w:ascii="Times New Roman" w:hAnsi="Times New Roman" w:cs="Times New Roman"/>
              </w:rPr>
            </w:pPr>
            <w:r>
              <w:rPr>
                <w:rFonts w:ascii="Times New Roman" w:hAnsi="Times New Roman" w:cs="Times New Roman"/>
              </w:rPr>
              <w:t>THE ILLNESS CHALLENGE FOUNDATION</w:t>
            </w:r>
          </w:p>
        </w:tc>
        <w:tc>
          <w:tcPr>
            <w:tcW w:w="1833" w:type="dxa"/>
            <w:vAlign w:val="center"/>
          </w:tcPr>
          <w:p>
            <w:pPr>
              <w:jc w:val="center"/>
              <w:rPr>
                <w:rFonts w:ascii="Times New Roman" w:hAnsi="Times New Roman" w:cs="Times New Roman"/>
              </w:rPr>
            </w:pPr>
            <w:r>
              <w:rPr>
                <w:rFonts w:ascii="Times New Roman" w:hAnsi="Times New Roman" w:cs="Times New Roman"/>
              </w:rPr>
              <w:t>Chief Medical Officer, CMO</w:t>
            </w:r>
          </w:p>
        </w:tc>
        <w:tc>
          <w:tcPr>
            <w:tcW w:w="1277" w:type="dxa"/>
            <w:vAlign w:val="center"/>
          </w:tcPr>
          <w:p>
            <w:pPr>
              <w:jc w:val="center"/>
              <w:rPr>
                <w:rFonts w:ascii="Times New Roman" w:hAnsi="Times New Roman" w:cs="Times New Roman"/>
              </w:rPr>
            </w:pPr>
            <w:r>
              <w:rPr>
                <w:rFonts w:ascii="Times New Roman" w:hAnsi="Times New Roman" w:cs="Times New Roman"/>
              </w:rPr>
              <w:t>PR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3</w:t>
            </w:r>
          </w:p>
        </w:tc>
        <w:tc>
          <w:tcPr>
            <w:tcW w:w="1723" w:type="dxa"/>
            <w:vAlign w:val="center"/>
          </w:tcPr>
          <w:p>
            <w:pPr>
              <w:jc w:val="center"/>
              <w:rPr>
                <w:rFonts w:ascii="Times New Roman" w:hAnsi="Times New Roman" w:cs="Times New Roman"/>
              </w:rPr>
            </w:pPr>
            <w:r>
              <w:rPr>
                <w:rFonts w:ascii="Times New Roman" w:hAnsi="Times New Roman" w:cs="Times New Roman"/>
              </w:rPr>
              <w:t>Dingguo Li</w:t>
            </w:r>
          </w:p>
        </w:tc>
        <w:tc>
          <w:tcPr>
            <w:tcW w:w="4206" w:type="dxa"/>
            <w:vAlign w:val="center"/>
          </w:tcPr>
          <w:p>
            <w:pPr>
              <w:jc w:val="center"/>
              <w:rPr>
                <w:rFonts w:ascii="Times New Roman" w:hAnsi="Times New Roman" w:cs="Times New Roman"/>
              </w:rPr>
            </w:pPr>
            <w:r>
              <w:rPr>
                <w:rFonts w:ascii="Times New Roman" w:hAnsi="Times New Roman" w:cs="Times New Roman"/>
              </w:rPr>
              <w:t>SHANGHAI FOUNDAT INM FOR RARE DISEASE</w:t>
            </w:r>
          </w:p>
        </w:tc>
        <w:tc>
          <w:tcPr>
            <w:tcW w:w="1833" w:type="dxa"/>
            <w:vAlign w:val="center"/>
          </w:tcPr>
          <w:p>
            <w:pPr>
              <w:jc w:val="center"/>
              <w:rPr>
                <w:rFonts w:ascii="Times New Roman" w:hAnsi="Times New Roman" w:cs="Times New Roman"/>
              </w:rPr>
            </w:pPr>
            <w:r>
              <w:rPr>
                <w:rFonts w:ascii="Times New Roman" w:hAnsi="Times New Roman" w:cs="Times New Roman"/>
              </w:rPr>
              <w:t>President</w:t>
            </w:r>
          </w:p>
        </w:tc>
        <w:tc>
          <w:tcPr>
            <w:tcW w:w="1277" w:type="dxa"/>
            <w:vAlign w:val="center"/>
          </w:tcPr>
          <w:p>
            <w:pPr>
              <w:jc w:val="center"/>
              <w:rPr>
                <w:rFonts w:ascii="Times New Roman" w:hAnsi="Times New Roman" w:cs="Times New Roman"/>
              </w:rPr>
            </w:pPr>
            <w:r>
              <w:rPr>
                <w:rFonts w:ascii="Times New Roman" w:hAnsi="Times New Roman" w:cs="Times New Roman"/>
              </w:rPr>
              <w:t>CN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4</w:t>
            </w:r>
          </w:p>
        </w:tc>
        <w:tc>
          <w:tcPr>
            <w:tcW w:w="1723" w:type="dxa"/>
            <w:vAlign w:val="center"/>
          </w:tcPr>
          <w:p>
            <w:pPr>
              <w:jc w:val="center"/>
              <w:rPr>
                <w:rFonts w:ascii="Times New Roman" w:hAnsi="Times New Roman" w:cs="Times New Roman"/>
              </w:rPr>
            </w:pPr>
            <w:r>
              <w:rPr>
                <w:rFonts w:ascii="Times New Roman" w:hAnsi="Times New Roman" w:cs="Times New Roman"/>
              </w:rPr>
              <w:t>Huifang Shang</w:t>
            </w:r>
          </w:p>
        </w:tc>
        <w:tc>
          <w:tcPr>
            <w:tcW w:w="4206" w:type="dxa"/>
            <w:vAlign w:val="center"/>
          </w:tcPr>
          <w:p>
            <w:pPr>
              <w:jc w:val="center"/>
              <w:rPr>
                <w:rFonts w:ascii="Times New Roman" w:hAnsi="Times New Roman" w:cs="Times New Roman"/>
              </w:rPr>
            </w:pPr>
            <w:r>
              <w:rPr>
                <w:rFonts w:ascii="Times New Roman" w:hAnsi="Times New Roman" w:cs="Times New Roman"/>
              </w:rPr>
              <w:t>WEST CHINA HOSPITAL, SICHUAN UNIVERSITY</w:t>
            </w:r>
          </w:p>
        </w:tc>
        <w:tc>
          <w:tcPr>
            <w:tcW w:w="1833" w:type="dxa"/>
            <w:vAlign w:val="center"/>
          </w:tcPr>
          <w:p>
            <w:pPr>
              <w:jc w:val="center"/>
              <w:rPr>
                <w:rFonts w:ascii="Times New Roman" w:hAnsi="Times New Roman" w:cs="Times New Roman"/>
              </w:rPr>
            </w:pPr>
            <w:r>
              <w:rPr>
                <w:rFonts w:ascii="Times New Roman" w:hAnsi="Times New Roman" w:cs="Times New Roman"/>
              </w:rPr>
              <w:t>Chief Physician</w:t>
            </w:r>
          </w:p>
        </w:tc>
        <w:tc>
          <w:tcPr>
            <w:tcW w:w="1277" w:type="dxa"/>
            <w:vAlign w:val="center"/>
          </w:tcPr>
          <w:p>
            <w:pPr>
              <w:jc w:val="center"/>
              <w:rPr>
                <w:rFonts w:ascii="Times New Roman" w:hAnsi="Times New Roman" w:cs="Times New Roman"/>
              </w:rPr>
            </w:pPr>
            <w:r>
              <w:rPr>
                <w:rFonts w:ascii="Times New Roman" w:hAnsi="Times New Roman" w:cs="Times New Roman"/>
              </w:rPr>
              <w:t>CN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5</w:t>
            </w:r>
          </w:p>
        </w:tc>
        <w:tc>
          <w:tcPr>
            <w:tcW w:w="1723" w:type="dxa"/>
            <w:vAlign w:val="center"/>
          </w:tcPr>
          <w:p>
            <w:pPr>
              <w:jc w:val="center"/>
              <w:rPr>
                <w:rFonts w:ascii="Times New Roman" w:hAnsi="Times New Roman" w:cs="Times New Roman"/>
              </w:rPr>
            </w:pPr>
            <w:r>
              <w:rPr>
                <w:rFonts w:ascii="Times New Roman" w:hAnsi="Times New Roman" w:cs="Times New Roman"/>
              </w:rPr>
              <w:t>Li Liu</w:t>
            </w:r>
          </w:p>
        </w:tc>
        <w:tc>
          <w:tcPr>
            <w:tcW w:w="4206" w:type="dxa"/>
            <w:vAlign w:val="center"/>
          </w:tcPr>
          <w:p>
            <w:pPr>
              <w:jc w:val="center"/>
              <w:rPr>
                <w:rFonts w:ascii="Times New Roman" w:hAnsi="Times New Roman" w:cs="Times New Roman"/>
              </w:rPr>
            </w:pPr>
            <w:r>
              <w:rPr>
                <w:rFonts w:ascii="Times New Roman" w:hAnsi="Times New Roman" w:cs="Times New Roman"/>
              </w:rPr>
              <w:t>GUANGZHOU WOMEN AND CHILDRENS MEDICAL CENTER</w:t>
            </w:r>
          </w:p>
        </w:tc>
        <w:tc>
          <w:tcPr>
            <w:tcW w:w="1833" w:type="dxa"/>
            <w:vAlign w:val="center"/>
          </w:tcPr>
          <w:p>
            <w:pPr>
              <w:jc w:val="center"/>
              <w:rPr>
                <w:rFonts w:ascii="Times New Roman" w:hAnsi="Times New Roman" w:cs="Times New Roman"/>
              </w:rPr>
            </w:pPr>
            <w:r>
              <w:rPr>
                <w:rFonts w:ascii="Times New Roman" w:hAnsi="Times New Roman" w:cs="Times New Roman"/>
              </w:rPr>
              <w:t>Chief Physician</w:t>
            </w:r>
          </w:p>
        </w:tc>
        <w:tc>
          <w:tcPr>
            <w:tcW w:w="1277" w:type="dxa"/>
            <w:vAlign w:val="center"/>
          </w:tcPr>
          <w:p>
            <w:pPr>
              <w:jc w:val="center"/>
              <w:rPr>
                <w:rFonts w:ascii="Times New Roman" w:hAnsi="Times New Roman" w:cs="Times New Roman"/>
              </w:rPr>
            </w:pPr>
            <w:r>
              <w:rPr>
                <w:rFonts w:ascii="Times New Roman" w:hAnsi="Times New Roman" w:cs="Times New Roman"/>
              </w:rPr>
              <w:t>CN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6</w:t>
            </w:r>
          </w:p>
        </w:tc>
        <w:tc>
          <w:tcPr>
            <w:tcW w:w="1723" w:type="dxa"/>
            <w:vAlign w:val="center"/>
          </w:tcPr>
          <w:p>
            <w:pPr>
              <w:jc w:val="center"/>
              <w:rPr>
                <w:rFonts w:ascii="Times New Roman" w:hAnsi="Times New Roman" w:cs="Times New Roman"/>
              </w:rPr>
            </w:pPr>
            <w:r>
              <w:rPr>
                <w:rFonts w:ascii="Times New Roman" w:hAnsi="Times New Roman" w:cs="Times New Roman"/>
              </w:rPr>
              <w:t>Bo Zhang</w:t>
            </w:r>
          </w:p>
        </w:tc>
        <w:tc>
          <w:tcPr>
            <w:tcW w:w="4206" w:type="dxa"/>
            <w:vAlign w:val="center"/>
          </w:tcPr>
          <w:p>
            <w:pPr>
              <w:jc w:val="center"/>
              <w:rPr>
                <w:rFonts w:ascii="Times New Roman" w:hAnsi="Times New Roman" w:cs="Times New Roman"/>
              </w:rPr>
            </w:pPr>
            <w:r>
              <w:rPr>
                <w:rFonts w:ascii="Times New Roman" w:hAnsi="Times New Roman" w:cs="Times New Roman"/>
              </w:rPr>
              <w:t>DEPARTMENT OF PHARMACY, PEKING UNION MEDICAL COLLEGE HOSPITAL (PUMCH)</w:t>
            </w:r>
          </w:p>
        </w:tc>
        <w:tc>
          <w:tcPr>
            <w:tcW w:w="1833" w:type="dxa"/>
            <w:vAlign w:val="center"/>
          </w:tcPr>
          <w:p>
            <w:pPr>
              <w:jc w:val="center"/>
              <w:rPr>
                <w:rFonts w:ascii="Times New Roman" w:hAnsi="Times New Roman" w:cs="Times New Roman"/>
              </w:rPr>
            </w:pPr>
            <w:r>
              <w:rPr>
                <w:rFonts w:ascii="Times New Roman" w:hAnsi="Times New Roman" w:cs="Times New Roman"/>
              </w:rPr>
              <w:t>Associate Chief Pharmacist</w:t>
            </w:r>
          </w:p>
        </w:tc>
        <w:tc>
          <w:tcPr>
            <w:tcW w:w="1277" w:type="dxa"/>
            <w:vAlign w:val="center"/>
          </w:tcPr>
          <w:p>
            <w:pPr>
              <w:jc w:val="center"/>
              <w:rPr>
                <w:rFonts w:ascii="Times New Roman" w:hAnsi="Times New Roman" w:cs="Times New Roman"/>
              </w:rPr>
            </w:pPr>
            <w:r>
              <w:rPr>
                <w:rFonts w:ascii="Times New Roman" w:hAnsi="Times New Roman" w:cs="Times New Roman"/>
              </w:rPr>
              <w:t>CP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7</w:t>
            </w:r>
          </w:p>
        </w:tc>
        <w:tc>
          <w:tcPr>
            <w:tcW w:w="1723" w:type="dxa"/>
            <w:vAlign w:val="center"/>
          </w:tcPr>
          <w:p>
            <w:pPr>
              <w:jc w:val="center"/>
              <w:rPr>
                <w:rFonts w:ascii="Times New Roman" w:hAnsi="Times New Roman" w:cs="Times New Roman"/>
              </w:rPr>
            </w:pPr>
            <w:r>
              <w:rPr>
                <w:rFonts w:ascii="Times New Roman" w:hAnsi="Times New Roman" w:cs="Times New Roman"/>
              </w:rPr>
              <w:t>Bin Wu</w:t>
            </w:r>
          </w:p>
        </w:tc>
        <w:tc>
          <w:tcPr>
            <w:tcW w:w="4206" w:type="dxa"/>
            <w:vAlign w:val="center"/>
          </w:tcPr>
          <w:p>
            <w:pPr>
              <w:jc w:val="center"/>
              <w:rPr>
                <w:rFonts w:ascii="Times New Roman" w:hAnsi="Times New Roman" w:cs="Times New Roman"/>
              </w:rPr>
            </w:pPr>
            <w:r>
              <w:rPr>
                <w:rFonts w:ascii="Times New Roman" w:hAnsi="Times New Roman" w:cs="Times New Roman"/>
              </w:rPr>
              <w:t>DEPARTMENT OF PHARMACY, RENJI HOSPITAL, SHANGHAI JIAOTONG UNIVERSITY SCHOOL OF MEDICINE</w:t>
            </w:r>
          </w:p>
        </w:tc>
        <w:tc>
          <w:tcPr>
            <w:tcW w:w="1833" w:type="dxa"/>
            <w:vAlign w:val="center"/>
          </w:tcPr>
          <w:p>
            <w:pPr>
              <w:jc w:val="center"/>
              <w:rPr>
                <w:rFonts w:ascii="Times New Roman" w:hAnsi="Times New Roman" w:cs="Times New Roman"/>
              </w:rPr>
            </w:pPr>
            <w:r>
              <w:rPr>
                <w:rFonts w:ascii="Times New Roman" w:hAnsi="Times New Roman" w:cs="Times New Roman"/>
              </w:rPr>
              <w:t>Associate Chief Pharmacist</w:t>
            </w:r>
          </w:p>
        </w:tc>
        <w:tc>
          <w:tcPr>
            <w:tcW w:w="1277" w:type="dxa"/>
            <w:vAlign w:val="center"/>
          </w:tcPr>
          <w:p>
            <w:pPr>
              <w:jc w:val="center"/>
              <w:rPr>
                <w:rFonts w:ascii="Times New Roman" w:hAnsi="Times New Roman" w:cs="Times New Roman"/>
              </w:rPr>
            </w:pPr>
            <w:r>
              <w:rPr>
                <w:rFonts w:ascii="Times New Roman" w:hAnsi="Times New Roman" w:cs="Times New Roman"/>
              </w:rPr>
              <w:t>CP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8</w:t>
            </w:r>
          </w:p>
        </w:tc>
        <w:tc>
          <w:tcPr>
            <w:tcW w:w="1723" w:type="dxa"/>
            <w:vAlign w:val="center"/>
          </w:tcPr>
          <w:p>
            <w:pPr>
              <w:jc w:val="center"/>
              <w:rPr>
                <w:rFonts w:ascii="Times New Roman" w:hAnsi="Times New Roman" w:cs="Times New Roman"/>
              </w:rPr>
            </w:pPr>
            <w:r>
              <w:rPr>
                <w:rFonts w:ascii="Times New Roman" w:hAnsi="Times New Roman" w:cs="Times New Roman"/>
              </w:rPr>
              <w:t>Shanlian Hu</w:t>
            </w:r>
          </w:p>
        </w:tc>
        <w:tc>
          <w:tcPr>
            <w:tcW w:w="4206" w:type="dxa"/>
            <w:vAlign w:val="center"/>
          </w:tcPr>
          <w:p>
            <w:pPr>
              <w:jc w:val="center"/>
              <w:rPr>
                <w:rFonts w:ascii="Times New Roman" w:hAnsi="Times New Roman" w:cs="Times New Roman"/>
              </w:rPr>
            </w:pPr>
            <w:r>
              <w:rPr>
                <w:rFonts w:ascii="Times New Roman" w:hAnsi="Times New Roman" w:cs="Times New Roman"/>
              </w:rPr>
              <w:t>FUDAN UNIVERSTIY</w:t>
            </w:r>
          </w:p>
        </w:tc>
        <w:tc>
          <w:tcPr>
            <w:tcW w:w="1833" w:type="dxa"/>
            <w:vAlign w:val="center"/>
          </w:tcPr>
          <w:p>
            <w:pPr>
              <w:jc w:val="center"/>
              <w:rPr>
                <w:rFonts w:ascii="Times New Roman" w:hAnsi="Times New Roman" w:cs="Times New Roman"/>
              </w:rPr>
            </w:pPr>
            <w:r>
              <w:rPr>
                <w:rFonts w:ascii="Times New Roman" w:hAnsi="Times New Roman" w:cs="Times New Roman"/>
              </w:rPr>
              <w:t>Professor</w:t>
            </w:r>
          </w:p>
        </w:tc>
        <w:tc>
          <w:tcPr>
            <w:tcW w:w="1277" w:type="dxa"/>
            <w:vAlign w:val="center"/>
          </w:tcPr>
          <w:p>
            <w:pPr>
              <w:jc w:val="center"/>
              <w:rPr>
                <w:rFonts w:ascii="Times New Roman" w:hAnsi="Times New Roman" w:cs="Times New Roman"/>
              </w:rPr>
            </w:pPr>
            <w:r>
              <w:rPr>
                <w:rFonts w:ascii="Times New Roman" w:hAnsi="Times New Roman" w:cs="Times New Roman"/>
              </w:rPr>
              <w:t>PE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9</w:t>
            </w:r>
          </w:p>
        </w:tc>
        <w:tc>
          <w:tcPr>
            <w:tcW w:w="1723" w:type="dxa"/>
            <w:vAlign w:val="center"/>
          </w:tcPr>
          <w:p>
            <w:pPr>
              <w:jc w:val="center"/>
              <w:rPr>
                <w:rFonts w:ascii="Times New Roman" w:hAnsi="Times New Roman" w:cs="Times New Roman"/>
              </w:rPr>
            </w:pPr>
            <w:r>
              <w:rPr>
                <w:rFonts w:ascii="Times New Roman" w:hAnsi="Times New Roman" w:cs="Times New Roman"/>
              </w:rPr>
              <w:t>Jing Wu</w:t>
            </w:r>
          </w:p>
        </w:tc>
        <w:tc>
          <w:tcPr>
            <w:tcW w:w="4206" w:type="dxa"/>
            <w:vAlign w:val="center"/>
          </w:tcPr>
          <w:p>
            <w:pPr>
              <w:jc w:val="center"/>
              <w:rPr>
                <w:rFonts w:ascii="Times New Roman" w:hAnsi="Times New Roman" w:cs="Times New Roman"/>
              </w:rPr>
            </w:pPr>
            <w:r>
              <w:rPr>
                <w:rFonts w:ascii="Times New Roman" w:hAnsi="Times New Roman" w:cs="Times New Roman"/>
              </w:rPr>
              <w:t>TIANJING UNIVERSTIY</w:t>
            </w:r>
          </w:p>
        </w:tc>
        <w:tc>
          <w:tcPr>
            <w:tcW w:w="1833" w:type="dxa"/>
            <w:vAlign w:val="center"/>
          </w:tcPr>
          <w:p>
            <w:pPr>
              <w:jc w:val="center"/>
              <w:rPr>
                <w:rFonts w:ascii="Times New Roman" w:hAnsi="Times New Roman" w:cs="Times New Roman"/>
              </w:rPr>
            </w:pPr>
            <w:r>
              <w:rPr>
                <w:rFonts w:ascii="Times New Roman" w:hAnsi="Times New Roman" w:cs="Times New Roman"/>
              </w:rPr>
              <w:t>Professor</w:t>
            </w:r>
          </w:p>
        </w:tc>
        <w:tc>
          <w:tcPr>
            <w:tcW w:w="1277" w:type="dxa"/>
            <w:vAlign w:val="center"/>
          </w:tcPr>
          <w:p>
            <w:pPr>
              <w:jc w:val="center"/>
              <w:rPr>
                <w:rFonts w:ascii="Times New Roman" w:hAnsi="Times New Roman" w:cs="Times New Roman"/>
              </w:rPr>
            </w:pPr>
            <w:r>
              <w:rPr>
                <w:rFonts w:ascii="Times New Roman" w:hAnsi="Times New Roman" w:cs="Times New Roman"/>
              </w:rPr>
              <w:t>PE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10</w:t>
            </w:r>
          </w:p>
        </w:tc>
        <w:tc>
          <w:tcPr>
            <w:tcW w:w="1723" w:type="dxa"/>
            <w:vAlign w:val="center"/>
          </w:tcPr>
          <w:p>
            <w:pPr>
              <w:jc w:val="center"/>
              <w:rPr>
                <w:rFonts w:ascii="Times New Roman" w:hAnsi="Times New Roman" w:cs="Times New Roman"/>
              </w:rPr>
            </w:pPr>
            <w:r>
              <w:rPr>
                <w:rFonts w:ascii="Times New Roman" w:hAnsi="Times New Roman" w:cs="Times New Roman"/>
              </w:rPr>
              <w:t>Li Yang</w:t>
            </w:r>
          </w:p>
        </w:tc>
        <w:tc>
          <w:tcPr>
            <w:tcW w:w="4206" w:type="dxa"/>
            <w:vAlign w:val="center"/>
          </w:tcPr>
          <w:p>
            <w:pPr>
              <w:jc w:val="center"/>
              <w:rPr>
                <w:rFonts w:ascii="Times New Roman" w:hAnsi="Times New Roman" w:cs="Times New Roman"/>
              </w:rPr>
            </w:pPr>
            <w:r>
              <w:rPr>
                <w:rFonts w:ascii="Times New Roman" w:hAnsi="Times New Roman" w:cs="Times New Roman"/>
              </w:rPr>
              <w:t>PEKING UNIVERSITY</w:t>
            </w:r>
          </w:p>
        </w:tc>
        <w:tc>
          <w:tcPr>
            <w:tcW w:w="1833" w:type="dxa"/>
            <w:vAlign w:val="center"/>
          </w:tcPr>
          <w:p>
            <w:pPr>
              <w:jc w:val="center"/>
              <w:rPr>
                <w:rFonts w:ascii="Times New Roman" w:hAnsi="Times New Roman" w:cs="Times New Roman"/>
              </w:rPr>
            </w:pPr>
            <w:r>
              <w:rPr>
                <w:rFonts w:ascii="Times New Roman" w:hAnsi="Times New Roman" w:cs="Times New Roman"/>
              </w:rPr>
              <w:t>Professor</w:t>
            </w:r>
          </w:p>
        </w:tc>
        <w:tc>
          <w:tcPr>
            <w:tcW w:w="1277" w:type="dxa"/>
            <w:vAlign w:val="center"/>
          </w:tcPr>
          <w:p>
            <w:pPr>
              <w:jc w:val="center"/>
              <w:rPr>
                <w:rFonts w:ascii="Times New Roman" w:hAnsi="Times New Roman" w:cs="Times New Roman"/>
              </w:rPr>
            </w:pPr>
            <w:r>
              <w:rPr>
                <w:rFonts w:ascii="Times New Roman" w:hAnsi="Times New Roman" w:cs="Times New Roman"/>
              </w:rPr>
              <w:t>PE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11</w:t>
            </w:r>
          </w:p>
        </w:tc>
        <w:tc>
          <w:tcPr>
            <w:tcW w:w="1723" w:type="dxa"/>
            <w:vAlign w:val="center"/>
          </w:tcPr>
          <w:p>
            <w:pPr>
              <w:jc w:val="center"/>
              <w:rPr>
                <w:rFonts w:ascii="Times New Roman" w:hAnsi="Times New Roman" w:cs="Times New Roman"/>
              </w:rPr>
            </w:pPr>
            <w:r>
              <w:rPr>
                <w:rFonts w:ascii="Times New Roman" w:hAnsi="Times New Roman" w:cs="Times New Roman"/>
              </w:rPr>
              <w:t>Jie Pan</w:t>
            </w:r>
          </w:p>
        </w:tc>
        <w:tc>
          <w:tcPr>
            <w:tcW w:w="4206" w:type="dxa"/>
            <w:vAlign w:val="center"/>
          </w:tcPr>
          <w:p>
            <w:pPr>
              <w:jc w:val="center"/>
              <w:rPr>
                <w:rFonts w:ascii="Times New Roman" w:hAnsi="Times New Roman" w:cs="Times New Roman"/>
              </w:rPr>
            </w:pPr>
            <w:r>
              <w:rPr>
                <w:rFonts w:ascii="Times New Roman" w:hAnsi="Times New Roman" w:cs="Times New Roman"/>
              </w:rPr>
              <w:t>SICHUAN UNIVERSITY</w:t>
            </w:r>
          </w:p>
        </w:tc>
        <w:tc>
          <w:tcPr>
            <w:tcW w:w="1833" w:type="dxa"/>
            <w:vAlign w:val="center"/>
          </w:tcPr>
          <w:p>
            <w:pPr>
              <w:jc w:val="center"/>
              <w:rPr>
                <w:rFonts w:ascii="Times New Roman" w:hAnsi="Times New Roman" w:cs="Times New Roman"/>
              </w:rPr>
            </w:pPr>
            <w:r>
              <w:rPr>
                <w:rFonts w:ascii="Times New Roman" w:hAnsi="Times New Roman" w:cs="Times New Roman"/>
              </w:rPr>
              <w:t>Professor</w:t>
            </w:r>
          </w:p>
        </w:tc>
        <w:tc>
          <w:tcPr>
            <w:tcW w:w="1277" w:type="dxa"/>
            <w:vAlign w:val="center"/>
          </w:tcPr>
          <w:p>
            <w:pPr>
              <w:jc w:val="center"/>
              <w:rPr>
                <w:rFonts w:ascii="Times New Roman" w:hAnsi="Times New Roman" w:cs="Times New Roman"/>
              </w:rPr>
            </w:pPr>
            <w:r>
              <w:rPr>
                <w:rFonts w:ascii="Times New Roman" w:hAnsi="Times New Roman" w:cs="Times New Roman"/>
              </w:rPr>
              <w:t>PE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12</w:t>
            </w:r>
          </w:p>
        </w:tc>
        <w:tc>
          <w:tcPr>
            <w:tcW w:w="1723" w:type="dxa"/>
            <w:vAlign w:val="center"/>
          </w:tcPr>
          <w:p>
            <w:pPr>
              <w:jc w:val="center"/>
              <w:rPr>
                <w:rFonts w:ascii="Times New Roman" w:hAnsi="Times New Roman" w:cs="Times New Roman"/>
              </w:rPr>
            </w:pPr>
            <w:r>
              <w:rPr>
                <w:rFonts w:ascii="Times New Roman" w:hAnsi="Times New Roman" w:cs="Times New Roman"/>
              </w:rPr>
              <w:t>Jiangjiang He</w:t>
            </w:r>
          </w:p>
        </w:tc>
        <w:tc>
          <w:tcPr>
            <w:tcW w:w="4206" w:type="dxa"/>
            <w:vAlign w:val="center"/>
          </w:tcPr>
          <w:p>
            <w:pPr>
              <w:jc w:val="center"/>
              <w:rPr>
                <w:rFonts w:ascii="Times New Roman" w:hAnsi="Times New Roman" w:cs="Times New Roman"/>
              </w:rPr>
            </w:pPr>
            <w:r>
              <w:rPr>
                <w:rFonts w:ascii="Times New Roman" w:hAnsi="Times New Roman" w:cs="Times New Roman"/>
              </w:rPr>
              <w:t>SHANGHAI HEALTH AND HEALTH DEVELOPMENT RESEARCH CENTER</w:t>
            </w:r>
          </w:p>
        </w:tc>
        <w:tc>
          <w:tcPr>
            <w:tcW w:w="1833" w:type="dxa"/>
            <w:vAlign w:val="center"/>
          </w:tcPr>
          <w:p>
            <w:pPr>
              <w:jc w:val="center"/>
              <w:rPr>
                <w:rFonts w:ascii="Times New Roman" w:hAnsi="Times New Roman" w:cs="Times New Roman"/>
              </w:rPr>
            </w:pPr>
            <w:r>
              <w:rPr>
                <w:rFonts w:ascii="Times New Roman" w:hAnsi="Times New Roman" w:cs="Times New Roman"/>
              </w:rPr>
              <w:t>Associate Researcher</w:t>
            </w:r>
          </w:p>
        </w:tc>
        <w:tc>
          <w:tcPr>
            <w:tcW w:w="1277" w:type="dxa"/>
            <w:vAlign w:val="center"/>
          </w:tcPr>
          <w:p>
            <w:pPr>
              <w:jc w:val="center"/>
              <w:rPr>
                <w:rFonts w:ascii="Times New Roman" w:hAnsi="Times New Roman" w:cs="Times New Roman"/>
              </w:rPr>
            </w:pPr>
            <w:r>
              <w:rPr>
                <w:rFonts w:ascii="Times New Roman" w:hAnsi="Times New Roman" w:cs="Times New Roman"/>
              </w:rPr>
              <w:t>PE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vAlign w:val="center"/>
          </w:tcPr>
          <w:p>
            <w:pPr>
              <w:jc w:val="center"/>
              <w:rPr>
                <w:rFonts w:ascii="Times New Roman" w:hAnsi="Times New Roman" w:cs="Times New Roman"/>
              </w:rPr>
            </w:pPr>
            <w:r>
              <w:rPr>
                <w:rFonts w:ascii="Times New Roman" w:hAnsi="Times New Roman" w:cs="Times New Roman"/>
              </w:rPr>
              <w:t>13</w:t>
            </w:r>
          </w:p>
        </w:tc>
        <w:tc>
          <w:tcPr>
            <w:tcW w:w="1723" w:type="dxa"/>
            <w:vAlign w:val="center"/>
          </w:tcPr>
          <w:p>
            <w:pPr>
              <w:jc w:val="center"/>
              <w:rPr>
                <w:rFonts w:ascii="Times New Roman" w:hAnsi="Times New Roman" w:cs="Times New Roman"/>
              </w:rPr>
            </w:pPr>
            <w:r>
              <w:rPr>
                <w:rFonts w:ascii="Times New Roman" w:hAnsi="Times New Roman" w:cs="Times New Roman"/>
              </w:rPr>
              <w:t>Guanhong Zhao</w:t>
            </w:r>
          </w:p>
        </w:tc>
        <w:tc>
          <w:tcPr>
            <w:tcW w:w="4206" w:type="dxa"/>
            <w:vAlign w:val="center"/>
          </w:tcPr>
          <w:p>
            <w:pPr>
              <w:jc w:val="center"/>
              <w:rPr>
                <w:rFonts w:ascii="Times New Roman" w:hAnsi="Times New Roman" w:cs="Times New Roman"/>
              </w:rPr>
            </w:pPr>
            <w:r>
              <w:rPr>
                <w:rFonts w:ascii="Times New Roman" w:hAnsi="Times New Roman" w:cs="Times New Roman"/>
              </w:rPr>
              <w:t>BEIJING FRIENDSHIP HOSPITAL, CAPITAL MEDICAL UNIVERSITY</w:t>
            </w:r>
          </w:p>
        </w:tc>
        <w:tc>
          <w:tcPr>
            <w:tcW w:w="1833" w:type="dxa"/>
            <w:vAlign w:val="center"/>
          </w:tcPr>
          <w:p>
            <w:pPr>
              <w:jc w:val="center"/>
              <w:rPr>
                <w:rFonts w:ascii="Times New Roman" w:hAnsi="Times New Roman" w:cs="Times New Roman"/>
              </w:rPr>
            </w:pPr>
            <w:r>
              <w:rPr>
                <w:rFonts w:ascii="Times New Roman" w:hAnsi="Times New Roman" w:cs="Times New Roman"/>
              </w:rPr>
              <w:t>Director of the Medical Insurance Office</w:t>
            </w:r>
          </w:p>
        </w:tc>
        <w:tc>
          <w:tcPr>
            <w:tcW w:w="1277" w:type="dxa"/>
            <w:vAlign w:val="center"/>
          </w:tcPr>
          <w:p>
            <w:pPr>
              <w:jc w:val="center"/>
              <w:rPr>
                <w:rFonts w:ascii="Times New Roman" w:hAnsi="Times New Roman" w:cs="Times New Roman"/>
              </w:rPr>
            </w:pPr>
            <w:r>
              <w:rPr>
                <w:rFonts w:ascii="Times New Roman" w:hAnsi="Times New Roman" w:cs="Times New Roman"/>
              </w:rPr>
              <w:t>DM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542" w:type="dxa"/>
            <w:vAlign w:val="center"/>
          </w:tcPr>
          <w:p>
            <w:pPr>
              <w:jc w:val="center"/>
              <w:rPr>
                <w:rFonts w:ascii="Times New Roman" w:hAnsi="Times New Roman" w:cs="Times New Roman"/>
              </w:rPr>
            </w:pPr>
            <w:r>
              <w:rPr>
                <w:rFonts w:ascii="Times New Roman" w:hAnsi="Times New Roman" w:cs="Times New Roman"/>
              </w:rPr>
              <w:t>14</w:t>
            </w:r>
          </w:p>
        </w:tc>
        <w:tc>
          <w:tcPr>
            <w:tcW w:w="1723" w:type="dxa"/>
            <w:vAlign w:val="center"/>
          </w:tcPr>
          <w:p>
            <w:pPr>
              <w:jc w:val="center"/>
              <w:rPr>
                <w:rFonts w:ascii="Times New Roman" w:hAnsi="Times New Roman" w:cs="Times New Roman"/>
              </w:rPr>
            </w:pPr>
            <w:r>
              <w:rPr>
                <w:rFonts w:ascii="Times New Roman" w:hAnsi="Times New Roman" w:cs="Times New Roman"/>
              </w:rPr>
              <w:t>Junshuai Liu</w:t>
            </w:r>
          </w:p>
        </w:tc>
        <w:tc>
          <w:tcPr>
            <w:tcW w:w="4206" w:type="dxa"/>
            <w:vAlign w:val="center"/>
          </w:tcPr>
          <w:p>
            <w:pPr>
              <w:jc w:val="center"/>
              <w:rPr>
                <w:rFonts w:ascii="Times New Roman" w:hAnsi="Times New Roman" w:cs="Times New Roman"/>
              </w:rPr>
            </w:pPr>
            <w:r>
              <w:rPr>
                <w:rFonts w:ascii="Times New Roman" w:hAnsi="Times New Roman" w:cs="Times New Roman"/>
              </w:rPr>
              <w:t>BEIJING SOCIETY FOR RARE DISEASE DIGNOSIS, TREATMENT AND PROTECTION</w:t>
            </w:r>
          </w:p>
        </w:tc>
        <w:tc>
          <w:tcPr>
            <w:tcW w:w="1833" w:type="dxa"/>
            <w:vAlign w:val="center"/>
          </w:tcPr>
          <w:p>
            <w:pPr>
              <w:jc w:val="center"/>
              <w:rPr>
                <w:rFonts w:ascii="Times New Roman" w:hAnsi="Times New Roman" w:cs="Times New Roman"/>
              </w:rPr>
            </w:pPr>
            <w:r>
              <w:rPr>
                <w:rFonts w:ascii="Times New Roman" w:hAnsi="Times New Roman" w:cs="Times New Roman"/>
              </w:rPr>
              <w:t>Vice-Chairman</w:t>
            </w:r>
          </w:p>
        </w:tc>
        <w:tc>
          <w:tcPr>
            <w:tcW w:w="1277" w:type="dxa"/>
            <w:vAlign w:val="center"/>
          </w:tcPr>
          <w:p>
            <w:pPr>
              <w:jc w:val="center"/>
              <w:rPr>
                <w:rFonts w:ascii="Times New Roman" w:hAnsi="Times New Roman" w:cs="Times New Roman"/>
              </w:rPr>
            </w:pPr>
            <w:r>
              <w:rPr>
                <w:rFonts w:ascii="Times New Roman" w:hAnsi="Times New Roman" w:cs="Times New Roman"/>
              </w:rPr>
              <w:t>DM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2" w:type="dxa"/>
            <w:tcBorders>
              <w:bottom w:val="single" w:color="auto" w:sz="12" w:space="0"/>
            </w:tcBorders>
            <w:vAlign w:val="center"/>
          </w:tcPr>
          <w:p>
            <w:pPr>
              <w:jc w:val="center"/>
              <w:rPr>
                <w:rFonts w:ascii="Times New Roman" w:hAnsi="Times New Roman" w:cs="Times New Roman"/>
              </w:rPr>
            </w:pPr>
            <w:r>
              <w:rPr>
                <w:rFonts w:ascii="Times New Roman" w:hAnsi="Times New Roman" w:cs="Times New Roman"/>
              </w:rPr>
              <w:t>15</w:t>
            </w:r>
          </w:p>
        </w:tc>
        <w:tc>
          <w:tcPr>
            <w:tcW w:w="1723" w:type="dxa"/>
            <w:tcBorders>
              <w:bottom w:val="single" w:color="auto" w:sz="12" w:space="0"/>
            </w:tcBorders>
            <w:vAlign w:val="center"/>
          </w:tcPr>
          <w:p>
            <w:pPr>
              <w:jc w:val="center"/>
              <w:rPr>
                <w:rFonts w:ascii="Times New Roman" w:hAnsi="Times New Roman" w:cs="Times New Roman"/>
              </w:rPr>
            </w:pPr>
            <w:r>
              <w:rPr>
                <w:rFonts w:ascii="Times New Roman" w:hAnsi="Times New Roman" w:cs="Times New Roman"/>
              </w:rPr>
              <w:t>Hong Zhang</w:t>
            </w:r>
          </w:p>
        </w:tc>
        <w:tc>
          <w:tcPr>
            <w:tcW w:w="4206" w:type="dxa"/>
            <w:tcBorders>
              <w:bottom w:val="single" w:color="auto" w:sz="12" w:space="0"/>
            </w:tcBorders>
            <w:vAlign w:val="center"/>
          </w:tcPr>
          <w:p>
            <w:pPr>
              <w:jc w:val="center"/>
              <w:rPr>
                <w:rFonts w:ascii="Times New Roman" w:hAnsi="Times New Roman" w:cs="Times New Roman"/>
              </w:rPr>
            </w:pPr>
            <w:r>
              <w:rPr>
                <w:rFonts w:ascii="Times New Roman" w:hAnsi="Times New Roman" w:cs="Times New Roman"/>
              </w:rPr>
              <w:t>SICHUAN PROVINCIAL MEDICAL INSURANCE BUREAU</w:t>
            </w:r>
          </w:p>
        </w:tc>
        <w:tc>
          <w:tcPr>
            <w:tcW w:w="1833" w:type="dxa"/>
            <w:tcBorders>
              <w:bottom w:val="single" w:color="auto" w:sz="12" w:space="0"/>
            </w:tcBorders>
            <w:vAlign w:val="center"/>
          </w:tcPr>
          <w:p>
            <w:pPr>
              <w:jc w:val="center"/>
              <w:rPr>
                <w:rFonts w:ascii="Times New Roman" w:hAnsi="Times New Roman" w:cs="Times New Roman"/>
              </w:rPr>
            </w:pPr>
            <w:r>
              <w:rPr>
                <w:rFonts w:ascii="Times New Roman" w:hAnsi="Times New Roman" w:cs="Times New Roman"/>
              </w:rPr>
              <w:t>Minister of Health Insurance in Sichuan Province</w:t>
            </w:r>
          </w:p>
        </w:tc>
        <w:tc>
          <w:tcPr>
            <w:tcW w:w="1277" w:type="dxa"/>
            <w:tcBorders>
              <w:bottom w:val="single" w:color="auto" w:sz="12" w:space="0"/>
            </w:tcBorders>
            <w:vAlign w:val="center"/>
          </w:tcPr>
          <w:p>
            <w:pPr>
              <w:jc w:val="center"/>
              <w:rPr>
                <w:rFonts w:ascii="Times New Roman" w:hAnsi="Times New Roman" w:cs="Times New Roman"/>
              </w:rPr>
            </w:pPr>
            <w:r>
              <w:rPr>
                <w:rFonts w:ascii="Times New Roman" w:hAnsi="Times New Roman" w:cs="Times New Roman"/>
              </w:rPr>
              <w:t>DM</w:t>
            </w:r>
          </w:p>
        </w:tc>
      </w:tr>
    </w:tbl>
    <w:p>
      <w:pPr>
        <w:rPr>
          <w:rFonts w:ascii="Times New Roman" w:hAnsi="Times New Roman" w:cs="Times New Roman"/>
        </w:rPr>
      </w:pPr>
      <w:r>
        <w:rPr>
          <w:rFonts w:ascii="Times New Roman" w:hAnsi="Times New Roman" w:cs="Times New Roman"/>
        </w:rPr>
        <w:t>Notes: CN (clinicians), CP (clinician pharmacists), DM (decision maker), PR (patient representative), PE (Pharmaceutical economists and epidemiologists)</w:t>
      </w:r>
    </w:p>
    <w:p>
      <w:pPr>
        <w:rPr>
          <w:rFonts w:ascii="Times New Roman" w:hAnsi="Times New Roman" w:cs="Times New Roman"/>
        </w:rPr>
      </w:pPr>
    </w:p>
    <w:sectPr>
      <w:pgSz w:w="11906" w:h="16838"/>
      <w:pgMar w:top="1418" w:right="1418" w:bottom="141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posOffset>2953385</wp:posOffset>
              </wp:positionH>
              <wp:positionV relativeFrom="paragraph">
                <wp:posOffset>2540</wp:posOffset>
              </wp:positionV>
              <wp:extent cx="222885" cy="143510"/>
              <wp:effectExtent l="0" t="0" r="5715" b="9525"/>
              <wp:wrapNone/>
              <wp:docPr id="1" name="文本框 1"/>
              <wp:cNvGraphicFramePr/>
              <a:graphic xmlns:a="http://schemas.openxmlformats.org/drawingml/2006/main">
                <a:graphicData uri="http://schemas.microsoft.com/office/word/2010/wordprocessingShape">
                  <wps:wsp>
                    <wps:cNvSpPr txBox="1"/>
                    <wps:spPr>
                      <a:xfrm>
                        <a:off x="0" y="0"/>
                        <a:ext cx="222885" cy="14323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32.55pt;margin-top:0.2pt;height:11.3pt;width:17.55pt;mso-position-horizontal-relative:margin;z-index:251660288;mso-width-relative:page;mso-height-relative:page;" filled="f" stroked="f" coordsize="21600,21600" o:gfxdata="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14RFrWAAAABwEAAA8AAAAAAAAAAQAgAAAAIgAAAGRycy9kb3ducmV2LnhtbFBL&#10;AQIUABQAAAAIAIdO4kDcq9omMQIAAFUEAAAOAAAAAAAAAAEAIAAAACUBAABkcnMvZTJvRG9jLnht&#10;bFBLBQYAAAAABgAGAFkBAADIBQAAAAA=&#10;">
              <v:fill on="f" focussize="0,0"/>
              <v:stroke on="f" weight="0.5pt"/>
              <v:imagedata o:title=""/>
              <o:lock v:ext="edit" aspectratio="f"/>
              <v:textbox inset="0mm,0mm,0mm,0mm">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BFEF8"/>
    <w:multiLevelType w:val="singleLevel"/>
    <w:tmpl w:val="81ABFEF8"/>
    <w:lvl w:ilvl="0" w:tentative="0">
      <w:start w:val="1"/>
      <w:numFmt w:val="decimal"/>
      <w:suff w:val="space"/>
      <w:lvlText w:val="%1."/>
      <w:lvlJc w:val="left"/>
    </w:lvl>
  </w:abstractNum>
  <w:abstractNum w:abstractNumId="1">
    <w:nsid w:val="91D1D58A"/>
    <w:multiLevelType w:val="singleLevel"/>
    <w:tmpl w:val="91D1D58A"/>
    <w:lvl w:ilvl="0" w:tentative="0">
      <w:start w:val="1"/>
      <w:numFmt w:val="lowerLetter"/>
      <w:lvlText w:val="%1."/>
      <w:lvlJc w:val="left"/>
      <w:pPr>
        <w:tabs>
          <w:tab w:val="left" w:pos="312"/>
        </w:tabs>
      </w:pPr>
    </w:lvl>
  </w:abstractNum>
  <w:abstractNum w:abstractNumId="2">
    <w:nsid w:val="91EC5868"/>
    <w:multiLevelType w:val="singleLevel"/>
    <w:tmpl w:val="91EC5868"/>
    <w:lvl w:ilvl="0" w:tentative="0">
      <w:start w:val="1"/>
      <w:numFmt w:val="decimal"/>
      <w:suff w:val="space"/>
      <w:lvlText w:val="%1."/>
      <w:lvlJc w:val="left"/>
    </w:lvl>
  </w:abstractNum>
  <w:abstractNum w:abstractNumId="3">
    <w:nsid w:val="978372CE"/>
    <w:multiLevelType w:val="singleLevel"/>
    <w:tmpl w:val="978372CE"/>
    <w:lvl w:ilvl="0" w:tentative="0">
      <w:start w:val="1"/>
      <w:numFmt w:val="decimal"/>
      <w:suff w:val="space"/>
      <w:lvlText w:val="%1."/>
      <w:lvlJc w:val="left"/>
    </w:lvl>
  </w:abstractNum>
  <w:abstractNum w:abstractNumId="4">
    <w:nsid w:val="9C45594B"/>
    <w:multiLevelType w:val="singleLevel"/>
    <w:tmpl w:val="9C45594B"/>
    <w:lvl w:ilvl="0" w:tentative="0">
      <w:start w:val="1"/>
      <w:numFmt w:val="decimal"/>
      <w:suff w:val="space"/>
      <w:lvlText w:val="%1."/>
      <w:lvlJc w:val="left"/>
    </w:lvl>
  </w:abstractNum>
  <w:abstractNum w:abstractNumId="5">
    <w:nsid w:val="A2FF14B9"/>
    <w:multiLevelType w:val="singleLevel"/>
    <w:tmpl w:val="A2FF14B9"/>
    <w:lvl w:ilvl="0" w:tentative="0">
      <w:start w:val="1"/>
      <w:numFmt w:val="decimal"/>
      <w:suff w:val="space"/>
      <w:lvlText w:val="%1."/>
      <w:lvlJc w:val="left"/>
    </w:lvl>
  </w:abstractNum>
  <w:abstractNum w:abstractNumId="6">
    <w:nsid w:val="A76944A5"/>
    <w:multiLevelType w:val="singleLevel"/>
    <w:tmpl w:val="A76944A5"/>
    <w:lvl w:ilvl="0" w:tentative="0">
      <w:start w:val="1"/>
      <w:numFmt w:val="decimal"/>
      <w:suff w:val="space"/>
      <w:lvlText w:val="%1."/>
      <w:lvlJc w:val="left"/>
    </w:lvl>
  </w:abstractNum>
  <w:abstractNum w:abstractNumId="7">
    <w:nsid w:val="AEF87445"/>
    <w:multiLevelType w:val="singleLevel"/>
    <w:tmpl w:val="AEF87445"/>
    <w:lvl w:ilvl="0" w:tentative="0">
      <w:start w:val="2"/>
      <w:numFmt w:val="decimal"/>
      <w:suff w:val="space"/>
      <w:lvlText w:val="%1."/>
      <w:lvlJc w:val="left"/>
    </w:lvl>
  </w:abstractNum>
  <w:abstractNum w:abstractNumId="8">
    <w:nsid w:val="B64F40D8"/>
    <w:multiLevelType w:val="singleLevel"/>
    <w:tmpl w:val="B64F40D8"/>
    <w:lvl w:ilvl="0" w:tentative="0">
      <w:start w:val="1"/>
      <w:numFmt w:val="lowerLetter"/>
      <w:suff w:val="space"/>
      <w:lvlText w:val="%1."/>
      <w:lvlJc w:val="left"/>
    </w:lvl>
  </w:abstractNum>
  <w:abstractNum w:abstractNumId="9">
    <w:nsid w:val="C86FEDE9"/>
    <w:multiLevelType w:val="singleLevel"/>
    <w:tmpl w:val="C86FEDE9"/>
    <w:lvl w:ilvl="0" w:tentative="0">
      <w:start w:val="1"/>
      <w:numFmt w:val="decimal"/>
      <w:suff w:val="space"/>
      <w:lvlText w:val="%1."/>
      <w:lvlJc w:val="left"/>
    </w:lvl>
  </w:abstractNum>
  <w:abstractNum w:abstractNumId="10">
    <w:nsid w:val="00F7B027"/>
    <w:multiLevelType w:val="singleLevel"/>
    <w:tmpl w:val="00F7B027"/>
    <w:lvl w:ilvl="0" w:tentative="0">
      <w:start w:val="1"/>
      <w:numFmt w:val="decimal"/>
      <w:suff w:val="space"/>
      <w:lvlText w:val="%1."/>
      <w:lvlJc w:val="left"/>
    </w:lvl>
  </w:abstractNum>
  <w:abstractNum w:abstractNumId="11">
    <w:nsid w:val="01BB13B0"/>
    <w:multiLevelType w:val="singleLevel"/>
    <w:tmpl w:val="01BB13B0"/>
    <w:lvl w:ilvl="0" w:tentative="0">
      <w:start w:val="1"/>
      <w:numFmt w:val="decimal"/>
      <w:suff w:val="space"/>
      <w:lvlText w:val="%1."/>
      <w:lvlJc w:val="left"/>
    </w:lvl>
  </w:abstractNum>
  <w:abstractNum w:abstractNumId="12">
    <w:nsid w:val="03F6C59D"/>
    <w:multiLevelType w:val="singleLevel"/>
    <w:tmpl w:val="03F6C59D"/>
    <w:lvl w:ilvl="0" w:tentative="0">
      <w:start w:val="1"/>
      <w:numFmt w:val="decimal"/>
      <w:suff w:val="space"/>
      <w:lvlText w:val="%1."/>
      <w:lvlJc w:val="left"/>
    </w:lvl>
  </w:abstractNum>
  <w:abstractNum w:abstractNumId="13">
    <w:nsid w:val="15A44A22"/>
    <w:multiLevelType w:val="singleLevel"/>
    <w:tmpl w:val="15A44A22"/>
    <w:lvl w:ilvl="0" w:tentative="0">
      <w:start w:val="1"/>
      <w:numFmt w:val="decimal"/>
      <w:suff w:val="space"/>
      <w:lvlText w:val="%1."/>
      <w:lvlJc w:val="left"/>
    </w:lvl>
  </w:abstractNum>
  <w:abstractNum w:abstractNumId="14">
    <w:nsid w:val="2E1D109F"/>
    <w:multiLevelType w:val="singleLevel"/>
    <w:tmpl w:val="2E1D109F"/>
    <w:lvl w:ilvl="0" w:tentative="0">
      <w:start w:val="1"/>
      <w:numFmt w:val="decimal"/>
      <w:suff w:val="space"/>
      <w:lvlText w:val="%1."/>
      <w:lvlJc w:val="left"/>
    </w:lvl>
  </w:abstractNum>
  <w:abstractNum w:abstractNumId="15">
    <w:nsid w:val="30FE0056"/>
    <w:multiLevelType w:val="singleLevel"/>
    <w:tmpl w:val="30FE0056"/>
    <w:lvl w:ilvl="0" w:tentative="0">
      <w:start w:val="1"/>
      <w:numFmt w:val="decimal"/>
      <w:suff w:val="space"/>
      <w:lvlText w:val="%1."/>
      <w:lvlJc w:val="left"/>
    </w:lvl>
  </w:abstractNum>
  <w:abstractNum w:abstractNumId="16">
    <w:nsid w:val="38BE4BF3"/>
    <w:multiLevelType w:val="singleLevel"/>
    <w:tmpl w:val="38BE4BF3"/>
    <w:lvl w:ilvl="0" w:tentative="0">
      <w:start w:val="1"/>
      <w:numFmt w:val="decimal"/>
      <w:suff w:val="space"/>
      <w:lvlText w:val="%1."/>
      <w:lvlJc w:val="left"/>
    </w:lvl>
  </w:abstractNum>
  <w:abstractNum w:abstractNumId="17">
    <w:nsid w:val="3DD5AD6E"/>
    <w:multiLevelType w:val="singleLevel"/>
    <w:tmpl w:val="3DD5AD6E"/>
    <w:lvl w:ilvl="0" w:tentative="0">
      <w:start w:val="1"/>
      <w:numFmt w:val="lowerLetter"/>
      <w:suff w:val="space"/>
      <w:lvlText w:val="%1."/>
      <w:lvlJc w:val="left"/>
    </w:lvl>
  </w:abstractNum>
  <w:abstractNum w:abstractNumId="18">
    <w:nsid w:val="3E6EE0C0"/>
    <w:multiLevelType w:val="singleLevel"/>
    <w:tmpl w:val="3E6EE0C0"/>
    <w:lvl w:ilvl="0" w:tentative="0">
      <w:start w:val="1"/>
      <w:numFmt w:val="decimal"/>
      <w:lvlText w:val="%1."/>
      <w:lvlJc w:val="left"/>
      <w:pPr>
        <w:tabs>
          <w:tab w:val="left" w:pos="312"/>
        </w:tabs>
      </w:pPr>
    </w:lvl>
  </w:abstractNum>
  <w:abstractNum w:abstractNumId="19">
    <w:nsid w:val="40DDA866"/>
    <w:multiLevelType w:val="singleLevel"/>
    <w:tmpl w:val="40DDA866"/>
    <w:lvl w:ilvl="0" w:tentative="0">
      <w:start w:val="1"/>
      <w:numFmt w:val="decimal"/>
      <w:suff w:val="space"/>
      <w:lvlText w:val="%1."/>
      <w:lvlJc w:val="left"/>
      <w:rPr>
        <w:rFonts w:hint="default"/>
        <w:i w:val="0"/>
        <w:iCs w:val="0"/>
      </w:rPr>
    </w:lvl>
  </w:abstractNum>
  <w:abstractNum w:abstractNumId="20">
    <w:nsid w:val="44344FCA"/>
    <w:multiLevelType w:val="singleLevel"/>
    <w:tmpl w:val="44344FCA"/>
    <w:lvl w:ilvl="0" w:tentative="0">
      <w:start w:val="1"/>
      <w:numFmt w:val="decimal"/>
      <w:suff w:val="space"/>
      <w:lvlText w:val="%1."/>
      <w:lvlJc w:val="left"/>
    </w:lvl>
  </w:abstractNum>
  <w:abstractNum w:abstractNumId="21">
    <w:nsid w:val="4C13EE5C"/>
    <w:multiLevelType w:val="singleLevel"/>
    <w:tmpl w:val="4C13EE5C"/>
    <w:lvl w:ilvl="0" w:tentative="0">
      <w:start w:val="1"/>
      <w:numFmt w:val="decimal"/>
      <w:suff w:val="space"/>
      <w:lvlText w:val="%1."/>
      <w:lvlJc w:val="left"/>
    </w:lvl>
  </w:abstractNum>
  <w:abstractNum w:abstractNumId="22">
    <w:nsid w:val="4F409706"/>
    <w:multiLevelType w:val="singleLevel"/>
    <w:tmpl w:val="4F409706"/>
    <w:lvl w:ilvl="0" w:tentative="0">
      <w:start w:val="1"/>
      <w:numFmt w:val="decimal"/>
      <w:suff w:val="space"/>
      <w:lvlText w:val="%1."/>
      <w:lvlJc w:val="left"/>
    </w:lvl>
  </w:abstractNum>
  <w:abstractNum w:abstractNumId="23">
    <w:nsid w:val="55D3929D"/>
    <w:multiLevelType w:val="singleLevel"/>
    <w:tmpl w:val="55D3929D"/>
    <w:lvl w:ilvl="0" w:tentative="0">
      <w:start w:val="1"/>
      <w:numFmt w:val="decimal"/>
      <w:suff w:val="space"/>
      <w:lvlText w:val="%1."/>
      <w:lvlJc w:val="left"/>
    </w:lvl>
  </w:abstractNum>
  <w:abstractNum w:abstractNumId="24">
    <w:nsid w:val="5719F098"/>
    <w:multiLevelType w:val="singleLevel"/>
    <w:tmpl w:val="5719F098"/>
    <w:lvl w:ilvl="0" w:tentative="0">
      <w:start w:val="1"/>
      <w:numFmt w:val="decimal"/>
      <w:suff w:val="space"/>
      <w:lvlText w:val="%1."/>
      <w:lvlJc w:val="left"/>
    </w:lvl>
  </w:abstractNum>
  <w:abstractNum w:abstractNumId="25">
    <w:nsid w:val="572A2BB9"/>
    <w:multiLevelType w:val="singleLevel"/>
    <w:tmpl w:val="572A2BB9"/>
    <w:lvl w:ilvl="0" w:tentative="0">
      <w:start w:val="1"/>
      <w:numFmt w:val="decimal"/>
      <w:suff w:val="space"/>
      <w:lvlText w:val="%1."/>
      <w:lvlJc w:val="left"/>
    </w:lvl>
  </w:abstractNum>
  <w:abstractNum w:abstractNumId="26">
    <w:nsid w:val="5F0E444A"/>
    <w:multiLevelType w:val="singleLevel"/>
    <w:tmpl w:val="5F0E444A"/>
    <w:lvl w:ilvl="0" w:tentative="0">
      <w:start w:val="1"/>
      <w:numFmt w:val="decimal"/>
      <w:suff w:val="space"/>
      <w:lvlText w:val="%1."/>
      <w:lvlJc w:val="left"/>
    </w:lvl>
  </w:abstractNum>
  <w:abstractNum w:abstractNumId="27">
    <w:nsid w:val="63BA00A3"/>
    <w:multiLevelType w:val="singleLevel"/>
    <w:tmpl w:val="63BA00A3"/>
    <w:lvl w:ilvl="0" w:tentative="0">
      <w:start w:val="1"/>
      <w:numFmt w:val="decimal"/>
      <w:suff w:val="space"/>
      <w:lvlText w:val="%1."/>
      <w:lvlJc w:val="left"/>
    </w:lvl>
  </w:abstractNum>
  <w:abstractNum w:abstractNumId="28">
    <w:nsid w:val="66146B3C"/>
    <w:multiLevelType w:val="singleLevel"/>
    <w:tmpl w:val="66146B3C"/>
    <w:lvl w:ilvl="0" w:tentative="0">
      <w:start w:val="1"/>
      <w:numFmt w:val="decimal"/>
      <w:suff w:val="space"/>
      <w:lvlText w:val="%1."/>
      <w:lvlJc w:val="left"/>
    </w:lvl>
  </w:abstractNum>
  <w:abstractNum w:abstractNumId="29">
    <w:nsid w:val="6C48B4A3"/>
    <w:multiLevelType w:val="singleLevel"/>
    <w:tmpl w:val="6C48B4A3"/>
    <w:lvl w:ilvl="0" w:tentative="0">
      <w:start w:val="1"/>
      <w:numFmt w:val="decimal"/>
      <w:suff w:val="space"/>
      <w:lvlText w:val="%1."/>
      <w:lvlJc w:val="left"/>
    </w:lvl>
  </w:abstractNum>
  <w:abstractNum w:abstractNumId="30">
    <w:nsid w:val="7697CFD0"/>
    <w:multiLevelType w:val="singleLevel"/>
    <w:tmpl w:val="7697CFD0"/>
    <w:lvl w:ilvl="0" w:tentative="0">
      <w:start w:val="1"/>
      <w:numFmt w:val="decimal"/>
      <w:suff w:val="space"/>
      <w:lvlText w:val="%1."/>
      <w:lvlJc w:val="left"/>
    </w:lvl>
  </w:abstractNum>
  <w:abstractNum w:abstractNumId="31">
    <w:nsid w:val="7B57B660"/>
    <w:multiLevelType w:val="singleLevel"/>
    <w:tmpl w:val="7B57B660"/>
    <w:lvl w:ilvl="0" w:tentative="0">
      <w:start w:val="1"/>
      <w:numFmt w:val="decimal"/>
      <w:suff w:val="space"/>
      <w:lvlText w:val="%1."/>
      <w:lvlJc w:val="left"/>
    </w:lvl>
  </w:abstractNum>
  <w:num w:numId="1">
    <w:abstractNumId w:val="25"/>
  </w:num>
  <w:num w:numId="2">
    <w:abstractNumId w:val="0"/>
  </w:num>
  <w:num w:numId="3">
    <w:abstractNumId w:val="29"/>
  </w:num>
  <w:num w:numId="4">
    <w:abstractNumId w:val="7"/>
  </w:num>
  <w:num w:numId="5">
    <w:abstractNumId w:val="30"/>
  </w:num>
  <w:num w:numId="6">
    <w:abstractNumId w:val="19"/>
  </w:num>
  <w:num w:numId="7">
    <w:abstractNumId w:val="22"/>
  </w:num>
  <w:num w:numId="8">
    <w:abstractNumId w:val="28"/>
  </w:num>
  <w:num w:numId="9">
    <w:abstractNumId w:val="14"/>
  </w:num>
  <w:num w:numId="10">
    <w:abstractNumId w:val="12"/>
  </w:num>
  <w:num w:numId="11">
    <w:abstractNumId w:val="11"/>
  </w:num>
  <w:num w:numId="12">
    <w:abstractNumId w:val="10"/>
  </w:num>
  <w:num w:numId="13">
    <w:abstractNumId w:val="26"/>
  </w:num>
  <w:num w:numId="14">
    <w:abstractNumId w:val="2"/>
  </w:num>
  <w:num w:numId="15">
    <w:abstractNumId w:val="21"/>
  </w:num>
  <w:num w:numId="16">
    <w:abstractNumId w:val="16"/>
  </w:num>
  <w:num w:numId="17">
    <w:abstractNumId w:val="27"/>
  </w:num>
  <w:num w:numId="18">
    <w:abstractNumId w:val="31"/>
  </w:num>
  <w:num w:numId="19">
    <w:abstractNumId w:val="9"/>
  </w:num>
  <w:num w:numId="20">
    <w:abstractNumId w:val="5"/>
  </w:num>
  <w:num w:numId="21">
    <w:abstractNumId w:val="13"/>
  </w:num>
  <w:num w:numId="22">
    <w:abstractNumId w:val="4"/>
  </w:num>
  <w:num w:numId="23">
    <w:abstractNumId w:val="15"/>
  </w:num>
  <w:num w:numId="24">
    <w:abstractNumId w:val="6"/>
  </w:num>
  <w:num w:numId="25">
    <w:abstractNumId w:val="18"/>
  </w:num>
  <w:num w:numId="26">
    <w:abstractNumId w:val="1"/>
  </w:num>
  <w:num w:numId="27">
    <w:abstractNumId w:val="24"/>
  </w:num>
  <w:num w:numId="28">
    <w:abstractNumId w:val="20"/>
  </w:num>
  <w:num w:numId="29">
    <w:abstractNumId w:val="8"/>
  </w:num>
  <w:num w:numId="30">
    <w:abstractNumId w:val="17"/>
  </w:num>
  <w:num w:numId="31">
    <w:abstractNumId w:val="2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6BBA0551"/>
    <w:rsid w:val="000276D9"/>
    <w:rsid w:val="003A5AA2"/>
    <w:rsid w:val="0042608E"/>
    <w:rsid w:val="00F8044D"/>
    <w:rsid w:val="0CE7550B"/>
    <w:rsid w:val="0EA83A05"/>
    <w:rsid w:val="0FA2394C"/>
    <w:rsid w:val="15282FD9"/>
    <w:rsid w:val="16704C38"/>
    <w:rsid w:val="1CA67605"/>
    <w:rsid w:val="1E4D478F"/>
    <w:rsid w:val="1FFD1A8F"/>
    <w:rsid w:val="29A24B6E"/>
    <w:rsid w:val="2BE23FD3"/>
    <w:rsid w:val="33F90FA4"/>
    <w:rsid w:val="3B7D5A02"/>
    <w:rsid w:val="3FCF5C3C"/>
    <w:rsid w:val="51B7360E"/>
    <w:rsid w:val="5D945CDC"/>
    <w:rsid w:val="6421269A"/>
    <w:rsid w:val="673F4E70"/>
    <w:rsid w:val="6BBA0551"/>
    <w:rsid w:val="6D307BE1"/>
    <w:rsid w:val="6F3A5D46"/>
    <w:rsid w:val="70C7143E"/>
    <w:rsid w:val="758D3326"/>
    <w:rsid w:val="789F1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4"/>
    <w:qFormat/>
    <w:uiPriority w:val="0"/>
    <w:pPr>
      <w:spacing w:before="480"/>
      <w:outlineLvl w:val="1"/>
    </w:pPr>
    <w:rPr>
      <w:rFonts w:eastAsia="黑体"/>
      <w:sz w:val="28"/>
    </w:rPr>
  </w:style>
  <w:style w:type="paragraph" w:styleId="5">
    <w:name w:val="heading 3"/>
    <w:basedOn w:val="1"/>
    <w:next w:val="1"/>
    <w:qFormat/>
    <w:uiPriority w:val="0"/>
    <w:pPr>
      <w:keepNext/>
      <w:keepLines/>
      <w:spacing w:before="360" w:after="120"/>
      <w:outlineLvl w:val="2"/>
    </w:pPr>
    <w:rPr>
      <w:rFonts w:eastAsia="黑体"/>
    </w:rPr>
  </w:style>
  <w:style w:type="paragraph" w:styleId="3">
    <w:name w:val="heading 4"/>
    <w:basedOn w:val="1"/>
    <w:next w:val="1"/>
    <w:qFormat/>
    <w:uiPriority w:val="0"/>
    <w:pPr>
      <w:keepNext/>
      <w:keepLines/>
      <w:spacing w:before="240" w:after="120"/>
      <w:outlineLvl w:val="3"/>
    </w:pPr>
    <w:rPr>
      <w:rFonts w:ascii="Times New Roman" w:hAnsi="Times New Roman" w:eastAsia="楷体" w:cs="楷体"/>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80"/>
    </w:pPr>
    <w:rPr>
      <w:rFonts w:ascii="Times New Roman" w:hAnsi="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Title"/>
    <w:basedOn w:val="1"/>
    <w:qFormat/>
    <w:uiPriority w:val="0"/>
    <w:pPr>
      <w:widowControl/>
      <w:jc w:val="center"/>
    </w:pPr>
    <w:rPr>
      <w:b/>
      <w:kern w:val="0"/>
      <w:sz w:val="20"/>
      <w:szCs w:val="20"/>
      <w:lang w:val="en-GB" w:eastAsia="en-U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7E1FAD"/>
      <w:u w:val="single"/>
    </w:rPr>
  </w:style>
  <w:style w:type="character" w:styleId="14">
    <w:name w:val="Hyperlink"/>
    <w:qFormat/>
    <w:uiPriority w:val="99"/>
    <w:rPr>
      <w:color w:val="0000FF"/>
      <w:u w:val="single"/>
    </w:rPr>
  </w:style>
  <w:style w:type="paragraph" w:customStyle="1" w:styleId="15">
    <w:name w:val="附表头"/>
    <w:basedOn w:val="1"/>
    <w:link w:val="20"/>
    <w:qFormat/>
    <w:uiPriority w:val="0"/>
    <w:pPr>
      <w:widowControl/>
    </w:pPr>
    <w:rPr>
      <w:rFonts w:cs="宋体" w:asciiTheme="majorHAnsi" w:hAnsiTheme="majorHAnsi"/>
      <w:b/>
      <w:bCs/>
      <w:color w:val="000000"/>
      <w:kern w:val="0"/>
    </w:rPr>
  </w:style>
  <w:style w:type="paragraph" w:customStyle="1" w:styleId="16">
    <w:name w:val="表格"/>
    <w:qFormat/>
    <w:uiPriority w:val="0"/>
    <w:pPr>
      <w:spacing w:line="226" w:lineRule="exact"/>
    </w:pPr>
    <w:rPr>
      <w:rFonts w:eastAsia="宋体" w:cs="Times New Roman" w:asciiTheme="minorHAnsi" w:hAnsiTheme="minorHAnsi"/>
      <w:sz w:val="21"/>
      <w:szCs w:val="21"/>
      <w:lang w:val="en-GB" w:eastAsia="zh-CN" w:bidi="ar-SA"/>
    </w:rPr>
  </w:style>
  <w:style w:type="table" w:customStyle="1" w:styleId="17">
    <w:name w:val="无格式表格 21"/>
    <w:basedOn w:val="10"/>
    <w:qFormat/>
    <w:uiPriority w:val="42"/>
    <w:rPr>
      <w:rFonts w:asciiTheme="minorHAnsi" w:hAnsiTheme="minorHAnsi" w:eastAsiaTheme="minorEastAsia" w:cstheme="minorBidi"/>
      <w:kern w:val="2"/>
      <w:sz w:val="21"/>
      <w:szCs w:val="22"/>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18">
    <w:name w:val="表格一级"/>
    <w:basedOn w:val="15"/>
    <w:qFormat/>
    <w:uiPriority w:val="0"/>
    <w:rPr>
      <w:rFonts w:eastAsia="黑体"/>
      <w:sz w:val="24"/>
    </w:rPr>
  </w:style>
  <w:style w:type="paragraph" w:customStyle="1" w:styleId="19">
    <w:name w:val="表格二级"/>
    <w:basedOn w:val="15"/>
    <w:qFormat/>
    <w:uiPriority w:val="0"/>
    <w:rPr>
      <w:rFonts w:eastAsia="黑体"/>
      <w:b w:val="0"/>
    </w:rPr>
  </w:style>
  <w:style w:type="character" w:customStyle="1" w:styleId="20">
    <w:name w:val="附表头 字符"/>
    <w:basedOn w:val="12"/>
    <w:link w:val="15"/>
    <w:qFormat/>
    <w:uiPriority w:val="0"/>
    <w:rPr>
      <w:rFonts w:cs="宋体" w:asciiTheme="majorHAnsi" w:hAnsiTheme="majorHAnsi" w:eastAsiaTheme="minorEastAsia"/>
      <w:b/>
      <w:bCs/>
      <w:color w:val="000000"/>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5991;&#20214;&#19979;&#36733;\&#24494;&#20449;&#25991;&#20214;\WeChat%20Files\wxid_353zltx7ux9k11\FileStorage\File\2023-03\0426-&#20934;&#21017;&#36171;&#26435;&#34920;(&#30334;&#20998;&#21046;&#21152;&#26435;&#2786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5991;&#20214;&#19979;&#36733;\&#24494;&#20449;&#25991;&#20214;\WeChat%20Files\wxid_353zltx7ux9k11\FileStorage\File\2023-03\0426-&#20934;&#21017;&#36171;&#26435;&#34920;(&#30334;&#20998;&#21046;&#21152;&#26435;&#2786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3985345627031"/>
          <c:y val="0.0695290367753257"/>
          <c:w val="0.578903543307087"/>
          <c:h val="0.84167468649752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'SF2-1'!$A$1:$A$5</c:f>
              <c:strCache>
                <c:ptCount val="5"/>
                <c:pt idx="0">
                  <c:v>Economic consequences of drugs</c:v>
                </c:pt>
                <c:pt idx="1">
                  <c:v>Evidence about drugs</c:v>
                </c:pt>
                <c:pt idx="2">
                  <c:v>Type of benefit of drugs</c:v>
                </c:pt>
                <c:pt idx="3">
                  <c:v>Comparative outcomes of drugs</c:v>
                </c:pt>
                <c:pt idx="4">
                  <c:v>Need for drugs</c:v>
                </c:pt>
              </c:strCache>
            </c:strRef>
          </c:cat>
          <c:val>
            <c:numRef>
              <c:f>'SF2-1'!$B$1:$B$5</c:f>
              <c:numCache>
                <c:formatCode>0</c:formatCode>
                <c:ptCount val="5"/>
                <c:pt idx="0">
                  <c:v>16</c:v>
                </c:pt>
                <c:pt idx="1">
                  <c:v>16.9</c:v>
                </c:pt>
                <c:pt idx="2">
                  <c:v>17.2</c:v>
                </c:pt>
                <c:pt idx="3">
                  <c:v>21.4</c:v>
                </c:pt>
                <c:pt idx="4">
                  <c:v>28.5</c:v>
                </c:pt>
              </c:numCache>
            </c:numRef>
          </c:val>
        </c:ser>
        <c:dLbls>
          <c:showLegendKey val="0"/>
          <c:showVal val="1"/>
          <c:showCatName val="0"/>
          <c:showSerName val="0"/>
          <c:showPercent val="0"/>
          <c:showBubbleSize val="0"/>
        </c:dLbls>
        <c:gapWidth val="182"/>
        <c:axId val="609719632"/>
        <c:axId val="609714224"/>
      </c:barChart>
      <c:catAx>
        <c:axId val="609719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609714224"/>
        <c:crosses val="autoZero"/>
        <c:auto val="1"/>
        <c:lblAlgn val="ctr"/>
        <c:lblOffset val="100"/>
        <c:noMultiLvlLbl val="0"/>
      </c:catAx>
      <c:valAx>
        <c:axId val="60971422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60971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'SF2-2'!$A$1:$B$10</c:f>
              <c:multiLvlStrCache>
                <c:ptCount val="10"/>
                <c:lvl>
                  <c:pt idx="0">
                    <c:v>Disease severity </c:v>
                  </c:pt>
                  <c:pt idx="1">
                    <c:v>Unmet needs</c:v>
                  </c:pt>
                  <c:pt idx="2">
                    <c:v>Comparative effectiveness</c:v>
                  </c:pt>
                  <c:pt idx="3">
                    <c:v>Comparative safety / tolerability</c:v>
                  </c:pt>
                  <c:pt idx="4">
                    <c:v>Comparative patient-perceived health / patient-reported outcomes</c:v>
                  </c:pt>
                  <c:pt idx="5">
                    <c:v>Comparative cost consequences – cost of drugs</c:v>
                  </c:pt>
                  <c:pt idx="6">
                    <c:v>Comparative cost consequences – other medical costs</c:v>
                  </c:pt>
                  <c:pt idx="7">
                    <c:v>Comparative cost consequences – non-medical costs</c:v>
                  </c:pt>
                  <c:pt idx="8">
                    <c:v>Quality of evidence</c:v>
                  </c:pt>
                  <c:pt idx="9">
                    <c:v>Expert consensus / clinical practice guidelines</c:v>
                  </c:pt>
                </c:lvl>
                <c:lvl>
                  <c:pt idx="0">
                    <c:v>Need for drugs</c:v>
                  </c:pt>
                  <c:pt idx="2">
                    <c:v>Comparative outcomes of drugs</c:v>
                  </c:pt>
                  <c:pt idx="5">
                    <c:v>Economic consequences of drugs</c:v>
                  </c:pt>
                  <c:pt idx="8">
                    <c:v>Evidence about drugs</c:v>
                  </c:pt>
                </c:lvl>
              </c:multiLvlStrCache>
            </c:multiLvlStrRef>
          </c:cat>
          <c:val>
            <c:numRef>
              <c:f>'SF2-2'!$D$1:$D$10</c:f>
              <c:numCache>
                <c:formatCode>General</c:formatCode>
                <c:ptCount val="10"/>
                <c:pt idx="0">
                  <c:v>58.2</c:v>
                </c:pt>
                <c:pt idx="1">
                  <c:v>41.8</c:v>
                </c:pt>
                <c:pt idx="2">
                  <c:v>42.7</c:v>
                </c:pt>
                <c:pt idx="3">
                  <c:v>25.5</c:v>
                </c:pt>
                <c:pt idx="4">
                  <c:v>31.8</c:v>
                </c:pt>
                <c:pt idx="5">
                  <c:v>46.2</c:v>
                </c:pt>
                <c:pt idx="6">
                  <c:v>28.4</c:v>
                </c:pt>
                <c:pt idx="7">
                  <c:v>25.4</c:v>
                </c:pt>
                <c:pt idx="8">
                  <c:v>61.1</c:v>
                </c:pt>
                <c:pt idx="9">
                  <c:v>38.9</c:v>
                </c:pt>
              </c:numCache>
            </c:numRef>
          </c:val>
        </c:ser>
        <c:dLbls>
          <c:showLegendKey val="0"/>
          <c:showVal val="1"/>
          <c:showCatName val="0"/>
          <c:showSerName val="0"/>
          <c:showPercent val="0"/>
          <c:showBubbleSize val="0"/>
        </c:dLbls>
        <c:gapWidth val="182"/>
        <c:axId val="60436080"/>
        <c:axId val="60435664"/>
      </c:barChart>
      <c:catAx>
        <c:axId val="60436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60435664"/>
        <c:crosses val="autoZero"/>
        <c:auto val="1"/>
        <c:lblAlgn val="ctr"/>
        <c:lblOffset val="100"/>
        <c:noMultiLvlLbl val="0"/>
      </c:catAx>
      <c:valAx>
        <c:axId val="60435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6043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11139</Words>
  <Characters>63494</Characters>
  <Lines>529</Lines>
  <Paragraphs>148</Paragraphs>
  <TotalTime>3</TotalTime>
  <ScaleCrop>false</ScaleCrop>
  <LinksUpToDate>false</LinksUpToDate>
  <CharactersWithSpaces>74485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2023-07-12T09:25:00Z</dcterms:created>
  <dc:creator>唐弦</dc:creator>
  <cp:lastModifiedBy>唐弦</cp:lastModifiedBy>
  <dcterms:modified xsi:type="dcterms:W3CDTF">2023-12-05T06:49:01Z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DE048D4830A447CC9A83D531C873A0A2_13</vt:lpwstr>
  </property>
</Properties>
</file>