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3A37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  <w:r w:rsidRPr="00901B84">
        <w:rPr>
          <w:rFonts w:cs="Calibri"/>
          <w:b/>
          <w:noProof/>
          <w:color w:val="000000" w:themeColor="text1"/>
          <w:szCs w:val="21"/>
        </w:rPr>
        <w:drawing>
          <wp:inline distT="0" distB="0" distL="0" distR="0" wp14:anchorId="2DFE3CF8" wp14:editId="0D75C72B">
            <wp:extent cx="3458167" cy="7833815"/>
            <wp:effectExtent l="0" t="0" r="9525" b="0"/>
            <wp:docPr id="9" name="图片 9" descr="D:\Manuscript _rbp, cbd\figure s\FIG_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nuscript _rbp, cbd\figure s\FIG_S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618" cy="784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23B6D" w14:textId="77777777" w:rsidR="00E332AB" w:rsidRPr="00901B84" w:rsidRDefault="00E332AB" w:rsidP="00E332AB">
      <w:pPr>
        <w:widowControl/>
        <w:rPr>
          <w:rFonts w:cs="Calibri"/>
          <w:bCs/>
          <w:color w:val="000000" w:themeColor="text1"/>
          <w:szCs w:val="21"/>
        </w:rPr>
      </w:pPr>
      <w:bookmarkStart w:id="0" w:name="OLE_LINK1"/>
      <w:bookmarkStart w:id="1" w:name="OLE_LINK3"/>
      <w:r w:rsidRPr="00901B84">
        <w:rPr>
          <w:rFonts w:cs="Calibri"/>
          <w:b/>
          <w:color w:val="000000" w:themeColor="text1"/>
          <w:szCs w:val="21"/>
        </w:rPr>
        <w:t>Extended Data Fig. 1</w:t>
      </w:r>
      <w:r w:rsidRPr="00901B84">
        <w:rPr>
          <w:rFonts w:cs="Calibri" w:hint="eastAsia"/>
          <w:b/>
          <w:color w:val="000000" w:themeColor="text1"/>
          <w:szCs w:val="21"/>
        </w:rPr>
        <w:t>|</w:t>
      </w:r>
      <w:bookmarkEnd w:id="0"/>
      <w:bookmarkEnd w:id="1"/>
      <w:r w:rsidRPr="00901B84">
        <w:rPr>
          <w:rFonts w:cs="Calibri"/>
          <w:b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 xml:space="preserve">Fluorescence microscopy images of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K. pneumoniae</w:t>
      </w:r>
      <w:r w:rsidRPr="00901B84">
        <w:rPr>
          <w:rFonts w:cs="Calibri"/>
          <w:bCs/>
          <w:color w:val="000000" w:themeColor="text1"/>
          <w:szCs w:val="21"/>
        </w:rPr>
        <w:t xml:space="preserve"> cells after treatment of gRBP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P545</w:t>
      </w:r>
      <w:r w:rsidRPr="00901B84">
        <w:rPr>
          <w:rFonts w:cs="Calibri"/>
          <w:bCs/>
          <w:color w:val="000000" w:themeColor="text1"/>
          <w:szCs w:val="21"/>
        </w:rPr>
        <w:t xml:space="preserve"> at 37 °C for 30 min. The observed green cells demonstrate that gRBP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P545</w:t>
      </w:r>
      <w:r w:rsidRPr="00901B84">
        <w:rPr>
          <w:rFonts w:cs="Calibri"/>
          <w:bCs/>
          <w:color w:val="000000" w:themeColor="text1"/>
          <w:szCs w:val="21"/>
        </w:rPr>
        <w:t xml:space="preserve"> was bonded to all five tested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K. pneumoniae</w:t>
      </w:r>
      <w:r w:rsidRPr="00901B84">
        <w:rPr>
          <w:rFonts w:cs="Calibri"/>
          <w:bCs/>
          <w:color w:val="000000" w:themeColor="text1"/>
          <w:szCs w:val="21"/>
        </w:rPr>
        <w:t xml:space="preserve"> strains.</w:t>
      </w:r>
      <w:r w:rsidRPr="00901B84">
        <w:rPr>
          <w:rFonts w:cs="Calibri" w:hint="eastAsia"/>
          <w:bCs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>(Scale bars represent 10 μm).</w:t>
      </w:r>
    </w:p>
    <w:p w14:paraId="78CEB091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  <w:sectPr w:rsidR="00E332AB" w:rsidRPr="00901B84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58A110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  <w:r w:rsidRPr="00901B84">
        <w:rPr>
          <w:rFonts w:cs="Calibri"/>
          <w:b/>
          <w:noProof/>
          <w:color w:val="000000" w:themeColor="text1"/>
          <w:szCs w:val="21"/>
        </w:rPr>
        <w:lastRenderedPageBreak/>
        <w:drawing>
          <wp:inline distT="0" distB="0" distL="0" distR="0" wp14:anchorId="7A6684A0" wp14:editId="49FADD51">
            <wp:extent cx="5274310" cy="4209033"/>
            <wp:effectExtent l="0" t="0" r="2540" b="1270"/>
            <wp:docPr id="10" name="图片 10" descr="D:\Manuscript _rbp, cbd\figure s\FIG_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anuscript _rbp, cbd\figure s\FIG_S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0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7BC5A" w14:textId="77777777" w:rsidR="00E332AB" w:rsidRPr="00901B84" w:rsidRDefault="00E332AB" w:rsidP="00E332AB">
      <w:pPr>
        <w:widowControl/>
        <w:jc w:val="left"/>
        <w:rPr>
          <w:rFonts w:cs="Calibri"/>
          <w:bCs/>
          <w:color w:val="000000" w:themeColor="text1"/>
          <w:szCs w:val="21"/>
        </w:rPr>
      </w:pPr>
      <w:r w:rsidRPr="00901B84">
        <w:rPr>
          <w:rFonts w:cs="Calibri"/>
          <w:b/>
          <w:color w:val="000000" w:themeColor="text1"/>
          <w:szCs w:val="21"/>
        </w:rPr>
        <w:t>Extended Data Fig. 2</w:t>
      </w:r>
      <w:r w:rsidRPr="00901B84">
        <w:rPr>
          <w:rFonts w:cs="Calibri" w:hint="eastAsia"/>
          <w:b/>
          <w:color w:val="000000" w:themeColor="text1"/>
          <w:szCs w:val="21"/>
        </w:rPr>
        <w:t>|</w:t>
      </w:r>
      <w:r w:rsidRPr="00901B84">
        <w:rPr>
          <w:rFonts w:cs="Calibri"/>
          <w:b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 xml:space="preserve">Fluorescence microscopy images of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S. aureus</w:t>
      </w:r>
      <w:r w:rsidRPr="00901B84">
        <w:rPr>
          <w:rFonts w:cs="Calibri"/>
          <w:bCs/>
          <w:color w:val="000000" w:themeColor="text1"/>
          <w:szCs w:val="21"/>
        </w:rPr>
        <w:t xml:space="preserve"> cells after treatment of gCBD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SA97</w:t>
      </w:r>
      <w:r w:rsidRPr="00901B84">
        <w:rPr>
          <w:rFonts w:cs="Calibri"/>
          <w:bCs/>
          <w:color w:val="000000" w:themeColor="text1"/>
          <w:szCs w:val="21"/>
        </w:rPr>
        <w:t xml:space="preserve"> at 37 °C for 30 min. The observed green cells demonstrate that gCBD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SA97</w:t>
      </w:r>
      <w:r w:rsidRPr="00901B84">
        <w:rPr>
          <w:rFonts w:cs="Calibri"/>
          <w:bCs/>
          <w:color w:val="000000" w:themeColor="text1"/>
          <w:szCs w:val="21"/>
        </w:rPr>
        <w:t xml:space="preserve"> was bonded to all eight tested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S. aureus</w:t>
      </w:r>
      <w:r w:rsidRPr="00901B84">
        <w:rPr>
          <w:rFonts w:cs="Calibri"/>
          <w:bCs/>
          <w:color w:val="000000" w:themeColor="text1"/>
          <w:szCs w:val="21"/>
        </w:rPr>
        <w:t xml:space="preserve"> strains. (Scale bars represent 10 μm).</w:t>
      </w:r>
    </w:p>
    <w:p w14:paraId="1271A4DC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</w:p>
    <w:p w14:paraId="2CCE4F6F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</w:p>
    <w:p w14:paraId="01CA220E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  <w:sectPr w:rsidR="00E332AB" w:rsidRPr="00901B84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892690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  <w:r w:rsidRPr="00901B84">
        <w:rPr>
          <w:rFonts w:cs="Calibri"/>
          <w:b/>
          <w:noProof/>
          <w:color w:val="000000" w:themeColor="text1"/>
          <w:szCs w:val="21"/>
        </w:rPr>
        <w:lastRenderedPageBreak/>
        <w:drawing>
          <wp:inline distT="0" distB="0" distL="0" distR="0" wp14:anchorId="38095B8C" wp14:editId="5A09CBA5">
            <wp:extent cx="3318660" cy="7513093"/>
            <wp:effectExtent l="0" t="0" r="0" b="0"/>
            <wp:docPr id="11" name="图片 11" descr="D:\Manuscript _rbp, cbd\figure s\FIG_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anuscript _rbp, cbd\figure s\FIG_S-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92" cy="753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933FD" w14:textId="77777777" w:rsidR="00E332AB" w:rsidRPr="00901B84" w:rsidRDefault="00E332AB" w:rsidP="00E332AB">
      <w:pPr>
        <w:widowControl/>
        <w:rPr>
          <w:rFonts w:cs="Calibri"/>
          <w:bCs/>
          <w:color w:val="000000" w:themeColor="text1"/>
          <w:szCs w:val="21"/>
        </w:rPr>
      </w:pPr>
      <w:r w:rsidRPr="00901B84">
        <w:rPr>
          <w:rFonts w:cs="Calibri"/>
          <w:b/>
          <w:color w:val="000000" w:themeColor="text1"/>
          <w:szCs w:val="21"/>
        </w:rPr>
        <w:t>Extended Data Fig. 3</w:t>
      </w:r>
      <w:r w:rsidRPr="00901B84">
        <w:rPr>
          <w:rFonts w:cs="Calibri" w:hint="eastAsia"/>
          <w:b/>
          <w:color w:val="000000" w:themeColor="text1"/>
          <w:szCs w:val="21"/>
        </w:rPr>
        <w:t>|</w:t>
      </w:r>
      <w:r w:rsidRPr="00901B84">
        <w:rPr>
          <w:rFonts w:cs="Calibri"/>
          <w:b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 xml:space="preserve">Fluorescence microscopy images of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S. aureus</w:t>
      </w:r>
      <w:r w:rsidRPr="00901B84">
        <w:rPr>
          <w:rFonts w:cs="Calibri"/>
          <w:bCs/>
          <w:color w:val="000000" w:themeColor="text1"/>
          <w:szCs w:val="21"/>
        </w:rPr>
        <w:t xml:space="preserve">,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E. faecium</w:t>
      </w:r>
      <w:r w:rsidRPr="00901B84">
        <w:rPr>
          <w:rFonts w:cs="Calibri"/>
          <w:bCs/>
          <w:color w:val="000000" w:themeColor="text1"/>
          <w:szCs w:val="21"/>
        </w:rPr>
        <w:t xml:space="preserve">,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A. baumannii</w:t>
      </w:r>
      <w:r w:rsidRPr="00901B84">
        <w:rPr>
          <w:rFonts w:cs="Calibri"/>
          <w:bCs/>
          <w:color w:val="000000" w:themeColor="text1"/>
          <w:szCs w:val="21"/>
        </w:rPr>
        <w:t xml:space="preserve">,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E. coli</w:t>
      </w:r>
      <w:r w:rsidRPr="00901B84">
        <w:rPr>
          <w:rFonts w:cs="Calibri"/>
          <w:bCs/>
          <w:color w:val="000000" w:themeColor="text1"/>
          <w:szCs w:val="21"/>
        </w:rPr>
        <w:t xml:space="preserve">,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P. aeruginosa</w:t>
      </w:r>
      <w:r w:rsidRPr="00901B84">
        <w:rPr>
          <w:rFonts w:cs="Calibri"/>
          <w:bCs/>
          <w:color w:val="000000" w:themeColor="text1"/>
          <w:szCs w:val="21"/>
        </w:rPr>
        <w:t xml:space="preserve"> PAO1 after treatment of gRBP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P545</w:t>
      </w:r>
      <w:r w:rsidRPr="00901B84">
        <w:rPr>
          <w:rFonts w:cs="Calibri"/>
          <w:bCs/>
          <w:color w:val="000000" w:themeColor="text1"/>
          <w:szCs w:val="21"/>
        </w:rPr>
        <w:t xml:space="preserve"> at 37 °C for 30 min. No green cells were observed, demonstrating gRBP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P545</w:t>
      </w:r>
      <w:r w:rsidRPr="00901B84">
        <w:rPr>
          <w:rFonts w:cs="Calibri"/>
          <w:bCs/>
          <w:color w:val="000000" w:themeColor="text1"/>
          <w:szCs w:val="21"/>
        </w:rPr>
        <w:t xml:space="preserve"> was specifically bonded to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K. pneumoniae</w:t>
      </w:r>
      <w:r w:rsidRPr="00901B84">
        <w:rPr>
          <w:rFonts w:cs="Calibri"/>
          <w:bCs/>
          <w:color w:val="000000" w:themeColor="text1"/>
          <w:szCs w:val="21"/>
        </w:rPr>
        <w:t xml:space="preserve"> strains. (Scale bars represent 10 μm). </w:t>
      </w:r>
    </w:p>
    <w:p w14:paraId="6A6C3AF0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  <w:sectPr w:rsidR="00E332AB" w:rsidRPr="00901B84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51DF4B5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  <w:r w:rsidRPr="00901B84">
        <w:rPr>
          <w:rFonts w:cs="Calibri"/>
          <w:b/>
          <w:noProof/>
          <w:color w:val="000000" w:themeColor="text1"/>
          <w:szCs w:val="21"/>
        </w:rPr>
        <w:lastRenderedPageBreak/>
        <w:drawing>
          <wp:inline distT="0" distB="0" distL="0" distR="0" wp14:anchorId="44D66536" wp14:editId="6FF5B483">
            <wp:extent cx="3645264" cy="7377899"/>
            <wp:effectExtent l="0" t="0" r="0" b="0"/>
            <wp:docPr id="12" name="图片 12" descr="D:\Manuscript _rbp, cbd\figure s\FIG_S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anuscript _rbp, cbd\figure s\FIG_S-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603" cy="738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1B6B1" w14:textId="77777777" w:rsidR="00E332AB" w:rsidRPr="00901B84" w:rsidRDefault="00E332AB" w:rsidP="00E332AB">
      <w:pPr>
        <w:widowControl/>
        <w:rPr>
          <w:rFonts w:cs="Calibri"/>
          <w:bCs/>
          <w:color w:val="000000" w:themeColor="text1"/>
          <w:szCs w:val="21"/>
        </w:rPr>
      </w:pPr>
      <w:r w:rsidRPr="00901B84">
        <w:rPr>
          <w:rFonts w:cs="Calibri"/>
          <w:b/>
          <w:color w:val="000000" w:themeColor="text1"/>
          <w:szCs w:val="21"/>
        </w:rPr>
        <w:t>Extended Data Fig. 4</w:t>
      </w:r>
      <w:r w:rsidRPr="00901B84">
        <w:rPr>
          <w:rFonts w:cs="Calibri" w:hint="eastAsia"/>
          <w:b/>
          <w:color w:val="000000" w:themeColor="text1"/>
          <w:szCs w:val="21"/>
        </w:rPr>
        <w:t>|</w:t>
      </w:r>
      <w:r w:rsidRPr="00901B84">
        <w:rPr>
          <w:rFonts w:cs="Calibri"/>
          <w:b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 xml:space="preserve">Fluorescence microscopy images of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E. faecium</w:t>
      </w:r>
      <w:r w:rsidRPr="00901B84">
        <w:rPr>
          <w:rFonts w:cs="Calibri"/>
          <w:bCs/>
          <w:color w:val="000000" w:themeColor="text1"/>
          <w:szCs w:val="21"/>
        </w:rPr>
        <w:t xml:space="preserve">,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K. pneumoniae</w:t>
      </w:r>
      <w:r w:rsidRPr="00901B84">
        <w:rPr>
          <w:rFonts w:cs="Calibri"/>
          <w:bCs/>
          <w:color w:val="000000" w:themeColor="text1"/>
          <w:szCs w:val="21"/>
        </w:rPr>
        <w:t xml:space="preserve">,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A. baumannii</w:t>
      </w:r>
      <w:r w:rsidRPr="00901B84">
        <w:rPr>
          <w:rFonts w:cs="Calibri"/>
          <w:bCs/>
          <w:color w:val="000000" w:themeColor="text1"/>
          <w:szCs w:val="21"/>
        </w:rPr>
        <w:t xml:space="preserve">,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E. coli</w:t>
      </w:r>
      <w:r w:rsidRPr="00901B84">
        <w:rPr>
          <w:rFonts w:cs="Calibri"/>
          <w:bCs/>
          <w:color w:val="000000" w:themeColor="text1"/>
          <w:szCs w:val="21"/>
        </w:rPr>
        <w:t xml:space="preserve">,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P. aeruginosa</w:t>
      </w:r>
      <w:r w:rsidRPr="00901B84">
        <w:rPr>
          <w:rFonts w:cs="Calibri"/>
          <w:bCs/>
          <w:color w:val="000000" w:themeColor="text1"/>
          <w:szCs w:val="21"/>
        </w:rPr>
        <w:t xml:space="preserve"> PAO1 after treatment of gCBD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SA97</w:t>
      </w:r>
      <w:r w:rsidRPr="00901B84">
        <w:rPr>
          <w:rFonts w:cs="Calibri"/>
          <w:bCs/>
          <w:color w:val="000000" w:themeColor="text1"/>
          <w:szCs w:val="21"/>
        </w:rPr>
        <w:t xml:space="preserve"> at 37 °C for 30 min. No green cells were observed, demonstrating gCBD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SA97</w:t>
      </w:r>
      <w:r w:rsidRPr="00901B84">
        <w:rPr>
          <w:rFonts w:cs="Calibri"/>
          <w:bCs/>
          <w:color w:val="000000" w:themeColor="text1"/>
          <w:szCs w:val="21"/>
        </w:rPr>
        <w:t xml:space="preserve"> was specifically bonded to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S. aureus</w:t>
      </w:r>
      <w:r w:rsidRPr="00901B84">
        <w:rPr>
          <w:rFonts w:cs="Calibri"/>
          <w:bCs/>
          <w:color w:val="000000" w:themeColor="text1"/>
          <w:szCs w:val="21"/>
        </w:rPr>
        <w:t xml:space="preserve"> strains. (Scale bars represent 10 μm). </w:t>
      </w:r>
    </w:p>
    <w:p w14:paraId="690A9690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  <w:sectPr w:rsidR="00E332AB" w:rsidRPr="00901B84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63F12AA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  <w:r w:rsidRPr="00901B84">
        <w:rPr>
          <w:rFonts w:cs="Calibri"/>
          <w:b/>
          <w:noProof/>
          <w:color w:val="000000" w:themeColor="text1"/>
          <w:szCs w:val="21"/>
        </w:rPr>
        <w:lastRenderedPageBreak/>
        <w:drawing>
          <wp:inline distT="0" distB="0" distL="0" distR="0" wp14:anchorId="401AF502" wp14:editId="65362B76">
            <wp:extent cx="8863330" cy="2234199"/>
            <wp:effectExtent l="0" t="0" r="0" b="0"/>
            <wp:docPr id="7" name="图片 7" descr="D:\Manuscript _rbp, cbd\figure s\FIG_S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anuscript _rbp, cbd\figure s\FIG_S-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23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BE35E" w14:textId="77777777" w:rsidR="00E332AB" w:rsidRPr="00901B84" w:rsidRDefault="00E332AB" w:rsidP="00E332AB">
      <w:pPr>
        <w:widowControl/>
        <w:rPr>
          <w:rFonts w:cs="Calibri"/>
          <w:bCs/>
          <w:color w:val="000000" w:themeColor="text1"/>
          <w:szCs w:val="21"/>
        </w:rPr>
      </w:pPr>
      <w:r w:rsidRPr="00901B84">
        <w:rPr>
          <w:rFonts w:cs="Calibri"/>
          <w:b/>
          <w:color w:val="000000" w:themeColor="text1"/>
          <w:szCs w:val="21"/>
        </w:rPr>
        <w:t>Extended Data Fig. 5</w:t>
      </w:r>
      <w:r w:rsidRPr="00901B84">
        <w:rPr>
          <w:rFonts w:cs="Calibri" w:hint="eastAsia"/>
          <w:b/>
          <w:color w:val="000000" w:themeColor="text1"/>
          <w:szCs w:val="21"/>
        </w:rPr>
        <w:t>|</w:t>
      </w:r>
      <w:r w:rsidRPr="00901B84">
        <w:rPr>
          <w:rFonts w:cs="Calibri"/>
          <w:b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>Schematic illustration depicting the gCBD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SA97</w:t>
      </w:r>
      <w:r w:rsidRPr="00901B84">
        <w:rPr>
          <w:rFonts w:cs="Calibri"/>
          <w:bCs/>
          <w:color w:val="000000" w:themeColor="text1"/>
          <w:szCs w:val="21"/>
        </w:rPr>
        <w:t xml:space="preserve"> (Cys-His6-GFP-linker-CBD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SA97</w:t>
      </w:r>
      <w:r w:rsidRPr="00901B84">
        <w:rPr>
          <w:rFonts w:cs="Calibri"/>
          <w:bCs/>
          <w:color w:val="000000" w:themeColor="text1"/>
          <w:szCs w:val="21"/>
        </w:rPr>
        <w:t>) conjugates to Rif@UPSN and gRBP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P545</w:t>
      </w:r>
      <w:r w:rsidRPr="00901B84">
        <w:rPr>
          <w:rFonts w:cs="Calibri"/>
          <w:bCs/>
          <w:color w:val="000000" w:themeColor="text1"/>
          <w:szCs w:val="21"/>
        </w:rPr>
        <w:t xml:space="preserve"> (Cys-His6-GFP-linker-RBP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P545</w:t>
      </w:r>
      <w:r w:rsidRPr="00901B84">
        <w:rPr>
          <w:rFonts w:cs="Calibri"/>
          <w:bCs/>
          <w:color w:val="000000" w:themeColor="text1"/>
          <w:szCs w:val="21"/>
        </w:rPr>
        <w:t>) conjugates to Rif@LUN. gCBD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SA97</w:t>
      </w:r>
      <w:r w:rsidRPr="00901B84">
        <w:rPr>
          <w:rFonts w:cs="Calibri"/>
          <w:bCs/>
          <w:color w:val="000000" w:themeColor="text1"/>
          <w:szCs w:val="21"/>
        </w:rPr>
        <w:t xml:space="preserve"> conjugates to maleimide-activated Rif@-UPSN via the designed free cysteine residue at the N-terminus of this protein, and gRBP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P545</w:t>
      </w:r>
      <w:r w:rsidRPr="00901B84">
        <w:rPr>
          <w:rFonts w:cs="Calibri"/>
          <w:bCs/>
          <w:color w:val="000000" w:themeColor="text1"/>
          <w:szCs w:val="21"/>
        </w:rPr>
        <w:t xml:space="preserve"> conjugates to maleimide-activated Rif@LUN via the designed free cysteine residue at the N-terminus of this protein.</w:t>
      </w:r>
    </w:p>
    <w:p w14:paraId="5F0E5E4B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</w:p>
    <w:p w14:paraId="45445895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  <w:sectPr w:rsidR="00E332AB" w:rsidRPr="00901B84" w:rsidSect="002336B0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6A073733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  <w:r w:rsidRPr="00901B84">
        <w:rPr>
          <w:rFonts w:cs="Calibri"/>
          <w:b/>
          <w:noProof/>
          <w:color w:val="000000" w:themeColor="text1"/>
          <w:szCs w:val="21"/>
        </w:rPr>
        <w:lastRenderedPageBreak/>
        <w:drawing>
          <wp:inline distT="0" distB="0" distL="0" distR="0" wp14:anchorId="6A2E309F" wp14:editId="090C2D0A">
            <wp:extent cx="5274310" cy="2494574"/>
            <wp:effectExtent l="0" t="0" r="2540" b="1270"/>
            <wp:docPr id="8" name="图片 8" descr="D:\Manuscript _rbp, cbd\figure s\FIG_S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anuscript _rbp, cbd\figure s\FIG_S-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D8F06" w14:textId="77777777" w:rsidR="00E332AB" w:rsidRPr="00901B84" w:rsidRDefault="00E332AB" w:rsidP="00E332AB">
      <w:pPr>
        <w:widowControl/>
        <w:rPr>
          <w:rFonts w:cs="Calibri"/>
          <w:bCs/>
          <w:color w:val="000000" w:themeColor="text1"/>
          <w:szCs w:val="21"/>
        </w:rPr>
      </w:pPr>
      <w:r w:rsidRPr="00901B84">
        <w:rPr>
          <w:rFonts w:cs="Calibri"/>
          <w:b/>
          <w:color w:val="000000" w:themeColor="text1"/>
          <w:szCs w:val="21"/>
        </w:rPr>
        <w:t>Extended Data Fig. 6</w:t>
      </w:r>
      <w:r w:rsidRPr="00901B84">
        <w:rPr>
          <w:rFonts w:cs="Calibri" w:hint="eastAsia"/>
          <w:b/>
          <w:color w:val="000000" w:themeColor="text1"/>
          <w:szCs w:val="21"/>
        </w:rPr>
        <w:t>|</w:t>
      </w:r>
      <w:r w:rsidRPr="00901B84">
        <w:rPr>
          <w:rFonts w:cs="Calibri"/>
          <w:b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 xml:space="preserve">Hydrodynamic size distribution of the nanoparticles measured by dynamic light scattering. </w:t>
      </w:r>
      <w:r w:rsidRPr="00901B84">
        <w:rPr>
          <w:rFonts w:cs="Calibri"/>
          <w:b/>
          <w:color w:val="000000" w:themeColor="text1"/>
          <w:szCs w:val="21"/>
        </w:rPr>
        <w:t>a</w:t>
      </w:r>
      <w:r w:rsidRPr="00901B84">
        <w:rPr>
          <w:rFonts w:cs="Calibri"/>
          <w:bCs/>
          <w:color w:val="000000" w:themeColor="text1"/>
          <w:szCs w:val="21"/>
        </w:rPr>
        <w:t xml:space="preserve">, The hydrodynamic diameters of UPSN. </w:t>
      </w:r>
      <w:r w:rsidRPr="00901B84">
        <w:rPr>
          <w:rFonts w:cs="Calibri"/>
          <w:b/>
          <w:color w:val="000000" w:themeColor="text1"/>
          <w:szCs w:val="21"/>
        </w:rPr>
        <w:t>b</w:t>
      </w:r>
      <w:r w:rsidRPr="00901B84">
        <w:rPr>
          <w:rFonts w:cs="Calibri"/>
          <w:bCs/>
          <w:color w:val="000000" w:themeColor="text1"/>
          <w:szCs w:val="21"/>
        </w:rPr>
        <w:t>, The hydrodynamic diameters of UPSN-NH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2</w:t>
      </w:r>
      <w:r w:rsidRPr="00901B84">
        <w:rPr>
          <w:rFonts w:cs="Calibri"/>
          <w:bCs/>
          <w:color w:val="000000" w:themeColor="text1"/>
          <w:szCs w:val="21"/>
        </w:rPr>
        <w:t xml:space="preserve">. </w:t>
      </w:r>
      <w:r w:rsidRPr="00901B84">
        <w:rPr>
          <w:rFonts w:cs="Calibri"/>
          <w:b/>
          <w:color w:val="000000" w:themeColor="text1"/>
          <w:szCs w:val="21"/>
        </w:rPr>
        <w:t>c</w:t>
      </w:r>
      <w:r w:rsidRPr="00901B84">
        <w:rPr>
          <w:rFonts w:cs="Calibri"/>
          <w:bCs/>
          <w:color w:val="000000" w:themeColor="text1"/>
          <w:szCs w:val="21"/>
        </w:rPr>
        <w:t xml:space="preserve">, The hydrodynamic diameters of Rif@UPSN. </w:t>
      </w:r>
      <w:r w:rsidRPr="00901B84">
        <w:rPr>
          <w:rFonts w:cs="Calibri"/>
          <w:b/>
          <w:color w:val="000000" w:themeColor="text1"/>
          <w:szCs w:val="21"/>
        </w:rPr>
        <w:t>d</w:t>
      </w:r>
      <w:r w:rsidRPr="00901B84">
        <w:rPr>
          <w:rFonts w:cs="Calibri"/>
          <w:bCs/>
          <w:color w:val="000000" w:themeColor="text1"/>
          <w:szCs w:val="21"/>
        </w:rPr>
        <w:t>, The hydrodynamic diameters of Rif@UPSN@CBD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SA97</w:t>
      </w:r>
      <w:r w:rsidRPr="00901B84">
        <w:rPr>
          <w:rFonts w:cs="Calibri"/>
          <w:bCs/>
          <w:color w:val="000000" w:themeColor="text1"/>
          <w:szCs w:val="21"/>
        </w:rPr>
        <w:t xml:space="preserve">. </w:t>
      </w:r>
      <w:r w:rsidRPr="00901B84">
        <w:rPr>
          <w:rFonts w:cs="Calibri"/>
          <w:b/>
          <w:color w:val="000000" w:themeColor="text1"/>
          <w:szCs w:val="21"/>
        </w:rPr>
        <w:t>e</w:t>
      </w:r>
      <w:r w:rsidRPr="00901B84">
        <w:rPr>
          <w:rFonts w:cs="Calibri"/>
          <w:bCs/>
          <w:color w:val="000000" w:themeColor="text1"/>
          <w:szCs w:val="21"/>
        </w:rPr>
        <w:t xml:space="preserve">, The hydrodynamic diameters of Rif@LUN. </w:t>
      </w:r>
      <w:r w:rsidRPr="00901B84">
        <w:rPr>
          <w:rFonts w:cs="Calibri"/>
          <w:b/>
          <w:color w:val="000000" w:themeColor="text1"/>
          <w:szCs w:val="21"/>
        </w:rPr>
        <w:t>f</w:t>
      </w:r>
      <w:r w:rsidRPr="00901B84">
        <w:rPr>
          <w:rFonts w:cs="Calibri"/>
          <w:bCs/>
          <w:color w:val="000000" w:themeColor="text1"/>
          <w:szCs w:val="21"/>
        </w:rPr>
        <w:t>, The hydrodynamic diameters of Rif@LUN-RBP</w:t>
      </w:r>
      <w:r w:rsidRPr="00901B84">
        <w:rPr>
          <w:rFonts w:cs="Calibri"/>
          <w:bCs/>
          <w:color w:val="000000" w:themeColor="text1"/>
          <w:szCs w:val="21"/>
          <w:vertAlign w:val="subscript"/>
        </w:rPr>
        <w:t>P545</w:t>
      </w:r>
      <w:r w:rsidRPr="00901B84">
        <w:rPr>
          <w:rFonts w:cs="Calibri"/>
          <w:bCs/>
          <w:color w:val="000000" w:themeColor="text1"/>
          <w:szCs w:val="21"/>
        </w:rPr>
        <w:t xml:space="preserve">. </w:t>
      </w:r>
      <w:r w:rsidRPr="00901B84">
        <w:rPr>
          <w:rFonts w:cs="Calibri"/>
          <w:b/>
          <w:color w:val="000000" w:themeColor="text1"/>
          <w:szCs w:val="21"/>
        </w:rPr>
        <w:t xml:space="preserve"> </w:t>
      </w:r>
    </w:p>
    <w:p w14:paraId="1BC49773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  <w:sectPr w:rsidR="00E332AB" w:rsidRPr="00901B84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F2C814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  <w:r w:rsidRPr="00901B84">
        <w:rPr>
          <w:rFonts w:cs="Calibri"/>
          <w:b/>
          <w:noProof/>
          <w:color w:val="000000" w:themeColor="text1"/>
          <w:szCs w:val="21"/>
        </w:rPr>
        <w:lastRenderedPageBreak/>
        <w:drawing>
          <wp:inline distT="0" distB="0" distL="0" distR="0" wp14:anchorId="332893FA" wp14:editId="36C1B244">
            <wp:extent cx="5274310" cy="3011170"/>
            <wp:effectExtent l="0" t="0" r="0" b="0"/>
            <wp:docPr id="13" name="图片 1" descr="0.预实验R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0.预实验RB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29508" w14:textId="77777777" w:rsidR="00E332AB" w:rsidRPr="00901B84" w:rsidRDefault="00E332AB" w:rsidP="00E332AB">
      <w:pPr>
        <w:widowControl/>
        <w:rPr>
          <w:rFonts w:cs="Calibri"/>
          <w:bCs/>
          <w:color w:val="000000" w:themeColor="text1"/>
          <w:szCs w:val="21"/>
        </w:rPr>
      </w:pPr>
      <w:r w:rsidRPr="00901B84">
        <w:rPr>
          <w:rFonts w:cs="Calibri"/>
          <w:b/>
          <w:color w:val="000000" w:themeColor="text1"/>
          <w:szCs w:val="21"/>
        </w:rPr>
        <w:t>Extended Data Fig. 7</w:t>
      </w:r>
      <w:r w:rsidRPr="00901B84">
        <w:rPr>
          <w:rFonts w:cs="Calibri" w:hint="eastAsia"/>
          <w:b/>
          <w:color w:val="000000" w:themeColor="text1"/>
          <w:szCs w:val="21"/>
        </w:rPr>
        <w:t>|</w:t>
      </w:r>
      <w:r w:rsidRPr="00901B84">
        <w:rPr>
          <w:rFonts w:cs="Calibri"/>
          <w:b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 xml:space="preserve">Survival </w:t>
      </w:r>
      <w:r w:rsidRPr="00901B84">
        <w:rPr>
          <w:rFonts w:cs="Calibri" w:hint="eastAsia"/>
          <w:bCs/>
          <w:color w:val="000000" w:themeColor="text1"/>
          <w:szCs w:val="21"/>
        </w:rPr>
        <w:t>r</w:t>
      </w:r>
      <w:r w:rsidRPr="00901B84">
        <w:rPr>
          <w:rFonts w:cs="Calibri"/>
          <w:bCs/>
          <w:color w:val="000000" w:themeColor="text1"/>
          <w:szCs w:val="21"/>
        </w:rPr>
        <w:t>ate (</w:t>
      </w:r>
      <w:r w:rsidRPr="00901B84">
        <w:rPr>
          <w:rFonts w:cs="Calibri" w:hint="eastAsia"/>
          <w:bCs/>
          <w:color w:val="000000" w:themeColor="text1"/>
          <w:szCs w:val="21"/>
        </w:rPr>
        <w:t>n</w:t>
      </w:r>
      <w:r w:rsidRPr="00901B84">
        <w:rPr>
          <w:rFonts w:cs="Calibri"/>
          <w:bCs/>
          <w:color w:val="000000" w:themeColor="text1"/>
          <w:szCs w:val="21"/>
        </w:rPr>
        <w:t xml:space="preserve">=10) of mice after intratracheal inoculation of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K. pneumoniae</w:t>
      </w:r>
      <w:r w:rsidRPr="00901B84">
        <w:rPr>
          <w:rFonts w:cs="Calibri"/>
          <w:bCs/>
          <w:color w:val="000000" w:themeColor="text1"/>
          <w:szCs w:val="21"/>
        </w:rPr>
        <w:t xml:space="preserve"> at a dose of 8×10</w:t>
      </w:r>
      <w:r w:rsidRPr="00901B84">
        <w:rPr>
          <w:rFonts w:cs="Calibri"/>
          <w:bCs/>
          <w:color w:val="000000" w:themeColor="text1"/>
          <w:szCs w:val="21"/>
          <w:vertAlign w:val="superscript"/>
        </w:rPr>
        <w:t>9</w:t>
      </w:r>
      <w:r w:rsidRPr="00901B84">
        <w:rPr>
          <w:rFonts w:cs="Calibri"/>
          <w:bCs/>
          <w:color w:val="000000" w:themeColor="text1"/>
          <w:szCs w:val="21"/>
        </w:rPr>
        <w:t xml:space="preserve"> c.f.u. per mouse. Groups of mice received free rifampicin at a dose range of 1.25 to 40 mg/kg intravenously 12 post the bacterial inoculation. </w:t>
      </w:r>
    </w:p>
    <w:p w14:paraId="184C5815" w14:textId="77777777" w:rsidR="00E332AB" w:rsidRPr="00901B84" w:rsidRDefault="00E332AB" w:rsidP="00E332AB">
      <w:pPr>
        <w:widowControl/>
        <w:rPr>
          <w:rFonts w:cs="Calibri"/>
          <w:bCs/>
          <w:color w:val="000000" w:themeColor="text1"/>
          <w:szCs w:val="21"/>
        </w:rPr>
      </w:pPr>
    </w:p>
    <w:p w14:paraId="43DBE0FD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  <w:sectPr w:rsidR="00E332AB" w:rsidRPr="00901B84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5532F10" w14:textId="77777777" w:rsidR="00E332AB" w:rsidRPr="00901B84" w:rsidRDefault="00E332AB" w:rsidP="00E332AB">
      <w:pPr>
        <w:widowControl/>
        <w:jc w:val="left"/>
        <w:rPr>
          <w:rFonts w:cs="Calibri"/>
          <w:b/>
          <w:color w:val="000000" w:themeColor="text1"/>
          <w:szCs w:val="21"/>
        </w:rPr>
      </w:pPr>
      <w:r w:rsidRPr="00901B84">
        <w:rPr>
          <w:rFonts w:cs="Calibri"/>
          <w:b/>
          <w:noProof/>
          <w:color w:val="000000" w:themeColor="text1"/>
          <w:szCs w:val="21"/>
        </w:rPr>
        <w:lastRenderedPageBreak/>
        <w:drawing>
          <wp:inline distT="0" distB="0" distL="0" distR="0" wp14:anchorId="3FE0A961" wp14:editId="28CEBD70">
            <wp:extent cx="5274310" cy="3048000"/>
            <wp:effectExtent l="0" t="0" r="0" b="0"/>
            <wp:docPr id="14" name="图片 2" descr="0.预实验 C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0.预实验 CB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15AE5" w14:textId="77777777" w:rsidR="00E332AB" w:rsidRPr="00901B84" w:rsidRDefault="00E332AB" w:rsidP="00E332AB">
      <w:pPr>
        <w:widowControl/>
        <w:rPr>
          <w:rFonts w:cs="Calibri"/>
          <w:bCs/>
          <w:color w:val="000000" w:themeColor="text1"/>
          <w:szCs w:val="21"/>
        </w:rPr>
      </w:pPr>
      <w:r w:rsidRPr="00901B84">
        <w:rPr>
          <w:rFonts w:cs="Calibri"/>
          <w:b/>
          <w:color w:val="000000" w:themeColor="text1"/>
          <w:szCs w:val="21"/>
        </w:rPr>
        <w:t>Extended Data Fig. 8</w:t>
      </w:r>
      <w:r w:rsidRPr="00901B84">
        <w:rPr>
          <w:rFonts w:cs="Calibri" w:hint="eastAsia"/>
          <w:b/>
          <w:color w:val="000000" w:themeColor="text1"/>
          <w:szCs w:val="21"/>
        </w:rPr>
        <w:t>|</w:t>
      </w:r>
      <w:r w:rsidRPr="00901B84">
        <w:rPr>
          <w:rFonts w:cs="Calibri"/>
          <w:b/>
          <w:color w:val="000000" w:themeColor="text1"/>
          <w:szCs w:val="21"/>
        </w:rPr>
        <w:t xml:space="preserve"> </w:t>
      </w:r>
      <w:r w:rsidRPr="00901B84">
        <w:rPr>
          <w:rFonts w:cs="Calibri"/>
          <w:bCs/>
          <w:color w:val="000000" w:themeColor="text1"/>
          <w:szCs w:val="21"/>
        </w:rPr>
        <w:t xml:space="preserve">Survival </w:t>
      </w:r>
      <w:r w:rsidRPr="00901B84">
        <w:rPr>
          <w:rFonts w:cs="Calibri" w:hint="eastAsia"/>
          <w:bCs/>
          <w:color w:val="000000" w:themeColor="text1"/>
          <w:szCs w:val="21"/>
        </w:rPr>
        <w:t>r</w:t>
      </w:r>
      <w:r w:rsidRPr="00901B84">
        <w:rPr>
          <w:rFonts w:cs="Calibri"/>
          <w:bCs/>
          <w:color w:val="000000" w:themeColor="text1"/>
          <w:szCs w:val="21"/>
        </w:rPr>
        <w:t>ate (</w:t>
      </w:r>
      <w:r w:rsidRPr="00901B84">
        <w:rPr>
          <w:rFonts w:cs="Calibri" w:hint="eastAsia"/>
          <w:bCs/>
          <w:color w:val="000000" w:themeColor="text1"/>
          <w:szCs w:val="21"/>
        </w:rPr>
        <w:t>n</w:t>
      </w:r>
      <w:r w:rsidRPr="00901B84">
        <w:rPr>
          <w:rFonts w:cs="Calibri"/>
          <w:bCs/>
          <w:color w:val="000000" w:themeColor="text1"/>
          <w:szCs w:val="21"/>
        </w:rPr>
        <w:t xml:space="preserve">=10) of mice after intratracheal inoculation of </w:t>
      </w:r>
      <w:r w:rsidRPr="00901B84">
        <w:rPr>
          <w:rFonts w:cs="Calibri"/>
          <w:bCs/>
          <w:i/>
          <w:iCs/>
          <w:color w:val="000000" w:themeColor="text1"/>
          <w:szCs w:val="21"/>
        </w:rPr>
        <w:t>S. aureus</w:t>
      </w:r>
      <w:r w:rsidRPr="00901B84">
        <w:rPr>
          <w:rFonts w:cs="Calibri"/>
          <w:bCs/>
          <w:color w:val="000000" w:themeColor="text1"/>
          <w:szCs w:val="21"/>
        </w:rPr>
        <w:t xml:space="preserve"> at a dose of 10×10</w:t>
      </w:r>
      <w:r w:rsidRPr="00901B84">
        <w:rPr>
          <w:rFonts w:cs="Calibri"/>
          <w:bCs/>
          <w:color w:val="000000" w:themeColor="text1"/>
          <w:szCs w:val="21"/>
          <w:vertAlign w:val="superscript"/>
        </w:rPr>
        <w:t>9</w:t>
      </w:r>
      <w:r w:rsidRPr="00901B84">
        <w:rPr>
          <w:rFonts w:cs="Calibri"/>
          <w:bCs/>
          <w:color w:val="000000" w:themeColor="text1"/>
          <w:szCs w:val="21"/>
        </w:rPr>
        <w:t xml:space="preserve"> c.f.u. per mouse. Groups of mice received free rifampicin at a dose range of 0.033 to 8.1 mg/kg intravenously 12 post the bacterial inoculation. </w:t>
      </w:r>
    </w:p>
    <w:p w14:paraId="3D48D41D" w14:textId="77777777" w:rsidR="00E332AB" w:rsidRPr="00901B84" w:rsidRDefault="00E332AB" w:rsidP="00E332AB">
      <w:pPr>
        <w:rPr>
          <w:rFonts w:ascii="Calibri" w:hAnsi="Calibri" w:cs="Calibri"/>
          <w:color w:val="000000" w:themeColor="text1"/>
          <w:szCs w:val="21"/>
        </w:rPr>
      </w:pPr>
    </w:p>
    <w:p w14:paraId="0BE65304" w14:textId="77777777" w:rsidR="00755780" w:rsidRDefault="00755780"/>
    <w:sectPr w:rsidR="00755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AB"/>
    <w:rsid w:val="00755780"/>
    <w:rsid w:val="00857596"/>
    <w:rsid w:val="00E3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FB87B"/>
  <w15:chartTrackingRefBased/>
  <w15:docId w15:val="{A3462EE7-7DBC-44CA-BC70-2F1385D9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AB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5" Type="http://schemas.openxmlformats.org/officeDocument/2006/relationships/image" Target="media/image2.png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372</Words>
  <Characters>2126</Characters>
  <Application>Microsoft Office Word</Application>
  <DocSecurity>0</DocSecurity>
  <Lines>17</Lines>
  <Paragraphs>4</Paragraphs>
  <ScaleCrop>false</ScaleCrop>
  <Company>Springer Nature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2023-12-21T05:13:00Z</dcterms:created>
  <dcterms:modified xsi:type="dcterms:W3CDTF">2023-12-21T05:14:00Z</dcterms:modified>
</cp:coreProperties>
</file>