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Times New Roman"/>
          <w:b/>
          <w:szCs w:val="24"/>
        </w:rPr>
      </w:pPr>
      <w:bookmarkStart w:id="292" w:name="_GoBack"/>
      <w:bookmarkEnd w:id="292"/>
      <w:r>
        <w:rPr>
          <w:rFonts w:cs="Times New Roman"/>
          <w:b/>
          <w:szCs w:val="24"/>
        </w:rPr>
        <w:t>Supplementary Information</w:t>
      </w:r>
    </w:p>
    <w:p>
      <w:pPr>
        <w:jc w:val="center"/>
        <w:rPr>
          <w:rFonts w:cs="Times New Roman"/>
          <w:b/>
          <w:szCs w:val="24"/>
        </w:rPr>
      </w:pPr>
    </w:p>
    <w:p>
      <w:pPr>
        <w:spacing w:after="60"/>
        <w:jc w:val="center"/>
        <w:rPr>
          <w:kern w:val="22"/>
          <w:szCs w:val="24"/>
        </w:rPr>
      </w:pPr>
      <w:bookmarkStart w:id="0" w:name="_Hlk102934725"/>
      <w:r>
        <w:rPr>
          <w:rFonts w:hint="eastAsia"/>
          <w:b/>
          <w:kern w:val="36"/>
          <w:sz w:val="30"/>
          <w:szCs w:val="30"/>
          <w:lang w:bidi="ar"/>
        </w:rPr>
        <w:t>Tuning the oxidation activity of alcohols via</w:t>
      </w:r>
      <w:r>
        <w:rPr>
          <w:b/>
          <w:kern w:val="36"/>
          <w:sz w:val="30"/>
          <w:szCs w:val="30"/>
          <w:lang w:bidi="ar"/>
        </w:rPr>
        <w:t xml:space="preserve"> </w:t>
      </w:r>
      <w:r>
        <w:rPr>
          <w:rFonts w:hint="eastAsia"/>
          <w:b/>
          <w:kern w:val="36"/>
          <w:sz w:val="30"/>
          <w:szCs w:val="30"/>
          <w:lang w:bidi="ar"/>
        </w:rPr>
        <w:t>hydrogen-bond</w:t>
      </w:r>
      <w:r>
        <w:rPr>
          <w:b/>
          <w:kern w:val="36"/>
          <w:sz w:val="30"/>
          <w:szCs w:val="30"/>
          <w:lang w:bidi="ar"/>
        </w:rPr>
        <w:t xml:space="preserve"> interactions</w:t>
      </w:r>
      <w:r>
        <w:rPr>
          <w:rFonts w:hint="eastAsia"/>
          <w:kern w:val="22"/>
          <w:szCs w:val="24"/>
        </w:rPr>
        <w:t xml:space="preserve"> </w:t>
      </w:r>
    </w:p>
    <w:p>
      <w:pPr>
        <w:spacing w:after="60"/>
        <w:jc w:val="center"/>
        <w:rPr>
          <w:kern w:val="22"/>
          <w:szCs w:val="24"/>
        </w:rPr>
      </w:pPr>
      <w:r>
        <w:rPr>
          <w:rFonts w:hint="eastAsia"/>
          <w:kern w:val="22"/>
          <w:szCs w:val="24"/>
        </w:rPr>
        <w:t xml:space="preserve">Xiao </w:t>
      </w:r>
      <w:r>
        <w:rPr>
          <w:kern w:val="22"/>
          <w:szCs w:val="24"/>
        </w:rPr>
        <w:t>F</w:t>
      </w:r>
      <w:r>
        <w:rPr>
          <w:rFonts w:hint="eastAsia"/>
          <w:kern w:val="22"/>
          <w:szCs w:val="24"/>
        </w:rPr>
        <w:t>eng</w:t>
      </w:r>
      <w:r>
        <w:rPr>
          <w:kern w:val="22"/>
          <w:szCs w:val="24"/>
          <w:vertAlign w:val="superscript"/>
        </w:rPr>
        <w:t>1,2</w:t>
      </w:r>
      <w:r>
        <w:rPr>
          <w:rFonts w:hint="eastAsia"/>
          <w:kern w:val="22"/>
          <w:szCs w:val="24"/>
        </w:rPr>
        <w:t>, Piaoping Yang</w:t>
      </w:r>
      <w:r>
        <w:rPr>
          <w:kern w:val="22"/>
          <w:szCs w:val="24"/>
          <w:vertAlign w:val="superscript"/>
        </w:rPr>
        <w:t>3</w:t>
      </w:r>
      <w:r>
        <w:rPr>
          <w:rFonts w:hint="eastAsia"/>
          <w:kern w:val="22"/>
          <w:szCs w:val="24"/>
        </w:rPr>
        <w:t xml:space="preserve">, </w:t>
      </w:r>
      <w:r>
        <w:rPr>
          <w:kern w:val="22"/>
          <w:szCs w:val="24"/>
        </w:rPr>
        <w:t>Y</w:t>
      </w:r>
      <w:r>
        <w:rPr>
          <w:rFonts w:hint="eastAsia"/>
          <w:kern w:val="22"/>
          <w:szCs w:val="24"/>
        </w:rPr>
        <w:t xml:space="preserve">inwei </w:t>
      </w:r>
      <w:r>
        <w:rPr>
          <w:kern w:val="22"/>
          <w:szCs w:val="24"/>
        </w:rPr>
        <w:t>W</w:t>
      </w:r>
      <w:r>
        <w:rPr>
          <w:rFonts w:hint="eastAsia"/>
          <w:kern w:val="22"/>
          <w:szCs w:val="24"/>
        </w:rPr>
        <w:t>ang</w:t>
      </w:r>
      <w:r>
        <w:rPr>
          <w:kern w:val="22"/>
          <w:szCs w:val="24"/>
          <w:vertAlign w:val="superscript"/>
        </w:rPr>
        <w:t>1,2</w:t>
      </w:r>
      <w:r>
        <w:rPr>
          <w:kern w:val="22"/>
          <w:szCs w:val="24"/>
        </w:rPr>
        <w:t>,</w:t>
      </w:r>
      <w:r>
        <w:rPr>
          <w:rFonts w:hint="eastAsia"/>
          <w:kern w:val="22"/>
          <w:szCs w:val="24"/>
        </w:rPr>
        <w:t xml:space="preserve"> </w:t>
      </w:r>
      <w:r>
        <w:rPr>
          <w:kern w:val="22"/>
          <w:szCs w:val="24"/>
        </w:rPr>
        <w:t>J</w:t>
      </w:r>
      <w:r>
        <w:rPr>
          <w:rFonts w:hint="eastAsia"/>
          <w:kern w:val="22"/>
          <w:szCs w:val="24"/>
        </w:rPr>
        <w:t>ieqi Cao</w:t>
      </w:r>
      <w:r>
        <w:rPr>
          <w:kern w:val="22"/>
          <w:szCs w:val="24"/>
          <w:vertAlign w:val="superscript"/>
        </w:rPr>
        <w:t>1,2</w:t>
      </w:r>
      <w:r>
        <w:rPr>
          <w:rFonts w:hint="eastAsia"/>
          <w:kern w:val="22"/>
          <w:szCs w:val="24"/>
        </w:rPr>
        <w:t>, J</w:t>
      </w:r>
      <w:r>
        <w:rPr>
          <w:kern w:val="22"/>
          <w:szCs w:val="24"/>
        </w:rPr>
        <w:t>in Gao</w:t>
      </w:r>
      <w:r>
        <w:rPr>
          <w:kern w:val="22"/>
          <w:szCs w:val="24"/>
          <w:vertAlign w:val="superscript"/>
        </w:rPr>
        <w:t>1</w:t>
      </w:r>
      <w:r>
        <w:rPr>
          <w:rFonts w:hint="eastAsia"/>
          <w:kern w:val="22"/>
          <w:szCs w:val="24"/>
        </w:rPr>
        <w:t>*</w:t>
      </w:r>
      <w:r>
        <w:rPr>
          <w:kern w:val="22"/>
          <w:szCs w:val="24"/>
        </w:rPr>
        <w:t>,</w:t>
      </w:r>
      <w:r>
        <w:rPr>
          <w:rFonts w:hint="eastAsia"/>
          <w:kern w:val="22"/>
          <w:szCs w:val="24"/>
        </w:rPr>
        <w:t xml:space="preserve"> Song Shi</w:t>
      </w:r>
      <w:r>
        <w:rPr>
          <w:kern w:val="22"/>
          <w:szCs w:val="24"/>
          <w:vertAlign w:val="superscript"/>
        </w:rPr>
        <w:t>1</w:t>
      </w:r>
      <w:r>
        <w:rPr>
          <w:rFonts w:hint="eastAsia"/>
          <w:kern w:val="22"/>
          <w:szCs w:val="24"/>
        </w:rPr>
        <w:t>*, Dionisios G. Vlachos</w:t>
      </w:r>
      <w:r>
        <w:rPr>
          <w:kern w:val="22"/>
          <w:szCs w:val="24"/>
          <w:vertAlign w:val="superscript"/>
        </w:rPr>
        <w:t>3</w:t>
      </w:r>
    </w:p>
    <w:p>
      <w:pPr>
        <w:spacing w:after="60"/>
        <w:jc w:val="center"/>
        <w:rPr>
          <w:kern w:val="22"/>
          <w:szCs w:val="24"/>
        </w:rPr>
      </w:pPr>
      <w:r>
        <w:rPr>
          <w:kern w:val="22"/>
          <w:szCs w:val="24"/>
          <w:vertAlign w:val="superscript"/>
        </w:rPr>
        <w:t xml:space="preserve">1 </w:t>
      </w:r>
      <w:r>
        <w:rPr>
          <w:kern w:val="22"/>
          <w:szCs w:val="24"/>
        </w:rPr>
        <w:t>State Key Laboratory of Catalysis, Dalian Institute of Chemical Physics, Chinese Academy of Sciences, Dalian 116023, People’s Republic of China.</w:t>
      </w:r>
    </w:p>
    <w:p>
      <w:pPr>
        <w:spacing w:after="60"/>
        <w:jc w:val="center"/>
        <w:rPr>
          <w:kern w:val="22"/>
          <w:szCs w:val="24"/>
        </w:rPr>
      </w:pPr>
      <w:r>
        <w:rPr>
          <w:rFonts w:hint="eastAsia"/>
          <w:kern w:val="22"/>
          <w:szCs w:val="24"/>
          <w:vertAlign w:val="superscript"/>
        </w:rPr>
        <w:t>2</w:t>
      </w:r>
      <w:r>
        <w:rPr>
          <w:rFonts w:hint="eastAsia"/>
          <w:kern w:val="22"/>
          <w:szCs w:val="24"/>
        </w:rPr>
        <w:t xml:space="preserve"> University of Chinese Academy of Sciences, Beijing 100049, People</w:t>
      </w:r>
      <w:r>
        <w:rPr>
          <w:kern w:val="22"/>
          <w:szCs w:val="24"/>
        </w:rPr>
        <w:t>’</w:t>
      </w:r>
      <w:r>
        <w:rPr>
          <w:rFonts w:hint="eastAsia"/>
          <w:kern w:val="22"/>
          <w:szCs w:val="24"/>
        </w:rPr>
        <w:t>s Republic of China.</w:t>
      </w:r>
    </w:p>
    <w:bookmarkEnd w:id="0"/>
    <w:p>
      <w:pPr>
        <w:widowControl/>
        <w:jc w:val="center"/>
        <w:rPr>
          <w:rFonts w:cs="Times New Roman"/>
          <w:bCs/>
          <w:szCs w:val="21"/>
        </w:rPr>
      </w:pPr>
      <w:r>
        <w:rPr>
          <w:rFonts w:cs="Times New Roman"/>
          <w:bCs/>
          <w:szCs w:val="21"/>
          <w:vertAlign w:val="superscript"/>
        </w:rPr>
        <w:t>3</w:t>
      </w:r>
      <w:r>
        <w:rPr>
          <w:rFonts w:cs="Times New Roman"/>
          <w:bCs/>
          <w:szCs w:val="21"/>
        </w:rPr>
        <w:t xml:space="preserve"> Department of Chemical and Biomolecular Engineering and Catalysis Center for Energy Innovation (CCEI), University of Delaware, Newark, DE 19716, USA. </w:t>
      </w:r>
    </w:p>
    <w:p>
      <w:pPr>
        <w:widowControl/>
        <w:jc w:val="center"/>
        <w:rPr>
          <w:rFonts w:cs="Times New Roman"/>
          <w:bCs/>
          <w:szCs w:val="21"/>
        </w:rPr>
      </w:pPr>
      <w:r>
        <w:rPr>
          <w:rFonts w:cs="Times New Roman"/>
          <w:bCs/>
          <w:szCs w:val="21"/>
        </w:rPr>
        <w:t>E</w:t>
      </w:r>
      <w:r>
        <w:rPr>
          <w:rFonts w:hint="eastAsia" w:cs="Times New Roman"/>
          <w:bCs/>
          <w:szCs w:val="21"/>
        </w:rPr>
        <w:t>mail: shisong@dicp.ac.cn</w:t>
      </w:r>
    </w:p>
    <w:p>
      <w:pPr>
        <w:widowControl/>
        <w:jc w:val="center"/>
        <w:rPr>
          <w:rFonts w:cs="Times New Roman"/>
          <w:bCs/>
          <w:szCs w:val="21"/>
        </w:rPr>
      </w:pPr>
      <w:r>
        <w:rPr>
          <w:rFonts w:cs="Times New Roman"/>
          <w:bCs/>
          <w:szCs w:val="21"/>
        </w:rPr>
        <w:br w:type="page"/>
      </w:r>
    </w:p>
    <w:p>
      <w:pPr>
        <w:pStyle w:val="35"/>
        <w:spacing w:before="624" w:beforeLines="200" w:after="0"/>
        <w:jc w:val="center"/>
        <w:rPr>
          <w:b/>
          <w:bCs/>
          <w:sz w:val="24"/>
          <w:szCs w:val="24"/>
        </w:rPr>
      </w:pPr>
      <w:bookmarkStart w:id="1" w:name="OLE_LINK135"/>
      <w:bookmarkStart w:id="2" w:name="OLE_LINK139"/>
      <w:r>
        <w:rPr>
          <w:rFonts w:cs="Times New Roman"/>
          <w:b/>
          <w:bCs/>
          <w:sz w:val="32"/>
          <w:szCs w:val="32"/>
        </w:rPr>
        <w:t>C</w:t>
      </w:r>
      <w:r>
        <w:rPr>
          <w:rFonts w:hint="eastAsia" w:cs="Times New Roman"/>
          <w:b/>
          <w:bCs/>
          <w:sz w:val="32"/>
          <w:szCs w:val="32"/>
        </w:rPr>
        <w:t>ontents</w:t>
      </w:r>
      <w:r>
        <w:rPr>
          <w:rFonts w:cs="Times New Roman"/>
          <w:b/>
          <w:bCs/>
          <w:sz w:val="24"/>
          <w:szCs w:val="24"/>
        </w:rPr>
        <w:fldChar w:fldCharType="begin"/>
      </w:r>
      <w:r>
        <w:rPr>
          <w:rFonts w:cs="Times New Roman"/>
          <w:b/>
          <w:bCs/>
          <w:sz w:val="24"/>
          <w:szCs w:val="24"/>
        </w:rPr>
        <w:instrText xml:space="preserve"> </w:instrText>
      </w:r>
      <w:r>
        <w:rPr>
          <w:rFonts w:hint="eastAsia" w:cs="Times New Roman"/>
          <w:b/>
          <w:bCs/>
          <w:sz w:val="24"/>
          <w:szCs w:val="24"/>
        </w:rPr>
        <w:instrText xml:space="preserve">TOC \o "1-1" \h \z \u</w:instrText>
      </w:r>
      <w:r>
        <w:rPr>
          <w:rFonts w:cs="Times New Roman"/>
          <w:b/>
          <w:bCs/>
          <w:sz w:val="24"/>
          <w:szCs w:val="24"/>
        </w:rPr>
        <w:instrText xml:space="preserve"> </w:instrText>
      </w:r>
      <w:r>
        <w:rPr>
          <w:rFonts w:cs="Times New Roman"/>
          <w:b/>
          <w:bCs/>
          <w:sz w:val="24"/>
          <w:szCs w:val="24"/>
        </w:rPr>
        <w:fldChar w:fldCharType="separate"/>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"_Toc150263706" </w:instrText>
      </w:r>
      <w:r>
        <w:fldChar w:fldCharType="separate"/>
      </w:r>
      <w:r>
        <w:rPr>
          <w:rStyle w:val="25"/>
        </w:rPr>
        <w:t>Methods.</w:t>
      </w:r>
      <w:r>
        <w:tab/>
      </w:r>
      <w:r>
        <w:t>4</w:t>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"_Toc150263706" </w:instrText>
      </w:r>
      <w:r>
        <w:fldChar w:fldCharType="separate"/>
      </w:r>
      <w:r>
        <w:rPr>
          <w:rStyle w:val="25"/>
        </w:rPr>
        <w:t>Supplementary Figure 1. Lattice spacing measurement with Digital Micrograph.</w:t>
      </w:r>
      <w:r>
        <w:tab/>
      </w:r>
      <w:r>
        <w:rPr>
          <w:rFonts w:eastAsia="宋体"/>
        </w:rPr>
        <w:t>6</w:t>
      </w:r>
      <w:r>
        <w:rPr>
          <w:rFonts w:eastAsia="宋体"/>
        </w:rP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"_Toc150263707" </w:instrText>
      </w:r>
      <w:r>
        <w:fldChar w:fldCharType="separate"/>
      </w:r>
      <w:r>
        <w:rPr>
          <w:rStyle w:val="25"/>
        </w:rPr>
        <w:t>Supplementary Figure 2. XPS spectra of Au 4f and Pd 3d on different catalysts.</w:t>
      </w:r>
      <w:r>
        <w:tab/>
      </w:r>
      <w:r>
        <w:rPr>
          <w:rFonts w:eastAsia="宋体"/>
        </w:rPr>
        <w:t>7</w:t>
      </w:r>
      <w:r>
        <w:rPr>
          <w:rFonts w:eastAsia="宋体"/>
        </w:rP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"_Toc150263709" </w:instrText>
      </w:r>
      <w:r>
        <w:fldChar w:fldCharType="separate"/>
      </w:r>
      <w:r>
        <w:rPr>
          <w:rStyle w:val="25"/>
        </w:rPr>
        <w:t xml:space="preserve">Supplementary Figure 3. XRD patterns and </w:t>
      </w:r>
      <w:r>
        <w:rPr>
          <w:rStyle w:val="25"/>
          <w:rFonts w:hint="eastAsia"/>
        </w:rPr>
        <w:t>p</w:t>
      </w:r>
      <w:r>
        <w:rPr>
          <w:rStyle w:val="25"/>
        </w:rPr>
        <w:t>artial regions of XRD patterns.</w:t>
      </w:r>
      <w:r>
        <w:tab/>
      </w:r>
      <w:r>
        <w:rPr>
          <w:rFonts w:eastAsia="宋体"/>
        </w:rPr>
        <w:t>8</w:t>
      </w:r>
      <w:r>
        <w:rPr>
          <w:rFonts w:eastAsia="宋体"/>
        </w:rPr>
        <w:fldChar w:fldCharType="end"/>
      </w:r>
    </w:p>
    <w:p>
      <w:pPr>
        <w:pStyle w:val="14"/>
        <w:tabs>
          <w:tab w:val="right" w:leader="dot" w:pos="8296"/>
        </w:tabs>
        <w:rPr>
          <w:rFonts w:eastAsia="宋体" w:asciiTheme="minorHAnsi" w:hAnsiTheme="minorHAnsi"/>
          <w:sz w:val="21"/>
          <w14:ligatures w14:val="standardContextual"/>
        </w:rPr>
      </w:pPr>
      <w:r>
        <w:fldChar w:fldCharType="begin"/>
      </w:r>
      <w:r>
        <w:instrText xml:space="preserve"> HYPERLINK \l "_Toc150263710" </w:instrText>
      </w:r>
      <w:r>
        <w:fldChar w:fldCharType="separate"/>
      </w:r>
      <w:r>
        <w:rPr>
          <w:rStyle w:val="25"/>
        </w:rPr>
        <w:t>Supplementary Figure 4. XPS spectra of Au 4f in different states.</w:t>
      </w:r>
      <w:r>
        <w:tab/>
      </w:r>
      <w:r>
        <w:fldChar w:fldCharType="end"/>
      </w:r>
      <w:r>
        <w:rPr>
          <w:rFonts w:eastAsia="宋体"/>
        </w:rPr>
        <w:t>9</w:t>
      </w:r>
    </w:p>
    <w:p>
      <w:pPr>
        <w:pStyle w:val="14"/>
        <w:tabs>
          <w:tab w:val="right" w:leader="dot" w:pos="8296"/>
        </w:tabs>
        <w:rPr>
          <w:rFonts w:eastAsia="宋体" w:asciiTheme="minorHAnsi" w:hAnsiTheme="minorHAnsi"/>
          <w:sz w:val="21"/>
          <w14:ligatures w14:val="standardContextual"/>
        </w:rPr>
      </w:pPr>
      <w:r>
        <w:fldChar w:fldCharType="begin"/>
      </w:r>
      <w:r>
        <w:instrText xml:space="preserve"> HYPERLINK \l "_Toc150263711" </w:instrText>
      </w:r>
      <w:r>
        <w:fldChar w:fldCharType="separate"/>
      </w:r>
      <w:r>
        <w:rPr>
          <w:rStyle w:val="25"/>
        </w:rPr>
        <w:t xml:space="preserve">Supplementary Figure </w:t>
      </w:r>
      <w:r>
        <w:rPr>
          <w:rStyle w:val="25"/>
          <w:rFonts w:eastAsia="宋体"/>
        </w:rPr>
        <w:t>5</w:t>
      </w:r>
      <w:r>
        <w:rPr>
          <w:rStyle w:val="25"/>
        </w:rPr>
        <w:t xml:space="preserve">. FT-IR spectra of </w:t>
      </w:r>
      <w:r>
        <w:rPr>
          <w:rStyle w:val="25"/>
          <w:rFonts w:eastAsia="宋体"/>
        </w:rPr>
        <w:t xml:space="preserve">the </w:t>
      </w:r>
      <w:r>
        <w:rPr>
          <w:rStyle w:val="25"/>
        </w:rPr>
        <w:t>polymers</w:t>
      </w:r>
      <w:r>
        <w:tab/>
      </w:r>
      <w:r>
        <w:rPr>
          <w:rFonts w:hint="eastAsia" w:eastAsia="宋体"/>
        </w:rPr>
        <w:t>1</w:t>
      </w:r>
      <w:r>
        <w:rPr>
          <w:rFonts w:hint="eastAsia" w:eastAsia="宋体"/>
        </w:rPr>
        <w:fldChar w:fldCharType="end"/>
      </w:r>
      <w:r>
        <w:rPr>
          <w:rFonts w:eastAsia="宋体"/>
        </w:rPr>
        <w:t>0</w:t>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"_Toc150263712" </w:instrText>
      </w:r>
      <w:r>
        <w:fldChar w:fldCharType="separate"/>
      </w:r>
      <w:r>
        <w:rPr>
          <w:rStyle w:val="25"/>
        </w:rPr>
        <w:t>Supplementary Figure 6. Thermogravimetric analysis of polymers with different ratios and types of groups.</w:t>
      </w:r>
      <w:r>
        <w:tab/>
      </w:r>
      <w:r>
        <w:fldChar w:fldCharType="begin"/>
      </w:r>
      <w:r>
        <w:instrText xml:space="preserve"> PAGEREF _Toc150263712 \h </w:instrText>
      </w:r>
      <w:r>
        <w:fldChar w:fldCharType="separate"/>
      </w:r>
      <w:r>
        <w:t>11</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"_Toc150263713" </w:instrText>
      </w:r>
      <w:r>
        <w:fldChar w:fldCharType="separate"/>
      </w:r>
      <w:r>
        <w:rPr>
          <w:rStyle w:val="25"/>
        </w:rPr>
        <w:t>Supplementary Figure 7. Activity of Encap-ET, Encap-C=O, Encap-S=O and Encap-N-O in the oxidation reactions with diverse substrates of substituents.</w:t>
      </w:r>
      <w:r>
        <w:tab/>
      </w:r>
      <w:r>
        <w:fldChar w:fldCharType="begin"/>
      </w:r>
      <w:r>
        <w:instrText xml:space="preserve"> PAGEREF _Toc150263713 \h </w:instrText>
      </w:r>
      <w:r>
        <w:fldChar w:fldCharType="separate"/>
      </w:r>
      <w:r>
        <w:t>12</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"_Toc150263715" </w:instrText>
      </w:r>
      <w:r>
        <w:fldChar w:fldCharType="separate"/>
      </w:r>
      <w:r>
        <w:rPr>
          <w:rStyle w:val="25"/>
        </w:rPr>
        <w:t xml:space="preserve">Supplementary Figure </w:t>
      </w:r>
      <w:r>
        <w:rPr>
          <w:rStyle w:val="25"/>
          <w:rFonts w:eastAsia="宋体"/>
        </w:rPr>
        <w:t>8</w:t>
      </w:r>
      <w:r>
        <w:rPr>
          <w:rStyle w:val="25"/>
        </w:rPr>
        <w:t>.</w:t>
      </w:r>
      <w:r>
        <w:rPr>
          <w:rStyle w:val="25"/>
          <w:rFonts w:eastAsia="宋体"/>
        </w:rPr>
        <w:t xml:space="preserve"> </w:t>
      </w:r>
      <w:r>
        <w:rPr>
          <w:rStyle w:val="25"/>
        </w:rPr>
        <w:t>Linear relationship between 1/Δδ and 1/C of benzyl alcohol and acetophenone(Ar-C=O) in CDCl</w:t>
      </w:r>
      <w:r>
        <w:rPr>
          <w:rStyle w:val="25"/>
          <w:vertAlign w:val="subscript"/>
        </w:rPr>
        <w:t>3</w:t>
      </w:r>
      <w:r>
        <w:rPr>
          <w:rStyle w:val="25"/>
        </w:rPr>
        <w:t>.</w:t>
      </w:r>
      <w:r>
        <w:tab/>
      </w:r>
      <w:r>
        <w:fldChar w:fldCharType="begin"/>
      </w:r>
      <w:r>
        <w:instrText xml:space="preserve"> PAGEREF _Toc150263715 \h </w:instrText>
      </w:r>
      <w:r>
        <w:fldChar w:fldCharType="separate"/>
      </w:r>
      <w:r>
        <w:t>13</w:t>
      </w:r>
      <w:r>
        <w:fldChar w:fldCharType="end"/>
      </w:r>
      <w:r>
        <w:fldChar w:fldCharType="end"/>
      </w:r>
    </w:p>
    <w:p>
      <w:pPr>
        <w:pStyle w:val="14"/>
        <w:tabs>
          <w:tab w:val="right" w:leader="dot" w:pos="8296"/>
        </w:tabs>
        <w:rPr>
          <w:rStyle w:val="25"/>
        </w:rPr>
      </w:pPr>
      <w:r>
        <w:fldChar w:fldCharType="begin"/>
      </w:r>
      <w:r>
        <w:instrText xml:space="preserve"> HYPERLINK \l "_Toc150263716" </w:instrText>
      </w:r>
      <w:r>
        <w:fldChar w:fldCharType="separate"/>
      </w:r>
      <w:r>
        <w:rPr>
          <w:rStyle w:val="25"/>
        </w:rPr>
        <w:t xml:space="preserve">Supplementary Figure </w:t>
      </w:r>
      <w:r>
        <w:rPr>
          <w:rStyle w:val="25"/>
          <w:rFonts w:eastAsia="宋体"/>
        </w:rPr>
        <w:t>9</w:t>
      </w:r>
      <w:r>
        <w:rPr>
          <w:rStyle w:val="25"/>
        </w:rPr>
        <w:t>.</w:t>
      </w:r>
      <w:r>
        <w:rPr>
          <w:rStyle w:val="25"/>
          <w:rFonts w:eastAsia="宋体"/>
        </w:rPr>
        <w:t xml:space="preserve"> </w:t>
      </w:r>
      <w:r>
        <w:rPr>
          <w:rStyle w:val="25"/>
        </w:rPr>
        <w:t>Linear relationship between 1/Δδ and 1/C of benzyl alcohol and benzyl sulfoxide(Ar-S=O) in CDCl</w:t>
      </w:r>
      <w:r>
        <w:rPr>
          <w:rStyle w:val="25"/>
          <w:vertAlign w:val="subscript"/>
        </w:rPr>
        <w:t>3</w:t>
      </w:r>
      <w:r>
        <w:rPr>
          <w:rStyle w:val="25"/>
        </w:rPr>
        <w:t>.</w:t>
      </w:r>
      <w:r>
        <w:tab/>
      </w:r>
      <w:r>
        <w:fldChar w:fldCharType="begin"/>
      </w:r>
      <w:r>
        <w:instrText xml:space="preserve"> PAGEREF _Toc150263716 \h </w:instrText>
      </w:r>
      <w:r>
        <w:fldChar w:fldCharType="separate"/>
      </w:r>
      <w:r>
        <w:t>14</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"_Toc150263717" </w:instrText>
      </w:r>
      <w:r>
        <w:fldChar w:fldCharType="separate"/>
      </w:r>
      <w:r>
        <w:rPr>
          <w:rStyle w:val="25"/>
        </w:rPr>
        <w:t xml:space="preserve">Supplementary Figure </w:t>
      </w:r>
      <w:r>
        <w:rPr>
          <w:rStyle w:val="25"/>
          <w:rFonts w:eastAsia="宋体"/>
        </w:rPr>
        <w:t>10</w:t>
      </w:r>
      <w:r>
        <w:rPr>
          <w:rStyle w:val="25"/>
        </w:rPr>
        <w:t>.</w:t>
      </w:r>
      <w:r>
        <w:rPr>
          <w:rStyle w:val="25"/>
          <w:rFonts w:eastAsia="宋体"/>
        </w:rPr>
        <w:t xml:space="preserve"> </w:t>
      </w:r>
      <w:r>
        <w:rPr>
          <w:rStyle w:val="25"/>
        </w:rPr>
        <w:t>Linear relationship between 1/Δδ and 1/C of benzyl alcohol and Nitrogen dimethylbenzylamine-nitrogen oxide(Ar-N-O) in CDCl</w:t>
      </w:r>
      <w:r>
        <w:rPr>
          <w:rStyle w:val="25"/>
          <w:vertAlign w:val="subscript"/>
        </w:rPr>
        <w:t>3</w:t>
      </w:r>
      <w:r>
        <w:rPr>
          <w:rStyle w:val="25"/>
        </w:rPr>
        <w:t>.</w:t>
      </w:r>
      <w:r>
        <w:tab/>
      </w:r>
      <w:r>
        <w:fldChar w:fldCharType="begin"/>
      </w:r>
      <w:r>
        <w:instrText xml:space="preserve"> PAGEREF _Toc150263717 \h </w:instrText>
      </w:r>
      <w:r>
        <w:fldChar w:fldCharType="separate"/>
      </w:r>
      <w:r>
        <w:t>15</w:t>
      </w:r>
      <w:r>
        <w:fldChar w:fldCharType="end"/>
      </w:r>
      <w:r>
        <w:fldChar w:fldCharType="end"/>
      </w:r>
    </w:p>
    <w:p>
      <w:pPr>
        <w:pStyle w:val="14"/>
        <w:tabs>
          <w:tab w:val="right" w:leader="dot" w:pos="8296"/>
        </w:tabs>
        <w:rPr>
          <w:rStyle w:val="25"/>
        </w:rPr>
      </w:pPr>
      <w:r>
        <w:fldChar w:fldCharType="begin"/>
      </w:r>
      <w:r>
        <w:instrText xml:space="preserve"> HYPERLINK \l "_Toc150263716" </w:instrText>
      </w:r>
      <w:r>
        <w:fldChar w:fldCharType="separate"/>
      </w:r>
      <w:r>
        <w:rPr>
          <w:rStyle w:val="25"/>
        </w:rPr>
        <w:t xml:space="preserve">Supplementary </w:t>
      </w:r>
      <w:r>
        <w:t xml:space="preserve">Table </w:t>
      </w:r>
      <w:r>
        <w:rPr>
          <w:rFonts w:eastAsia="宋体"/>
        </w:rPr>
        <w:t>1</w:t>
      </w:r>
      <w:r>
        <w:t>. Chemical shift</w:t>
      </w:r>
      <w:r>
        <w:rPr>
          <w:rFonts w:hint="eastAsia"/>
        </w:rPr>
        <w:t>s</w:t>
      </w:r>
      <w:r>
        <w:t xml:space="preserve"> of active H in benzyl alcohol with different concentration ratios of </w:t>
      </w:r>
      <w:r>
        <w:rPr>
          <w:rFonts w:hint="eastAsia" w:eastAsia="宋体"/>
        </w:rPr>
        <w:t>Ar-</w:t>
      </w:r>
      <w:r>
        <w:rPr>
          <w:rFonts w:eastAsia="宋体"/>
        </w:rPr>
        <w:t>C=</w:t>
      </w:r>
      <w:r>
        <w:rPr>
          <w:rFonts w:hint="eastAsia" w:eastAsia="宋体"/>
        </w:rPr>
        <w:t xml:space="preserve">O </w:t>
      </w:r>
      <w:r>
        <w:t xml:space="preserve">and benzyl </w:t>
      </w:r>
      <w:r>
        <w:rPr>
          <w:rFonts w:hint="eastAsia" w:eastAsia="宋体"/>
        </w:rPr>
        <w:t>alcohol</w:t>
      </w:r>
      <w:r>
        <w:rPr>
          <w:rFonts w:hint="eastAsia" w:eastAsia="宋体"/>
        </w:rPr>
        <w:fldChar w:fldCharType="end"/>
      </w:r>
      <w:r>
        <w:tab/>
      </w:r>
      <w:r>
        <w:t>16</w:t>
      </w:r>
    </w:p>
    <w:p>
      <w:pPr>
        <w:pStyle w:val="14"/>
        <w:tabs>
          <w:tab w:val="right" w:leader="dot" w:pos="8296"/>
        </w:tabs>
        <w:rPr>
          <w:rStyle w:val="25"/>
        </w:rPr>
      </w:pPr>
      <w:r>
        <w:fldChar w:fldCharType="begin"/>
      </w:r>
      <w:r>
        <w:instrText xml:space="preserve"> HYPERLINK \l "_Toc150263716" </w:instrText>
      </w:r>
      <w:r>
        <w:fldChar w:fldCharType="separate"/>
      </w:r>
      <w:r>
        <w:rPr>
          <w:rStyle w:val="25"/>
        </w:rPr>
        <w:t xml:space="preserve">Supplementary </w:t>
      </w:r>
      <w:r>
        <w:t xml:space="preserve">Table </w:t>
      </w:r>
      <w:r>
        <w:rPr>
          <w:rFonts w:eastAsia="宋体"/>
        </w:rPr>
        <w:t>2</w:t>
      </w:r>
      <w:r>
        <w:t>. Chemical shift</w:t>
      </w:r>
      <w:r>
        <w:rPr>
          <w:rFonts w:hint="eastAsia"/>
        </w:rPr>
        <w:t>s</w:t>
      </w:r>
      <w:r>
        <w:t xml:space="preserve"> of active H in benzyl alcohol with different concentration ratios of </w:t>
      </w:r>
      <w:r>
        <w:rPr>
          <w:rFonts w:hint="eastAsia" w:eastAsia="宋体"/>
        </w:rPr>
        <w:t>Ar-</w:t>
      </w:r>
      <w:r>
        <w:rPr>
          <w:rFonts w:eastAsia="宋体"/>
        </w:rPr>
        <w:t>S=</w:t>
      </w:r>
      <w:r>
        <w:rPr>
          <w:rFonts w:hint="eastAsia" w:eastAsia="宋体"/>
        </w:rPr>
        <w:t xml:space="preserve">O </w:t>
      </w:r>
      <w:r>
        <w:t xml:space="preserve">and benzyl </w:t>
      </w:r>
      <w:r>
        <w:rPr>
          <w:rFonts w:hint="eastAsia" w:eastAsia="宋体"/>
        </w:rPr>
        <w:t>alcohol</w:t>
      </w:r>
      <w:r>
        <w:rPr>
          <w:rFonts w:hint="eastAsia" w:eastAsia="宋体"/>
        </w:rPr>
        <w:fldChar w:fldCharType="end"/>
      </w:r>
      <w:r>
        <w:tab/>
      </w:r>
      <w:r>
        <w:t>17</w:t>
      </w:r>
    </w:p>
    <w:p>
      <w:pPr>
        <w:pStyle w:val="14"/>
        <w:tabs>
          <w:tab w:val="right" w:leader="dot" w:pos="8296"/>
        </w:tabs>
        <w:rPr>
          <w:rStyle w:val="25"/>
        </w:rPr>
      </w:pPr>
      <w:r>
        <w:fldChar w:fldCharType="begin"/>
      </w:r>
      <w:r>
        <w:instrText xml:space="preserve"> HYPERLINK \l "_Toc150263716" </w:instrText>
      </w:r>
      <w:r>
        <w:fldChar w:fldCharType="separate"/>
      </w:r>
      <w:r>
        <w:rPr>
          <w:rStyle w:val="25"/>
        </w:rPr>
        <w:t xml:space="preserve">Supplementary </w:t>
      </w:r>
      <w:r>
        <w:t xml:space="preserve">Table </w:t>
      </w:r>
      <w:r>
        <w:rPr>
          <w:rFonts w:hint="eastAsia" w:eastAsia="宋体"/>
        </w:rPr>
        <w:t>3</w:t>
      </w:r>
      <w:r>
        <w:t>. Chemical shift</w:t>
      </w:r>
      <w:r>
        <w:rPr>
          <w:rFonts w:hint="eastAsia"/>
        </w:rPr>
        <w:t>s</w:t>
      </w:r>
      <w:r>
        <w:t xml:space="preserve"> of active H in benzyl alcohol with different concentration ratios of </w:t>
      </w:r>
      <w:r>
        <w:rPr>
          <w:rFonts w:hint="eastAsia" w:eastAsia="宋体"/>
        </w:rPr>
        <w:t xml:space="preserve">Ar-N-O </w:t>
      </w:r>
      <w:r>
        <w:t xml:space="preserve">and benzyl </w:t>
      </w:r>
      <w:r>
        <w:rPr>
          <w:rFonts w:hint="eastAsia" w:eastAsia="宋体"/>
        </w:rPr>
        <w:t>alcohol</w:t>
      </w:r>
      <w:r>
        <w:rPr>
          <w:rFonts w:hint="eastAsia" w:eastAsia="宋体"/>
        </w:rPr>
        <w:fldChar w:fldCharType="end"/>
      </w:r>
      <w:r>
        <w:tab/>
      </w:r>
      <w:r>
        <w:t>18</w:t>
      </w:r>
    </w:p>
    <w:p>
      <w:pPr>
        <w:pStyle w:val="14"/>
        <w:tabs>
          <w:tab w:val="right" w:leader="dot" w:pos="8296"/>
        </w:tabs>
        <w:rPr>
          <w:rFonts w:eastAsia="宋体" w:asciiTheme="minorHAnsi" w:hAnsiTheme="minorHAnsi"/>
          <w:sz w:val="21"/>
          <w14:ligatures w14:val="standardContextual"/>
        </w:rPr>
      </w:pPr>
      <w:r>
        <w:fldChar w:fldCharType="begin"/>
      </w:r>
      <w:r>
        <w:instrText xml:space="preserve"> HYPERLINK \l "_Toc150263718" </w:instrText>
      </w:r>
      <w:r>
        <w:fldChar w:fldCharType="separate"/>
      </w:r>
      <w:r>
        <w:rPr>
          <w:rStyle w:val="25"/>
        </w:rPr>
        <w:t>Supplementary Table 4. Correlations between oxygen-containing monomers and benzyl alcohol.</w:t>
      </w:r>
      <w:r>
        <w:tab/>
      </w:r>
      <w:r>
        <w:fldChar w:fldCharType="end"/>
      </w:r>
      <w:r>
        <w:rPr>
          <w:rFonts w:eastAsia="宋体"/>
        </w:rPr>
        <w:t>19</w:t>
      </w:r>
    </w:p>
    <w:p>
      <w:pPr>
        <w:pStyle w:val="14"/>
        <w:tabs>
          <w:tab w:val="right" w:leader="dot" w:pos="8296"/>
        </w:tabs>
        <w:rPr>
          <w:rFonts w:eastAsia="宋体" w:asciiTheme="minorHAnsi" w:hAnsiTheme="minorHAnsi"/>
          <w:sz w:val="21"/>
          <w14:ligatures w14:val="standardContextual"/>
        </w:rPr>
      </w:pPr>
      <w:r>
        <w:fldChar w:fldCharType="begin"/>
      </w:r>
      <w:r>
        <w:instrText xml:space="preserve"> HYPERLINK \l "_Toc150263719" </w:instrText>
      </w:r>
      <w:r>
        <w:fldChar w:fldCharType="separate"/>
      </w:r>
      <w:r>
        <w:rPr>
          <w:rStyle w:val="25"/>
        </w:rPr>
        <w:t>Supplementary Figure 11.</w:t>
      </w:r>
      <w:r>
        <w:rPr>
          <w:b/>
          <w:szCs w:val="24"/>
        </w:rPr>
        <w:t xml:space="preserve"> </w:t>
      </w:r>
      <w:r>
        <w:rPr>
          <w:bCs/>
          <w:szCs w:val="24"/>
        </w:rPr>
        <w:t>O</w:t>
      </w:r>
      <w:r>
        <w:rPr>
          <w:rFonts w:hint="eastAsia"/>
          <w:bCs/>
          <w:szCs w:val="24"/>
        </w:rPr>
        <w:t>ptimized</w:t>
      </w:r>
      <w:r>
        <w:rPr>
          <w:bCs/>
          <w:szCs w:val="24"/>
        </w:rPr>
        <w:t xml:space="preserve"> </w:t>
      </w:r>
      <w:r>
        <w:rPr>
          <w:rFonts w:hint="eastAsia"/>
          <w:bCs/>
          <w:szCs w:val="24"/>
        </w:rPr>
        <w:t>configuration</w:t>
      </w:r>
      <w:r>
        <w:rPr>
          <w:bCs/>
          <w:szCs w:val="24"/>
        </w:rPr>
        <w:t xml:space="preserve"> and </w:t>
      </w:r>
      <w:r>
        <w:rPr>
          <w:rFonts w:hint="eastAsia"/>
          <w:bCs/>
          <w:szCs w:val="24"/>
        </w:rPr>
        <w:t>r</w:t>
      </w:r>
      <w:r>
        <w:rPr>
          <w:bCs/>
          <w:szCs w:val="24"/>
        </w:rPr>
        <w:t xml:space="preserve">elative hydrogen bond </w:t>
      </w:r>
      <w:r>
        <w:rPr>
          <w:rFonts w:hint="eastAsia"/>
          <w:bCs/>
          <w:szCs w:val="24"/>
        </w:rPr>
        <w:t>energies</w:t>
      </w:r>
      <w:r>
        <w:rPr>
          <w:bCs/>
          <w:szCs w:val="24"/>
        </w:rPr>
        <w:t xml:space="preserve"> (∆G</w:t>
      </w:r>
      <w:r>
        <w:rPr>
          <w:bCs/>
          <w:szCs w:val="24"/>
          <w:vertAlign w:val="subscript"/>
        </w:rPr>
        <w:t>H-NO</w:t>
      </w:r>
      <w:r>
        <w:rPr>
          <w:bCs/>
          <w:szCs w:val="24"/>
        </w:rPr>
        <w:t>, ∆G</w:t>
      </w:r>
      <w:r>
        <w:rPr>
          <w:bCs/>
          <w:szCs w:val="24"/>
          <w:vertAlign w:val="subscript"/>
        </w:rPr>
        <w:t>H-CO</w:t>
      </w:r>
      <w:r>
        <w:rPr>
          <w:bCs/>
          <w:szCs w:val="24"/>
        </w:rPr>
        <w:t>, ∆G</w:t>
      </w:r>
      <w:r>
        <w:rPr>
          <w:bCs/>
          <w:szCs w:val="24"/>
          <w:vertAlign w:val="subscript"/>
        </w:rPr>
        <w:t>H-SO</w:t>
      </w:r>
      <w:r>
        <w:rPr>
          <w:bCs/>
          <w:szCs w:val="24"/>
        </w:rPr>
        <w:t xml:space="preserve">) </w:t>
      </w:r>
      <w:r>
        <w:rPr>
          <w:rFonts w:hint="eastAsia"/>
          <w:bCs/>
          <w:szCs w:val="24"/>
        </w:rPr>
        <w:t>for</w:t>
      </w:r>
      <w:r>
        <w:rPr>
          <w:bCs/>
          <w:szCs w:val="24"/>
        </w:rPr>
        <w:t xml:space="preserve"> the </w:t>
      </w:r>
      <w:r>
        <w:rPr>
          <w:rFonts w:hint="eastAsia"/>
          <w:bCs/>
          <w:szCs w:val="24"/>
        </w:rPr>
        <w:t>hydrogen</w:t>
      </w:r>
      <w:r>
        <w:rPr>
          <w:bCs/>
          <w:szCs w:val="24"/>
        </w:rPr>
        <w:t xml:space="preserve"> </w:t>
      </w:r>
      <w:r>
        <w:rPr>
          <w:rFonts w:hint="eastAsia"/>
          <w:bCs/>
          <w:szCs w:val="24"/>
        </w:rPr>
        <w:t>bond</w:t>
      </w:r>
      <w:r>
        <w:rPr>
          <w:bCs/>
          <w:szCs w:val="24"/>
        </w:rPr>
        <w:t xml:space="preserve"> </w:t>
      </w:r>
      <w:r>
        <w:rPr>
          <w:rFonts w:hint="eastAsia"/>
          <w:bCs/>
          <w:szCs w:val="24"/>
        </w:rPr>
        <w:t>donor</w:t>
      </w:r>
      <w:r>
        <w:rPr>
          <w:bCs/>
          <w:szCs w:val="24"/>
        </w:rPr>
        <w:t xml:space="preserve"> (</w:t>
      </w:r>
      <w:r>
        <w:rPr>
          <w:rFonts w:hint="eastAsia"/>
          <w:bCs/>
          <w:szCs w:val="24"/>
        </w:rPr>
        <w:t xml:space="preserve">benzyl alcohol) </w:t>
      </w:r>
      <w:r>
        <w:rPr>
          <w:bCs/>
          <w:szCs w:val="24"/>
        </w:rPr>
        <w:t xml:space="preserve">and </w:t>
      </w:r>
      <w:r>
        <w:rPr>
          <w:rFonts w:hint="eastAsia"/>
          <w:bCs/>
          <w:szCs w:val="24"/>
        </w:rPr>
        <w:t>acceptor</w:t>
      </w:r>
      <w:r>
        <w:rPr>
          <w:bCs/>
          <w:szCs w:val="24"/>
        </w:rPr>
        <w:t>.</w:t>
      </w:r>
      <w:r>
        <w:tab/>
      </w:r>
      <w:r>
        <w:rPr>
          <w:rFonts w:hint="eastAsia" w:eastAsia="宋体"/>
        </w:rPr>
        <w:t>2</w:t>
      </w:r>
      <w:r>
        <w:rPr>
          <w:rFonts w:hint="eastAsia" w:eastAsia="宋体"/>
        </w:rPr>
        <w:fldChar w:fldCharType="end"/>
      </w:r>
      <w:r>
        <w:rPr>
          <w:rFonts w:eastAsia="宋体"/>
        </w:rPr>
        <w:t>0</w:t>
      </w:r>
    </w:p>
    <w:p>
      <w:pPr>
        <w:pStyle w:val="14"/>
        <w:tabs>
          <w:tab w:val="right" w:leader="dot" w:pos="8296"/>
        </w:tabs>
        <w:rPr>
          <w:color w:val="0000FF" w:themeColor="hyperlink"/>
          <w:u w:val="single"/>
          <w14:textFill>
            <w14:solidFill>
              <w14:schemeClr w14:val="hlink"/>
            </w14:solidFill>
          </w14:textFill>
        </w:rPr>
      </w:pPr>
      <w:r>
        <w:fldChar w:fldCharType="begin"/>
      </w:r>
      <w:r>
        <w:instrText xml:space="preserve"> HYPERLINK \l "_Toc150263727" </w:instrText>
      </w:r>
      <w:r>
        <w:fldChar w:fldCharType="separate"/>
      </w:r>
      <w:r>
        <w:rPr>
          <w:rStyle w:val="25"/>
        </w:rPr>
        <w:t xml:space="preserve">Supplementary Table 5. Hydrogen bond </w:t>
      </w:r>
      <w:r>
        <w:rPr>
          <w:rStyle w:val="25"/>
          <w:rFonts w:hint="eastAsia"/>
        </w:rPr>
        <w:t>energy</w:t>
      </w:r>
      <w:r>
        <w:rPr>
          <w:rStyle w:val="25"/>
        </w:rPr>
        <w:t xml:space="preserve"> </w:t>
      </w:r>
      <w:r>
        <w:rPr>
          <w:rStyle w:val="25"/>
          <w:rFonts w:hint="eastAsia" w:eastAsia="宋体"/>
        </w:rPr>
        <w:t>and length</w:t>
      </w:r>
      <w:r>
        <w:rPr>
          <w:rStyle w:val="25"/>
        </w:rPr>
        <w:t xml:space="preserve"> f</w:t>
      </w:r>
      <w:r>
        <w:rPr>
          <w:rStyle w:val="25"/>
          <w:rFonts w:hint="eastAsia"/>
        </w:rPr>
        <w:t>or</w:t>
      </w:r>
      <w:r>
        <w:rPr>
          <w:rStyle w:val="25"/>
        </w:rPr>
        <w:t xml:space="preserve"> the </w:t>
      </w:r>
      <w:r>
        <w:rPr>
          <w:rStyle w:val="25"/>
          <w:rFonts w:hint="eastAsia"/>
        </w:rPr>
        <w:t>hydrogen</w:t>
      </w:r>
      <w:r>
        <w:rPr>
          <w:rStyle w:val="25"/>
        </w:rPr>
        <w:t xml:space="preserve"> </w:t>
      </w:r>
      <w:r>
        <w:rPr>
          <w:rStyle w:val="25"/>
          <w:rFonts w:hint="eastAsia"/>
        </w:rPr>
        <w:t>bond</w:t>
      </w:r>
      <w:r>
        <w:rPr>
          <w:rStyle w:val="25"/>
        </w:rPr>
        <w:t xml:space="preserve"> </w:t>
      </w:r>
      <w:r>
        <w:rPr>
          <w:rStyle w:val="25"/>
          <w:rFonts w:hint="eastAsia"/>
        </w:rPr>
        <w:t>donor</w:t>
      </w:r>
      <w:r>
        <w:rPr>
          <w:rStyle w:val="25"/>
        </w:rPr>
        <w:t xml:space="preserve"> (</w:t>
      </w:r>
      <w:r>
        <w:rPr>
          <w:rStyle w:val="25"/>
          <w:rFonts w:hint="eastAsia"/>
        </w:rPr>
        <w:t>benzyl alcohol)</w:t>
      </w:r>
      <w:r>
        <w:rPr>
          <w:rStyle w:val="25"/>
        </w:rPr>
        <w:t>-</w:t>
      </w:r>
      <w:r>
        <w:rPr>
          <w:rStyle w:val="25"/>
          <w:rFonts w:hint="eastAsia"/>
        </w:rPr>
        <w:t>acceptor</w:t>
      </w:r>
      <w:r>
        <w:rPr>
          <w:rStyle w:val="25"/>
        </w:rPr>
        <w:t xml:space="preserve"> </w:t>
      </w:r>
      <w:r>
        <w:rPr>
          <w:rStyle w:val="25"/>
          <w:rFonts w:hint="eastAsia"/>
        </w:rPr>
        <w:t xml:space="preserve">with </w:t>
      </w:r>
      <w:r>
        <w:rPr>
          <w:rStyle w:val="25"/>
        </w:rPr>
        <w:t>varying number of aromatic rings</w:t>
      </w:r>
      <w:r>
        <w:rPr>
          <w:rStyle w:val="25"/>
          <w:rFonts w:hint="eastAsia" w:eastAsiaTheme="minorEastAsia"/>
        </w:rPr>
        <w:t xml:space="preserve"> </w:t>
      </w:r>
      <w:r>
        <w:rPr>
          <w:rStyle w:val="25"/>
        </w:rPr>
        <w:t>using DFT calculations.</w:t>
      </w:r>
      <w:r>
        <w:rPr>
          <w:rStyle w:val="25"/>
        </w:rPr>
        <w:tab/>
      </w:r>
      <w:r>
        <w:rPr>
          <w:rStyle w:val="25"/>
          <w:rFonts w:hint="eastAsia" w:eastAsia="宋体"/>
        </w:rPr>
        <w:t>2</w:t>
      </w:r>
      <w:r>
        <w:rPr>
          <w:rStyle w:val="25"/>
        </w:rPr>
        <w:t>0</w:t>
      </w:r>
      <w:r>
        <w:rPr>
          <w:rStyle w:val="25"/>
        </w:rPr>
        <w:fldChar w:fldCharType="end"/>
      </w:r>
    </w:p>
    <w:p>
      <w:pPr>
        <w:pStyle w:val="14"/>
        <w:tabs>
          <w:tab w:val="right" w:leader="dot" w:pos="8296"/>
        </w:tabs>
        <w:rPr>
          <w:rFonts w:eastAsiaTheme="minorEastAsia"/>
          <w:szCs w:val="40"/>
        </w:rPr>
      </w:pPr>
      <w:r>
        <w:fldChar w:fldCharType="begin"/>
      </w:r>
      <w:r>
        <w:instrText xml:space="preserve"> HYPERLINK \l "_Toc150263720" </w:instrText>
      </w:r>
      <w:r>
        <w:fldChar w:fldCharType="separate"/>
      </w:r>
      <w:r>
        <w:rPr>
          <w:rStyle w:val="25"/>
        </w:rPr>
        <w:t>Supplementary Figure 12.</w:t>
      </w:r>
      <w:r>
        <w:rPr>
          <w:rStyle w:val="37"/>
        </w:rPr>
        <w:t xml:space="preserve"> </w:t>
      </w:r>
      <w:r>
        <w:rPr>
          <w:rStyle w:val="37"/>
          <w:b w:val="0"/>
          <w:bCs w:val="0"/>
        </w:rPr>
        <w:t xml:space="preserve">Optimized configuration and relative hydrogen bond </w:t>
      </w:r>
      <w:r>
        <w:rPr>
          <w:rStyle w:val="37"/>
          <w:rFonts w:hint="eastAsia"/>
          <w:b w:val="0"/>
          <w:bCs w:val="0"/>
        </w:rPr>
        <w:t>energy</w:t>
      </w:r>
      <w:r>
        <w:rPr>
          <w:rStyle w:val="37"/>
          <w:b w:val="0"/>
          <w:bCs w:val="0"/>
        </w:rPr>
        <w:t xml:space="preserve"> gap (∆G</w:t>
      </w:r>
      <w:r>
        <w:rPr>
          <w:rStyle w:val="37"/>
          <w:b w:val="0"/>
          <w:bCs w:val="0"/>
          <w:vertAlign w:val="subscript"/>
        </w:rPr>
        <w:t>H-NO</w:t>
      </w:r>
      <w:r>
        <w:rPr>
          <w:rStyle w:val="37"/>
          <w:b w:val="0"/>
          <w:bCs w:val="0"/>
        </w:rPr>
        <w:t>-∆G</w:t>
      </w:r>
      <w:r>
        <w:rPr>
          <w:rStyle w:val="37"/>
          <w:b w:val="0"/>
          <w:bCs w:val="0"/>
          <w:vertAlign w:val="subscript"/>
        </w:rPr>
        <w:t>H-CO</w:t>
      </w:r>
      <w:r>
        <w:rPr>
          <w:rStyle w:val="37"/>
          <w:b w:val="0"/>
          <w:bCs w:val="0"/>
        </w:rPr>
        <w:t>, ∆G</w:t>
      </w:r>
      <w:r>
        <w:rPr>
          <w:rStyle w:val="37"/>
          <w:b w:val="0"/>
          <w:bCs w:val="0"/>
          <w:vertAlign w:val="subscript"/>
        </w:rPr>
        <w:t>H-NO</w:t>
      </w:r>
      <w:r>
        <w:rPr>
          <w:rStyle w:val="37"/>
          <w:b w:val="0"/>
          <w:bCs w:val="0"/>
        </w:rPr>
        <w:t>-∆G</w:t>
      </w:r>
      <w:r>
        <w:rPr>
          <w:rStyle w:val="37"/>
          <w:b w:val="0"/>
          <w:bCs w:val="0"/>
          <w:vertAlign w:val="subscript"/>
        </w:rPr>
        <w:t>H-SO</w:t>
      </w:r>
      <w:r>
        <w:rPr>
          <w:rStyle w:val="37"/>
          <w:b w:val="0"/>
          <w:bCs w:val="0"/>
        </w:rPr>
        <w:t>) for the hydrogen bond donor (benzyl alcohol)- acceptor with varying number of aromatic rings.</w:t>
      </w:r>
      <w:r>
        <w:tab/>
      </w:r>
      <w:r>
        <w:fldChar w:fldCharType="begin"/>
      </w:r>
      <w:r>
        <w:instrText xml:space="preserve"> PAGEREF _Toc150263720 \h </w:instrText>
      </w:r>
      <w:r>
        <w:fldChar w:fldCharType="separate"/>
      </w:r>
      <w:r>
        <w:t>21</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"_Toc150263721" </w:instrText>
      </w:r>
      <w:r>
        <w:fldChar w:fldCharType="separate"/>
      </w:r>
      <w:r>
        <w:rPr>
          <w:rStyle w:val="25"/>
        </w:rPr>
        <w:t>Supplementary Figure 13.</w:t>
      </w:r>
      <w:r>
        <w:rPr>
          <w:rFonts w:hint="eastAsia" w:eastAsiaTheme="minorEastAsia"/>
        </w:rPr>
        <w:t xml:space="preserve"> IGC plot</w:t>
      </w:r>
      <w:r>
        <w:rPr>
          <w:rFonts w:eastAsiaTheme="minorEastAsia"/>
        </w:rPr>
        <w:t>s</w:t>
      </w:r>
      <w:r>
        <w:rPr>
          <w:rFonts w:hint="eastAsia" w:eastAsiaTheme="minorEastAsia"/>
        </w:rPr>
        <w:t xml:space="preserve"> of</w:t>
      </w:r>
      <w:r>
        <w:rPr>
          <w:rFonts w:eastAsiaTheme="minorEastAsia"/>
        </w:rPr>
        <w:t xml:space="preserve"> </w:t>
      </w:r>
      <w:r>
        <w:rPr>
          <w:rFonts w:hint="eastAsia" w:eastAsiaTheme="minorEastAsia"/>
        </w:rPr>
        <w:t>different</w:t>
      </w:r>
      <w:r>
        <w:rPr>
          <w:rFonts w:eastAsiaTheme="minorEastAsia"/>
        </w:rPr>
        <w:t xml:space="preserve"> POF</w:t>
      </w:r>
      <w:r>
        <w:rPr>
          <w:rFonts w:hint="eastAsia" w:eastAsiaTheme="minorEastAsia"/>
        </w:rPr>
        <w:t>s</w:t>
      </w:r>
      <w:r>
        <w:rPr>
          <w:rFonts w:eastAsiaTheme="minorEastAsia"/>
        </w:rPr>
        <w:t>.</w:t>
      </w:r>
      <w:r>
        <w:tab/>
      </w:r>
      <w:r>
        <w:fldChar w:fldCharType="begin"/>
      </w:r>
      <w:r>
        <w:instrText xml:space="preserve"> PAGEREF _Toc150263721 \h </w:instrText>
      </w:r>
      <w:r>
        <w:fldChar w:fldCharType="separate"/>
      </w:r>
      <w:r>
        <w:t>22</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"_Toc150263722" </w:instrText>
      </w:r>
      <w:r>
        <w:fldChar w:fldCharType="separate"/>
      </w:r>
      <w:r>
        <w:rPr>
          <w:rStyle w:val="25"/>
        </w:rPr>
        <w:t xml:space="preserve">Supplementary Figure 14. </w:t>
      </w:r>
      <w:r>
        <w:rPr>
          <w:rStyle w:val="37"/>
          <w:rFonts w:hint="eastAsia" w:cs="Times New Roman"/>
          <w:b w:val="0"/>
          <w:bCs w:val="0"/>
        </w:rPr>
        <w:t>Linear relationship between</w:t>
      </w:r>
      <w:r>
        <w:rPr>
          <w:rFonts w:hint="eastAsia"/>
          <w:b/>
          <w:bCs/>
        </w:rPr>
        <w:t xml:space="preserve"> </w:t>
      </w:r>
      <w:r>
        <w:rPr>
          <w:szCs w:val="24"/>
        </w:rPr>
        <w:t>∆G</w:t>
      </w:r>
      <w:r>
        <w:rPr>
          <w:rFonts w:hint="eastAsia"/>
          <w:szCs w:val="24"/>
          <w:vertAlign w:val="subscript"/>
        </w:rPr>
        <w:t>1</w:t>
      </w:r>
      <w:r>
        <w:rPr>
          <w:rFonts w:hint="eastAsia"/>
          <w:b/>
          <w:bCs/>
          <w:szCs w:val="24"/>
          <w:vertAlign w:val="subscript"/>
        </w:rPr>
        <w:t xml:space="preserve"> </w:t>
      </w:r>
      <w:r>
        <w:rPr>
          <w:rStyle w:val="37"/>
          <w:rFonts w:hint="eastAsia" w:cs="Times New Roman"/>
          <w:b w:val="0"/>
          <w:bCs w:val="0"/>
        </w:rPr>
        <w:t>from</w:t>
      </w:r>
      <w:r>
        <w:rPr>
          <w:rFonts w:hint="eastAsia"/>
          <w:b/>
          <w:bCs/>
        </w:rPr>
        <w:t xml:space="preserve"> </w:t>
      </w:r>
      <w:r>
        <w:rPr>
          <w:rFonts w:hint="eastAsia"/>
          <w:vertAlign w:val="superscript"/>
        </w:rPr>
        <w:t>1</w:t>
      </w:r>
      <w:r>
        <w:rPr>
          <w:rStyle w:val="37"/>
          <w:rFonts w:hint="eastAsia" w:cs="Times New Roman"/>
          <w:b w:val="0"/>
          <w:bCs w:val="0"/>
        </w:rPr>
        <w:t>H-NMR tests</w:t>
      </w:r>
      <w:r>
        <w:rPr>
          <w:rFonts w:hint="eastAsia"/>
          <w:b/>
          <w:bCs/>
          <w:szCs w:val="24"/>
        </w:rPr>
        <w:t xml:space="preserve"> </w:t>
      </w:r>
      <w:r>
        <w:rPr>
          <w:rStyle w:val="37"/>
          <w:rFonts w:hint="eastAsia" w:cs="Times New Roman"/>
          <w:b w:val="0"/>
          <w:bCs w:val="0"/>
        </w:rPr>
        <w:t>and</w:t>
      </w:r>
      <w:r>
        <w:rPr>
          <w:b/>
          <w:bCs/>
          <w:szCs w:val="24"/>
        </w:rPr>
        <w:t xml:space="preserve"> </w:t>
      </w:r>
      <w:r>
        <w:rPr>
          <w:szCs w:val="24"/>
        </w:rPr>
        <w:t>∆G</w:t>
      </w:r>
      <w:r>
        <w:rPr>
          <w:szCs w:val="24"/>
          <w:vertAlign w:val="subscript"/>
        </w:rPr>
        <w:t>2</w:t>
      </w:r>
      <w:r>
        <w:rPr>
          <w:rFonts w:hint="eastAsia"/>
          <w:szCs w:val="24"/>
          <w:vertAlign w:val="subscript"/>
        </w:rPr>
        <w:t xml:space="preserve"> </w:t>
      </w:r>
      <w:r>
        <w:rPr>
          <w:rFonts w:hint="eastAsia"/>
          <w:szCs w:val="24"/>
        </w:rPr>
        <w:t>from IGC tests</w:t>
      </w:r>
      <w:r>
        <w:rPr>
          <w:szCs w:val="24"/>
        </w:rPr>
        <w:t xml:space="preserve"> (∆G</w:t>
      </w:r>
      <w:r>
        <w:rPr>
          <w:szCs w:val="24"/>
          <w:vertAlign w:val="superscript"/>
        </w:rPr>
        <w:t>Sp</w:t>
      </w:r>
      <w:r>
        <w:rPr>
          <w:szCs w:val="24"/>
          <w:vertAlign w:val="subscript"/>
        </w:rPr>
        <w:t>methanol</w:t>
      </w:r>
      <w:r>
        <w:rPr>
          <w:szCs w:val="24"/>
        </w:rPr>
        <w:t>).</w:t>
      </w:r>
      <w:r>
        <w:tab/>
      </w:r>
      <w:r>
        <w:fldChar w:fldCharType="begin"/>
      </w:r>
      <w:r>
        <w:instrText xml:space="preserve"> PAGEREF _Toc150263722 \h </w:instrText>
      </w:r>
      <w:r>
        <w:fldChar w:fldCharType="separate"/>
      </w:r>
      <w:r>
        <w:t>23</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"_Toc150263724" </w:instrText>
      </w:r>
      <w:r>
        <w:fldChar w:fldCharType="separate"/>
      </w:r>
      <w:r>
        <w:rPr>
          <w:rStyle w:val="25"/>
        </w:rPr>
        <w:t>Supplementary Figure 15. Methanol adsorption isotherms on different polymers.</w:t>
      </w:r>
      <w:r>
        <w:tab/>
      </w:r>
      <w:r>
        <w:fldChar w:fldCharType="begin"/>
      </w:r>
      <w:r>
        <w:instrText xml:space="preserve"> PAGEREF _Toc150263724 \h </w:instrText>
      </w:r>
      <w:r>
        <w:fldChar w:fldCharType="separate"/>
      </w:r>
      <w:r>
        <w:t>24</w:t>
      </w:r>
      <w:r>
        <w:fldChar w:fldCharType="end"/>
      </w:r>
      <w:r>
        <w:fldChar w:fldCharType="end"/>
      </w:r>
    </w:p>
    <w:p>
      <w:pPr>
        <w:pStyle w:val="14"/>
        <w:tabs>
          <w:tab w:val="right" w:leader="dot" w:pos="8296"/>
        </w:tabs>
        <w:rPr>
          <w:rFonts w:eastAsiaTheme="minorEastAsia"/>
          <w:szCs w:val="40"/>
        </w:rPr>
      </w:pPr>
      <w:r>
        <w:fldChar w:fldCharType="begin"/>
      </w:r>
      <w:r>
        <w:instrText xml:space="preserve"> HYPERLINK \l "_Toc150263728" </w:instrText>
      </w:r>
      <w:r>
        <w:fldChar w:fldCharType="separate"/>
      </w:r>
      <w:r>
        <w:rPr>
          <w:rStyle w:val="25"/>
        </w:rPr>
        <w:t xml:space="preserve">Supplementary Figure 16. </w:t>
      </w:r>
      <w:r>
        <w:rPr>
          <w:rStyle w:val="37"/>
          <w:b w:val="0"/>
          <w:bCs w:val="0"/>
        </w:rPr>
        <w:t xml:space="preserve">TOF of aromatic alcohol catalytic oxidation vs. hydrogen bonding </w:t>
      </w:r>
      <w:r>
        <w:rPr>
          <w:rStyle w:val="37"/>
          <w:rFonts w:hint="eastAsia"/>
          <w:b w:val="0"/>
          <w:bCs w:val="0"/>
        </w:rPr>
        <w:t>energ</w:t>
      </w:r>
      <w:r>
        <w:rPr>
          <w:rStyle w:val="37"/>
          <w:b w:val="0"/>
          <w:bCs w:val="0"/>
        </w:rPr>
        <w:t>ies with varying number of aromatic rings obtained from DFT calculations..</w:t>
      </w:r>
      <w:r>
        <w:tab/>
      </w:r>
      <w:r>
        <w:fldChar w:fldCharType="begin"/>
      </w:r>
      <w:r>
        <w:instrText xml:space="preserve"> PAGEREF _Toc150263728 \h </w:instrText>
      </w:r>
      <w:r>
        <w:fldChar w:fldCharType="separate"/>
      </w:r>
      <w:r>
        <w:t>25</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"_Toc150263729" </w:instrText>
      </w:r>
      <w:r>
        <w:fldChar w:fldCharType="separate"/>
      </w:r>
      <w:r>
        <w:rPr>
          <w:rStyle w:val="25"/>
        </w:rPr>
        <w:t xml:space="preserve">Supplementary Figure 17. Hammett plots for </w:t>
      </w:r>
      <w:r>
        <w:rPr>
          <w:rStyle w:val="37"/>
          <w:rFonts w:hint="eastAsia" w:cs="Times New Roman"/>
          <w:b w:val="0"/>
          <w:bCs w:val="0"/>
        </w:rPr>
        <w:t>different</w:t>
      </w:r>
      <w:r>
        <w:rPr>
          <w:rStyle w:val="37"/>
          <w:rFonts w:cs="Times New Roman"/>
          <w:b w:val="0"/>
          <w:bCs w:val="0"/>
        </w:rPr>
        <w:t xml:space="preserve"> </w:t>
      </w:r>
      <w:r>
        <w:rPr>
          <w:rStyle w:val="37"/>
          <w:rFonts w:hint="eastAsia" w:cs="Times New Roman"/>
          <w:b w:val="0"/>
          <w:bCs w:val="0"/>
        </w:rPr>
        <w:t>catalysts</w:t>
      </w:r>
      <w:r>
        <w:rPr>
          <w:rStyle w:val="37"/>
          <w:rFonts w:cs="Times New Roman"/>
          <w:b w:val="0"/>
          <w:bCs w:val="0"/>
        </w:rPr>
        <w:t>.</w:t>
      </w:r>
      <w:r>
        <w:rPr>
          <w:rStyle w:val="25"/>
        </w:rPr>
        <w:t>.</w:t>
      </w:r>
      <w:r>
        <w:tab/>
      </w:r>
      <w:r>
        <w:fldChar w:fldCharType="begin"/>
      </w:r>
      <w:r>
        <w:instrText xml:space="preserve"> PAGEREF _Toc150263729 \h </w:instrText>
      </w:r>
      <w:r>
        <w:fldChar w:fldCharType="separate"/>
      </w:r>
      <w:r>
        <w:t>26</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"_Toc150263730" </w:instrText>
      </w:r>
      <w:r>
        <w:fldChar w:fldCharType="separate"/>
      </w:r>
      <w:r>
        <w:rPr>
          <w:rStyle w:val="25"/>
        </w:rPr>
        <w:t>Supplementary Fig 18.</w:t>
      </w:r>
      <w:r>
        <w:rPr>
          <w:b/>
          <w:bCs/>
        </w:rPr>
        <w:t xml:space="preserve"> </w:t>
      </w:r>
      <w:r>
        <w:rPr>
          <w:vertAlign w:val="superscript"/>
        </w:rPr>
        <w:t>1</w:t>
      </w:r>
      <w:r>
        <w:t>H-NMR</w:t>
      </w:r>
      <w:r>
        <w:rPr>
          <w:rFonts w:eastAsia="宋体"/>
        </w:rPr>
        <w:t xml:space="preserve"> of PhCD</w:t>
      </w:r>
      <w:r>
        <w:rPr>
          <w:rFonts w:eastAsia="宋体"/>
          <w:vertAlign w:val="subscript"/>
        </w:rPr>
        <w:t>2</w:t>
      </w:r>
      <w:r>
        <w:rPr>
          <w:rFonts w:eastAsia="宋体"/>
        </w:rPr>
        <w:t>OD and PhCH</w:t>
      </w:r>
      <w:r>
        <w:rPr>
          <w:rFonts w:eastAsia="宋体"/>
          <w:vertAlign w:val="subscript"/>
        </w:rPr>
        <w:t>2</w:t>
      </w:r>
      <w:r>
        <w:rPr>
          <w:rFonts w:eastAsia="宋体"/>
        </w:rPr>
        <w:t>OH.</w:t>
      </w:r>
      <w:r>
        <w:tab/>
      </w:r>
      <w:r>
        <w:fldChar w:fldCharType="begin"/>
      </w:r>
      <w:r>
        <w:instrText xml:space="preserve"> PAGEREF _Toc150263730 \h </w:instrText>
      </w:r>
      <w:r>
        <w:fldChar w:fldCharType="separate"/>
      </w:r>
      <w:r>
        <w:t>27</w:t>
      </w:r>
      <w:r>
        <w:fldChar w:fldCharType="end"/>
      </w:r>
      <w:r>
        <w:fldChar w:fldCharType="end"/>
      </w:r>
    </w:p>
    <w:p>
      <w:pPr>
        <w:pStyle w:val="14"/>
        <w:tabs>
          <w:tab w:val="right" w:leader="dot" w:pos="8296"/>
        </w:tabs>
        <w:rPr>
          <w:rFonts w:eastAsia="宋体" w:asciiTheme="minorHAnsi" w:hAnsiTheme="minorHAnsi"/>
          <w:sz w:val="21"/>
          <w14:ligatures w14:val="standardContextual"/>
        </w:rPr>
      </w:pPr>
      <w:r>
        <w:fldChar w:fldCharType="begin"/>
      </w:r>
      <w:r>
        <w:instrText xml:space="preserve"> HYPERLINK \l "_Toc150263732" </w:instrText>
      </w:r>
      <w:r>
        <w:fldChar w:fldCharType="separate"/>
      </w:r>
      <w:r>
        <w:rPr>
          <w:rStyle w:val="25"/>
        </w:rPr>
        <w:t xml:space="preserve">Supplementary Figure </w:t>
      </w:r>
      <w:r>
        <w:rPr>
          <w:rStyle w:val="25"/>
          <w:rFonts w:eastAsia="宋体"/>
        </w:rPr>
        <w:t>19</w:t>
      </w:r>
      <w:r>
        <w:rPr>
          <w:rStyle w:val="25"/>
        </w:rPr>
        <w:t xml:space="preserve">. TOF values of </w:t>
      </w:r>
      <w:r>
        <w:rPr>
          <w:rStyle w:val="25"/>
          <w:rFonts w:eastAsia="宋体"/>
        </w:rPr>
        <w:t>Encap</w:t>
      </w:r>
      <w:r>
        <w:rPr>
          <w:rStyle w:val="25"/>
        </w:rPr>
        <w:t>-C=O and Encap-N-O</w:t>
      </w:r>
      <w:r>
        <w:rPr>
          <w:rStyle w:val="25"/>
          <w:rFonts w:eastAsia="宋体"/>
        </w:rPr>
        <w:t xml:space="preserve"> </w:t>
      </w:r>
      <w:r>
        <w:rPr>
          <w:rStyle w:val="25"/>
        </w:rPr>
        <w:t>with different oxygen pressures</w:t>
      </w:r>
      <w:r>
        <w:rPr>
          <w:rStyle w:val="25"/>
          <w:rFonts w:eastAsia="宋体"/>
        </w:rPr>
        <w:t>.</w:t>
      </w:r>
      <w:r>
        <w:tab/>
      </w:r>
      <w:r>
        <w:fldChar w:fldCharType="end"/>
      </w:r>
      <w:r>
        <w:rPr>
          <w:rFonts w:hint="eastAsia" w:eastAsia="宋体"/>
        </w:rPr>
        <w:t>2</w:t>
      </w:r>
      <w:r>
        <w:rPr>
          <w:rFonts w:eastAsia="宋体"/>
        </w:rPr>
        <w:t>8</w:t>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"_Toc150263733" </w:instrText>
      </w:r>
      <w:r>
        <w:fldChar w:fldCharType="separate"/>
      </w:r>
      <w:r>
        <w:rPr>
          <w:rStyle w:val="25"/>
        </w:rPr>
        <w:t xml:space="preserve">Supplementary Table </w:t>
      </w:r>
      <w:r>
        <w:rPr>
          <w:rStyle w:val="25"/>
          <w:rFonts w:hint="eastAsia" w:eastAsia="宋体"/>
        </w:rPr>
        <w:t>6</w:t>
      </w:r>
      <w:r>
        <w:rPr>
          <w:rStyle w:val="25"/>
        </w:rPr>
        <w:t>. Surface free energy for different materials.</w:t>
      </w:r>
      <w:r>
        <w:tab/>
      </w:r>
      <w:r>
        <w:fldChar w:fldCharType="begin"/>
      </w:r>
      <w:r>
        <w:instrText xml:space="preserve"> PAGEREF _Toc150263733 \h </w:instrText>
      </w:r>
      <w:r>
        <w:fldChar w:fldCharType="separate"/>
      </w:r>
      <w:r>
        <w:t>29</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"_Toc150263734" </w:instrText>
      </w:r>
      <w:r>
        <w:fldChar w:fldCharType="separate"/>
      </w:r>
      <w:r>
        <w:rPr>
          <w:rStyle w:val="25"/>
        </w:rPr>
        <w:t xml:space="preserve">Supplementary Table </w:t>
      </w:r>
      <w:r>
        <w:rPr>
          <w:rStyle w:val="25"/>
          <w:rFonts w:hint="eastAsia" w:eastAsia="宋体"/>
        </w:rPr>
        <w:t>7</w:t>
      </w:r>
      <w:r>
        <w:rPr>
          <w:rStyle w:val="25"/>
        </w:rPr>
        <w:t>. Parameters of different materials in the packed columns.</w:t>
      </w:r>
      <w:r>
        <w:tab/>
      </w:r>
      <w:r>
        <w:fldChar w:fldCharType="begin"/>
      </w:r>
      <w:r>
        <w:instrText xml:space="preserve"> PAGEREF _Toc150263734 \h </w:instrText>
      </w:r>
      <w:r>
        <w:fldChar w:fldCharType="separate"/>
      </w:r>
      <w:r>
        <w:t>29</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"_Toc150263797" </w:instrText>
      </w:r>
      <w:r>
        <w:fldChar w:fldCharType="separate"/>
      </w:r>
      <w:r>
        <w:rPr>
          <w:rStyle w:val="25"/>
        </w:rPr>
        <w:t xml:space="preserve">Supplementary Table </w:t>
      </w:r>
      <w:r>
        <w:rPr>
          <w:rStyle w:val="25"/>
          <w:rFonts w:hint="eastAsia" w:eastAsia="宋体"/>
        </w:rPr>
        <w:t>8</w:t>
      </w:r>
      <w:r>
        <w:rPr>
          <w:rStyle w:val="25"/>
        </w:rPr>
        <w:t xml:space="preserve">. </w:t>
      </w:r>
      <w:r>
        <w:rPr>
          <w:rStyle w:val="25"/>
          <w:lang w:bidi="ar"/>
        </w:rPr>
        <w:t>Physicochemical properties and contents of Au and Pd of different samples.</w:t>
      </w:r>
      <w:r>
        <w:tab/>
      </w:r>
      <w:r>
        <w:fldChar w:fldCharType="begin"/>
      </w:r>
      <w:r>
        <w:instrText xml:space="preserve"> PAGEREF _Toc150263797 \h </w:instrText>
      </w:r>
      <w:r>
        <w:fldChar w:fldCharType="separate"/>
      </w:r>
      <w:r>
        <w:t>29</w:t>
      </w:r>
      <w:r>
        <w:fldChar w:fldCharType="end"/>
      </w:r>
      <w:r>
        <w:fldChar w:fldCharType="end"/>
      </w:r>
    </w:p>
    <w:p>
      <w:pPr>
        <w:pStyle w:val="14"/>
        <w:tabs>
          <w:tab w:val="right" w:leader="dot" w:pos="8296"/>
        </w:tabs>
      </w:pPr>
      <w:r>
        <w:fldChar w:fldCharType="begin"/>
      </w:r>
      <w:r>
        <w:instrText xml:space="preserve"> HYPERLINK \l "_Toc150263799" </w:instrText>
      </w:r>
      <w:r>
        <w:fldChar w:fldCharType="separate"/>
      </w:r>
      <w:r>
        <w:rPr>
          <w:rStyle w:val="25"/>
        </w:rPr>
        <w:t>Supplementary Note</w:t>
      </w:r>
      <w:r>
        <w:tab/>
      </w:r>
      <w:r>
        <w:fldChar w:fldCharType="begin"/>
      </w:r>
      <w:r>
        <w:instrText xml:space="preserve"> PAGEREF _Toc150263799 \h </w:instrText>
      </w:r>
      <w:r>
        <w:fldChar w:fldCharType="separate"/>
      </w:r>
      <w:r>
        <w:t>30</w:t>
      </w:r>
      <w:r>
        <w:fldChar w:fldCharType="end"/>
      </w:r>
      <w:r>
        <w:fldChar w:fldCharType="end"/>
      </w:r>
    </w:p>
    <w:p>
      <w:pPr>
        <w:pStyle w:val="14"/>
        <w:tabs>
          <w:tab w:val="right" w:leader="dot" w:pos="8296"/>
        </w:tabs>
        <w:rPr>
          <w:rFonts w:asciiTheme="minorHAnsi" w:hAnsiTheme="minorHAnsi" w:eastAsiaTheme="minorEastAsia"/>
          <w:sz w:val="21"/>
          <w14:ligatures w14:val="standardContextual"/>
        </w:rPr>
      </w:pPr>
      <w:r>
        <w:fldChar w:fldCharType="begin"/>
      </w:r>
      <w:r>
        <w:instrText xml:space="preserve"> HYPERLINK \l "_Toc150263799" </w:instrText>
      </w:r>
      <w:r>
        <w:fldChar w:fldCharType="separate"/>
      </w:r>
      <w:r>
        <w:rPr>
          <w:rStyle w:val="25"/>
          <w:rFonts w:hint="eastAsia" w:eastAsia="宋体"/>
        </w:rPr>
        <w:t>Reference</w:t>
      </w:r>
      <w:r>
        <w:rPr>
          <w:rStyle w:val="25"/>
          <w:rFonts w:eastAsia="宋体"/>
        </w:rPr>
        <w:t>s</w:t>
      </w:r>
      <w:r>
        <w:rPr>
          <w:rStyle w:val="25"/>
          <w:rFonts w:eastAsia="宋体"/>
        </w:rPr>
        <w:fldChar w:fldCharType="end"/>
      </w:r>
      <w:r>
        <w:tab/>
      </w:r>
      <w:r>
        <w:t>31</w:t>
      </w:r>
    </w:p>
    <w:p/>
    <w:p>
      <w:pPr>
        <w:pStyle w:val="35"/>
        <w:spacing w:before="624" w:beforeLines="200" w:after="0"/>
        <w:rPr>
          <w:rFonts w:cs="Times New Roman"/>
          <w:b/>
          <w:bCs/>
          <w:sz w:val="24"/>
          <w:szCs w:val="24"/>
        </w:rPr>
      </w:pPr>
      <w:r>
        <w:rPr>
          <w:rFonts w:cs="Times New Roman"/>
          <w:b/>
          <w:bCs/>
          <w:sz w:val="24"/>
          <w:szCs w:val="24"/>
        </w:rPr>
        <w:fldChar w:fldCharType="end"/>
      </w:r>
    </w:p>
    <w:p>
      <w:pPr>
        <w:widowControl/>
        <w:jc w:val="left"/>
        <w:rPr>
          <w:rFonts w:eastAsia="宋体" w:cs="Times New Roman"/>
          <w:b/>
          <w:bCs/>
          <w:color w:val="000000"/>
          <w:kern w:val="21"/>
          <w:szCs w:val="24"/>
        </w:rPr>
      </w:pPr>
      <w:r>
        <w:rPr>
          <w:rFonts w:cs="Times New Roman"/>
          <w:b/>
          <w:bCs/>
          <w:szCs w:val="24"/>
        </w:rPr>
        <w:br w:type="page"/>
      </w:r>
    </w:p>
    <w:p>
      <w:pPr>
        <w:pStyle w:val="35"/>
        <w:spacing w:before="624" w:beforeLines="200" w:after="0" w:line="360" w:lineRule="auto"/>
        <w:rPr>
          <w:rFonts w:cs="Times New Roman"/>
          <w:sz w:val="24"/>
          <w:szCs w:val="24"/>
        </w:rPr>
      </w:pPr>
      <w:r>
        <w:rPr>
          <w:rFonts w:cs="Times New Roman"/>
          <w:b/>
          <w:bCs/>
          <w:sz w:val="24"/>
          <w:szCs w:val="24"/>
        </w:rPr>
        <w:t>Methods</w:t>
      </w:r>
    </w:p>
    <w:bookmarkEnd w:id="1"/>
    <w:p>
      <w:pPr>
        <w:pStyle w:val="35"/>
        <w:spacing w:after="156" w:afterLines="50"/>
        <w:rPr>
          <w:rFonts w:cs="Times New Roman"/>
          <w:bCs/>
          <w:i/>
          <w:iCs/>
          <w:kern w:val="2"/>
          <w:sz w:val="24"/>
          <w:szCs w:val="24"/>
        </w:rPr>
      </w:pPr>
      <w:bookmarkStart w:id="3" w:name="OLE_LINK136"/>
      <w:r>
        <w:rPr>
          <w:rFonts w:cs="Times New Roman"/>
          <w:b/>
          <w:i/>
          <w:iCs/>
          <w:sz w:val="24"/>
          <w:szCs w:val="24"/>
          <w:lang w:val="en-GB"/>
        </w:rPr>
        <w:t>Catalyst Preparation</w:t>
      </w:r>
      <w:bookmarkEnd w:id="3"/>
    </w:p>
    <w:p>
      <w:pPr>
        <w:pStyle w:val="35"/>
        <w:spacing w:after="0"/>
        <w:rPr>
          <w:rFonts w:cs="Times New Roman"/>
          <w:b/>
          <w:sz w:val="24"/>
          <w:szCs w:val="24"/>
          <w:lang w:val="en-GB"/>
        </w:rPr>
      </w:pPr>
      <w:r>
        <w:rPr>
          <w:rFonts w:cs="Times New Roman"/>
          <w:b/>
          <w:sz w:val="24"/>
          <w:szCs w:val="24"/>
          <w:lang w:val="en-GB"/>
        </w:rPr>
        <w:t>Synthesis of AuPd alloy nanoparticles</w:t>
      </w:r>
    </w:p>
    <w:p>
      <w:pPr>
        <w:pStyle w:val="35"/>
        <w:spacing w:after="0"/>
        <w:rPr>
          <w:rFonts w:cs="Times New Roman"/>
          <w:bCs/>
          <w:kern w:val="2"/>
          <w:sz w:val="24"/>
          <w:szCs w:val="24"/>
        </w:rPr>
      </w:pPr>
      <w:r>
        <w:rPr>
          <w:rFonts w:cs="Times New Roman"/>
          <w:bCs/>
          <w:kern w:val="2"/>
          <w:sz w:val="24"/>
          <w:szCs w:val="24"/>
        </w:rPr>
        <w:t>AuPd alloy nanoparticles were synthesized by the sol-immobilization method. HAuCl</w:t>
      </w:r>
      <w:r>
        <w:rPr>
          <w:rFonts w:cs="Times New Roman"/>
          <w:bCs/>
          <w:kern w:val="2"/>
          <w:sz w:val="24"/>
          <w:szCs w:val="24"/>
          <w:vertAlign w:val="subscript"/>
        </w:rPr>
        <w:t>4</w:t>
      </w:r>
      <w:r>
        <w:rPr>
          <w:rFonts w:cs="Times New Roman"/>
          <w:bCs/>
          <w:kern w:val="2"/>
          <w:sz w:val="24"/>
          <w:szCs w:val="24"/>
        </w:rPr>
        <w:t xml:space="preserve"> and PdCl</w:t>
      </w:r>
      <w:r>
        <w:rPr>
          <w:rFonts w:cs="Times New Roman"/>
          <w:bCs/>
          <w:kern w:val="2"/>
          <w:sz w:val="24"/>
          <w:szCs w:val="24"/>
          <w:vertAlign w:val="subscript"/>
        </w:rPr>
        <w:t>2</w:t>
      </w:r>
      <w:r>
        <w:rPr>
          <w:rFonts w:cs="Times New Roman"/>
          <w:bCs/>
          <w:kern w:val="2"/>
          <w:sz w:val="24"/>
          <w:szCs w:val="24"/>
        </w:rPr>
        <w:t xml:space="preserve"> aqueous solutions at a certain concentration and ratio (Au</w:t>
      </w:r>
      <w:r>
        <w:rPr>
          <w:rFonts w:hint="eastAsia" w:cs="Times New Roman"/>
          <w:bCs/>
          <w:kern w:val="2"/>
          <w:sz w:val="24"/>
          <w:szCs w:val="24"/>
        </w:rPr>
        <w:t>:</w:t>
      </w:r>
      <w:r>
        <w:rPr>
          <w:rFonts w:cs="Times New Roman"/>
          <w:bCs/>
          <w:kern w:val="2"/>
          <w:sz w:val="24"/>
          <w:szCs w:val="24"/>
        </w:rPr>
        <w:t xml:space="preserve"> Pd</w:t>
      </w:r>
      <w:r>
        <w:rPr>
          <w:rFonts w:hint="eastAsia" w:cs="Times New Roman"/>
          <w:bCs/>
          <w:kern w:val="2"/>
          <w:sz w:val="24"/>
          <w:szCs w:val="24"/>
        </w:rPr>
        <w:t xml:space="preserve"> </w:t>
      </w:r>
      <w:r>
        <w:rPr>
          <w:rFonts w:cs="Times New Roman"/>
          <w:bCs/>
          <w:kern w:val="2"/>
          <w:sz w:val="24"/>
          <w:szCs w:val="24"/>
        </w:rPr>
        <w:t>(mol/mol)=2:3) were mixed, followed by adding a certain amount of polyvinyl alcohol (PVA) (PVA/(Au+Pd)</w:t>
      </w:r>
      <w:r>
        <w:rPr>
          <w:rFonts w:hint="eastAsia" w:cs="Times New Roman"/>
          <w:bCs/>
          <w:kern w:val="2"/>
          <w:sz w:val="24"/>
          <w:szCs w:val="24"/>
        </w:rPr>
        <w:t xml:space="preserve"> </w:t>
      </w:r>
      <w:r>
        <w:rPr>
          <w:rFonts w:cs="Times New Roman"/>
          <w:bCs/>
          <w:kern w:val="2"/>
          <w:sz w:val="24"/>
          <w:szCs w:val="24"/>
        </w:rPr>
        <w:t>(wt/wt)=1.2). Under vigorous stirring, the freshly prepared solution of NaBH</w:t>
      </w:r>
      <w:r>
        <w:rPr>
          <w:rFonts w:cs="Times New Roman"/>
          <w:bCs/>
          <w:kern w:val="2"/>
          <w:sz w:val="24"/>
          <w:szCs w:val="24"/>
          <w:vertAlign w:val="subscript"/>
        </w:rPr>
        <w:t>4</w:t>
      </w:r>
      <w:r>
        <w:rPr>
          <w:rFonts w:cs="Times New Roman"/>
          <w:bCs/>
          <w:kern w:val="2"/>
          <w:sz w:val="24"/>
          <w:szCs w:val="24"/>
        </w:rPr>
        <w:t xml:space="preserve"> (0.1 M, NaBH</w:t>
      </w:r>
      <w:r>
        <w:rPr>
          <w:rFonts w:cs="Times New Roman"/>
          <w:bCs/>
          <w:kern w:val="2"/>
          <w:sz w:val="24"/>
          <w:szCs w:val="24"/>
          <w:vertAlign w:val="subscript"/>
        </w:rPr>
        <w:t>4</w:t>
      </w:r>
      <w:r>
        <w:rPr>
          <w:rFonts w:cs="Times New Roman"/>
          <w:bCs/>
          <w:kern w:val="2"/>
          <w:sz w:val="24"/>
          <w:szCs w:val="24"/>
        </w:rPr>
        <w:t>/(Au+Pd)</w:t>
      </w:r>
      <w:r>
        <w:rPr>
          <w:rFonts w:hint="eastAsia" w:cs="Times New Roman"/>
          <w:bCs/>
          <w:kern w:val="2"/>
          <w:sz w:val="24"/>
          <w:szCs w:val="24"/>
        </w:rPr>
        <w:t xml:space="preserve"> </w:t>
      </w:r>
      <w:r>
        <w:rPr>
          <w:rFonts w:cs="Times New Roman"/>
          <w:bCs/>
          <w:kern w:val="2"/>
          <w:sz w:val="24"/>
          <w:szCs w:val="24"/>
        </w:rPr>
        <w:t>(mol/mol)=5) was added and a dark brown sol formed.</w:t>
      </w:r>
    </w:p>
    <w:p>
      <w:pPr>
        <w:pStyle w:val="35"/>
        <w:spacing w:after="0"/>
        <w:rPr>
          <w:rFonts w:cs="Times New Roman"/>
          <w:bCs/>
          <w:kern w:val="2"/>
          <w:sz w:val="24"/>
          <w:szCs w:val="24"/>
        </w:rPr>
      </w:pPr>
    </w:p>
    <w:p>
      <w:pPr>
        <w:pStyle w:val="35"/>
        <w:spacing w:after="0"/>
        <w:rPr>
          <w:rFonts w:cs="Times New Roman"/>
          <w:b/>
          <w:sz w:val="24"/>
          <w:szCs w:val="24"/>
          <w:lang w:val="en-GB"/>
        </w:rPr>
      </w:pPr>
      <w:r>
        <w:rPr>
          <w:rFonts w:cs="Times New Roman"/>
          <w:b/>
          <w:sz w:val="24"/>
          <w:szCs w:val="24"/>
          <w:lang w:val="en-GB"/>
        </w:rPr>
        <w:t xml:space="preserve">Synthesis of the inner layer support POF-N </w:t>
      </w:r>
    </w:p>
    <w:p>
      <w:pPr>
        <w:pStyle w:val="35"/>
        <w:spacing w:after="0"/>
        <w:rPr>
          <w:rFonts w:cs="Times New Roman"/>
          <w:bCs/>
          <w:kern w:val="2"/>
          <w:sz w:val="24"/>
          <w:szCs w:val="24"/>
        </w:rPr>
      </w:pPr>
      <w:r>
        <w:rPr>
          <w:rFonts w:cs="Times New Roman"/>
          <w:bCs/>
          <w:kern w:val="2"/>
          <w:sz w:val="24"/>
          <w:szCs w:val="24"/>
        </w:rPr>
        <w:t>Typically, the monomer (triphenylamine, 0.02 mol), cross-linker</w:t>
      </w:r>
      <w:r>
        <w:rPr>
          <w:rFonts w:hint="eastAsia" w:cs="Times New Roman"/>
          <w:bCs/>
          <w:kern w:val="2"/>
          <w:sz w:val="24"/>
          <w:szCs w:val="24"/>
        </w:rPr>
        <w:t xml:space="preserve"> </w:t>
      </w:r>
      <w:r>
        <w:rPr>
          <w:rFonts w:cs="Times New Roman"/>
          <w:bCs/>
          <w:kern w:val="2"/>
          <w:sz w:val="24"/>
          <w:szCs w:val="24"/>
        </w:rPr>
        <w:t>(FDA, 0.06 mol), and catalyst (FeCl</w:t>
      </w:r>
      <w:r>
        <w:rPr>
          <w:rFonts w:cs="Times New Roman"/>
          <w:bCs/>
          <w:kern w:val="2"/>
          <w:sz w:val="24"/>
          <w:szCs w:val="24"/>
          <w:vertAlign w:val="subscript"/>
        </w:rPr>
        <w:t>3</w:t>
      </w:r>
      <w:r>
        <w:rPr>
          <w:rFonts w:cs="Times New Roman"/>
          <w:bCs/>
          <w:kern w:val="2"/>
          <w:sz w:val="24"/>
          <w:szCs w:val="24"/>
        </w:rPr>
        <w:t>, 0.06 mol)</w:t>
      </w:r>
      <w:r>
        <w:rPr>
          <w:rFonts w:hint="eastAsia" w:cs="Times New Roman"/>
          <w:bCs/>
          <w:kern w:val="2"/>
          <w:sz w:val="24"/>
          <w:szCs w:val="24"/>
        </w:rPr>
        <w:t xml:space="preserve"> </w:t>
      </w:r>
      <w:r>
        <w:rPr>
          <w:rFonts w:cs="Times New Roman"/>
          <w:bCs/>
          <w:kern w:val="2"/>
          <w:sz w:val="24"/>
          <w:szCs w:val="24"/>
        </w:rPr>
        <w:t xml:space="preserve">were dissolved in 1,2-dichloroethane (DCE, 20 mL) and heated at 45 </w:t>
      </w:r>
      <w:r>
        <w:rPr>
          <w:rFonts w:cs="Times New Roman"/>
          <w:bCs/>
          <w:kern w:val="2"/>
          <w:sz w:val="24"/>
          <w:szCs w:val="24"/>
          <w:vertAlign w:val="superscript"/>
        </w:rPr>
        <w:t>o</w:t>
      </w:r>
      <w:r>
        <w:rPr>
          <w:rFonts w:cs="Times New Roman"/>
          <w:bCs/>
          <w:kern w:val="2"/>
          <w:sz w:val="24"/>
          <w:szCs w:val="24"/>
        </w:rPr>
        <w:t xml:space="preserve">C for 5 h, and then heated at 80 </w:t>
      </w:r>
      <w:r>
        <w:rPr>
          <w:rFonts w:cs="Times New Roman"/>
          <w:bCs/>
          <w:kern w:val="2"/>
          <w:sz w:val="24"/>
          <w:szCs w:val="24"/>
          <w:vertAlign w:val="superscript"/>
        </w:rPr>
        <w:t>o</w:t>
      </w:r>
      <w:r>
        <w:rPr>
          <w:rFonts w:cs="Times New Roman"/>
          <w:bCs/>
          <w:kern w:val="2"/>
          <w:sz w:val="24"/>
          <w:szCs w:val="24"/>
        </w:rPr>
        <w:t xml:space="preserve">C for 19 h. After washing the resulting solid product with methanol several times, until the filtrate liquor was nearly colorless, the product was Soxhlet extracted in methanol for 24 h followed by drying in a vacuum oven at 60 </w:t>
      </w:r>
      <w:r>
        <w:rPr>
          <w:rFonts w:cs="Times New Roman"/>
          <w:bCs/>
          <w:kern w:val="2"/>
          <w:sz w:val="24"/>
          <w:szCs w:val="24"/>
          <w:vertAlign w:val="superscript"/>
        </w:rPr>
        <w:t>o</w:t>
      </w:r>
      <w:r>
        <w:rPr>
          <w:rFonts w:cs="Times New Roman"/>
          <w:bCs/>
          <w:kern w:val="2"/>
          <w:sz w:val="24"/>
          <w:szCs w:val="24"/>
        </w:rPr>
        <w:t>C for 24 h.</w:t>
      </w:r>
    </w:p>
    <w:p>
      <w:pPr>
        <w:pStyle w:val="35"/>
        <w:spacing w:after="0"/>
        <w:rPr>
          <w:rFonts w:cs="Times New Roman"/>
          <w:bCs/>
          <w:kern w:val="2"/>
          <w:sz w:val="24"/>
          <w:szCs w:val="24"/>
        </w:rPr>
      </w:pPr>
    </w:p>
    <w:p>
      <w:pPr>
        <w:pStyle w:val="35"/>
        <w:spacing w:after="0"/>
        <w:rPr>
          <w:rFonts w:cs="Times New Roman"/>
          <w:b/>
          <w:sz w:val="24"/>
          <w:szCs w:val="24"/>
          <w:lang w:val="en-GB"/>
        </w:rPr>
      </w:pPr>
      <w:r>
        <w:rPr>
          <w:rFonts w:cs="Times New Roman"/>
          <w:b/>
          <w:sz w:val="24"/>
          <w:szCs w:val="24"/>
          <w:lang w:val="en-GB"/>
        </w:rPr>
        <w:t>Synthesis of the kernel AuPd/POF-N</w:t>
      </w:r>
    </w:p>
    <w:p>
      <w:pPr>
        <w:pStyle w:val="35"/>
        <w:spacing w:after="0"/>
        <w:rPr>
          <w:rFonts w:cs="Times New Roman"/>
          <w:bCs/>
          <w:kern w:val="2"/>
          <w:sz w:val="24"/>
          <w:szCs w:val="24"/>
        </w:rPr>
      </w:pPr>
      <w:r>
        <w:rPr>
          <w:rFonts w:cs="Times New Roman"/>
          <w:bCs/>
          <w:kern w:val="2"/>
          <w:sz w:val="24"/>
          <w:szCs w:val="24"/>
        </w:rPr>
        <w:t xml:space="preserve">The kernel AuPd/POF-N was prepared by adding a certain amount of support POF-N to the prepared dark brown sol with AuPd alloy nanoparticles, after vigorous stirring for 3 h, and then centrifugated. Upon drying at 80 </w:t>
      </w:r>
      <w:r>
        <w:rPr>
          <w:rFonts w:cs="Times New Roman"/>
          <w:bCs/>
          <w:kern w:val="2"/>
          <w:sz w:val="24"/>
          <w:szCs w:val="24"/>
          <w:vertAlign w:val="superscript"/>
        </w:rPr>
        <w:t>o</w:t>
      </w:r>
      <w:r>
        <w:rPr>
          <w:rFonts w:cs="Times New Roman"/>
          <w:bCs/>
          <w:kern w:val="2"/>
          <w:sz w:val="24"/>
          <w:szCs w:val="24"/>
        </w:rPr>
        <w:t>C for 12 h, the kernel AuPd/POF-N was obtained.</w:t>
      </w:r>
    </w:p>
    <w:p>
      <w:pPr>
        <w:pStyle w:val="35"/>
        <w:spacing w:after="0"/>
        <w:rPr>
          <w:rFonts w:cs="Times New Roman"/>
          <w:bCs/>
          <w:kern w:val="2"/>
          <w:sz w:val="24"/>
          <w:szCs w:val="24"/>
        </w:rPr>
      </w:pPr>
    </w:p>
    <w:p>
      <w:pPr>
        <w:pStyle w:val="35"/>
        <w:spacing w:after="0"/>
        <w:rPr>
          <w:rFonts w:cs="Times New Roman"/>
          <w:b/>
          <w:sz w:val="24"/>
          <w:szCs w:val="24"/>
        </w:rPr>
      </w:pPr>
      <w:r>
        <w:rPr>
          <w:rFonts w:cs="Times New Roman"/>
          <w:b/>
          <w:sz w:val="24"/>
          <w:szCs w:val="24"/>
          <w:lang w:val="en-GB"/>
        </w:rPr>
        <w:t xml:space="preserve">Synthesis of the encapsulated </w:t>
      </w:r>
      <w:bookmarkStart w:id="4" w:name="OLE_LINK1"/>
      <w:r>
        <w:rPr>
          <w:rFonts w:cs="Times New Roman"/>
          <w:b/>
          <w:sz w:val="24"/>
          <w:szCs w:val="24"/>
        </w:rPr>
        <w:t>Encap</w:t>
      </w:r>
      <w:r>
        <w:rPr>
          <w:rFonts w:cs="Times New Roman"/>
          <w:b/>
          <w:sz w:val="24"/>
          <w:szCs w:val="24"/>
          <w:lang w:val="en-GB"/>
        </w:rPr>
        <w:t>-ET</w:t>
      </w:r>
      <w:bookmarkEnd w:id="4"/>
      <w:r>
        <w:rPr>
          <w:rFonts w:hint="eastAsia" w:cs="Times New Roman"/>
          <w:b/>
          <w:sz w:val="24"/>
          <w:szCs w:val="24"/>
        </w:rPr>
        <w:t xml:space="preserve"> </w:t>
      </w:r>
      <w:r>
        <w:rPr>
          <w:rFonts w:cs="Times New Roman"/>
          <w:b/>
          <w:sz w:val="24"/>
          <w:szCs w:val="24"/>
          <w:lang w:val="en-GB"/>
        </w:rPr>
        <w:t>(</w:t>
      </w:r>
      <w:bookmarkStart w:id="5" w:name="OLE_LINK3"/>
      <w:r>
        <w:rPr>
          <w:rFonts w:cs="Times New Roman"/>
          <w:b/>
          <w:sz w:val="24"/>
          <w:szCs w:val="24"/>
        </w:rPr>
        <w:t>Encap-</w:t>
      </w:r>
      <w:r>
        <w:rPr>
          <w:rFonts w:cs="Times New Roman"/>
          <w:b/>
          <w:sz w:val="24"/>
          <w:szCs w:val="24"/>
          <w:lang w:val="en-GB"/>
        </w:rPr>
        <w:t>S=O</w:t>
      </w:r>
      <w:bookmarkEnd w:id="5"/>
      <w:bookmarkStart w:id="6" w:name="OLE_LINK45"/>
      <w:r>
        <w:rPr>
          <w:rFonts w:hint="eastAsia" w:cs="Times New Roman"/>
          <w:b/>
          <w:sz w:val="24"/>
          <w:szCs w:val="24"/>
        </w:rPr>
        <w:t xml:space="preserve">, </w:t>
      </w:r>
      <w:r>
        <w:rPr>
          <w:rFonts w:cs="Times New Roman"/>
          <w:b/>
          <w:sz w:val="24"/>
          <w:szCs w:val="24"/>
        </w:rPr>
        <w:t>Encap-</w:t>
      </w:r>
      <w:r>
        <w:rPr>
          <w:rFonts w:hint="eastAsia" w:cs="Times New Roman"/>
          <w:b/>
          <w:sz w:val="24"/>
          <w:szCs w:val="24"/>
        </w:rPr>
        <w:t>C</w:t>
      </w:r>
      <w:r>
        <w:rPr>
          <w:rFonts w:cs="Times New Roman"/>
          <w:b/>
          <w:sz w:val="24"/>
          <w:szCs w:val="24"/>
          <w:lang w:val="en-GB"/>
        </w:rPr>
        <w:t>=O</w:t>
      </w:r>
      <w:r>
        <w:rPr>
          <w:rFonts w:hint="eastAsia" w:cs="Times New Roman"/>
          <w:b/>
          <w:sz w:val="24"/>
          <w:szCs w:val="24"/>
        </w:rPr>
        <w:t xml:space="preserve">, </w:t>
      </w:r>
      <w:r>
        <w:rPr>
          <w:rFonts w:cs="Times New Roman"/>
          <w:b/>
          <w:sz w:val="24"/>
          <w:szCs w:val="24"/>
        </w:rPr>
        <w:t>Encap-</w:t>
      </w:r>
      <w:r>
        <w:rPr>
          <w:rFonts w:hint="eastAsia" w:cs="Times New Roman"/>
          <w:b/>
          <w:sz w:val="24"/>
          <w:szCs w:val="24"/>
        </w:rPr>
        <w:t>N-</w:t>
      </w:r>
      <w:r>
        <w:rPr>
          <w:rFonts w:cs="Times New Roman"/>
          <w:b/>
          <w:sz w:val="24"/>
          <w:szCs w:val="24"/>
          <w:lang w:val="en-GB"/>
        </w:rPr>
        <w:t>O</w:t>
      </w:r>
      <w:bookmarkEnd w:id="6"/>
      <w:r>
        <w:rPr>
          <w:rFonts w:cs="Times New Roman"/>
          <w:b/>
          <w:sz w:val="24"/>
          <w:szCs w:val="24"/>
          <w:lang w:val="en-GB"/>
        </w:rPr>
        <w:t>)</w:t>
      </w:r>
      <w:r>
        <w:rPr>
          <w:rFonts w:cs="Times New Roman"/>
          <w:b/>
          <w:sz w:val="24"/>
          <w:szCs w:val="24"/>
        </w:rPr>
        <w:t xml:space="preserve"> </w:t>
      </w:r>
    </w:p>
    <w:p>
      <w:pPr>
        <w:pStyle w:val="35"/>
        <w:spacing w:after="0"/>
        <w:rPr>
          <w:rFonts w:cs="Times New Roman"/>
          <w:bCs/>
          <w:kern w:val="2"/>
          <w:sz w:val="24"/>
          <w:szCs w:val="24"/>
        </w:rPr>
      </w:pPr>
      <w:r>
        <w:rPr>
          <w:rFonts w:cs="Times New Roman"/>
          <w:bCs/>
          <w:kern w:val="2"/>
          <w:sz w:val="24"/>
          <w:szCs w:val="24"/>
        </w:rPr>
        <w:t>To ensure the same amount of AuPd alloy on different catalysts, and facilitate the subsequent comparison of catalytic performance, we encapsulated the same mass of the outer polymer layer and inner polymer. Typically, the monomer (triphenylamine 0.36 g, ethylbenzene 0.36 g, the molar ratio=3:7) and cross-linker</w:t>
      </w:r>
      <w:r>
        <w:rPr>
          <w:rFonts w:hint="eastAsia" w:cs="Times New Roman"/>
          <w:bCs/>
          <w:kern w:val="2"/>
          <w:sz w:val="24"/>
          <w:szCs w:val="24"/>
        </w:rPr>
        <w:t xml:space="preserve"> </w:t>
      </w:r>
      <w:r>
        <w:rPr>
          <w:rFonts w:cs="Times New Roman"/>
          <w:bCs/>
          <w:kern w:val="2"/>
          <w:sz w:val="24"/>
          <w:szCs w:val="24"/>
        </w:rPr>
        <w:t>(FDA, 1.12 g) were first dissolved in 1,2-dichloroethane (DCE, 20 mL) to obtain 1.0 g polymer</w:t>
      </w:r>
      <w:r>
        <w:rPr>
          <w:rFonts w:hint="eastAsia" w:cs="Times New Roman"/>
          <w:bCs/>
          <w:kern w:val="2"/>
          <w:sz w:val="24"/>
          <w:szCs w:val="24"/>
        </w:rPr>
        <w:t xml:space="preserve"> </w:t>
      </w:r>
      <w:r>
        <w:rPr>
          <w:rFonts w:cs="Times New Roman"/>
          <w:bCs/>
          <w:kern w:val="2"/>
          <w:sz w:val="24"/>
          <w:szCs w:val="24"/>
        </w:rPr>
        <w:t>(POF-ET). Afterward, the kernel AuPd/POF-N</w:t>
      </w:r>
      <w:r>
        <w:rPr>
          <w:rFonts w:hint="eastAsia" w:cs="Times New Roman"/>
          <w:bCs/>
          <w:kern w:val="2"/>
          <w:sz w:val="24"/>
          <w:szCs w:val="24"/>
        </w:rPr>
        <w:t xml:space="preserve"> </w:t>
      </w:r>
      <w:r>
        <w:rPr>
          <w:rFonts w:cs="Times New Roman"/>
          <w:bCs/>
          <w:kern w:val="2"/>
          <w:sz w:val="24"/>
          <w:szCs w:val="24"/>
        </w:rPr>
        <w:t>(1.00 g), and the catalyst (FeCl</w:t>
      </w:r>
      <w:r>
        <w:rPr>
          <w:rFonts w:cs="Times New Roman"/>
          <w:bCs/>
          <w:kern w:val="2"/>
          <w:sz w:val="24"/>
          <w:szCs w:val="24"/>
          <w:vertAlign w:val="subscript"/>
        </w:rPr>
        <w:t>3</w:t>
      </w:r>
      <w:r>
        <w:rPr>
          <w:rFonts w:cs="Times New Roman"/>
          <w:bCs/>
          <w:kern w:val="2"/>
          <w:sz w:val="24"/>
          <w:szCs w:val="24"/>
        </w:rPr>
        <w:t xml:space="preserve">, 2.4 g) were added in order, heated at 45 </w:t>
      </w:r>
      <w:r>
        <w:rPr>
          <w:rFonts w:cs="Times New Roman"/>
          <w:bCs/>
          <w:kern w:val="2"/>
          <w:sz w:val="24"/>
          <w:szCs w:val="24"/>
          <w:vertAlign w:val="superscript"/>
        </w:rPr>
        <w:t>o</w:t>
      </w:r>
      <w:r>
        <w:rPr>
          <w:rFonts w:cs="Times New Roman"/>
          <w:bCs/>
          <w:kern w:val="2"/>
          <w:sz w:val="24"/>
          <w:szCs w:val="24"/>
        </w:rPr>
        <w:t xml:space="preserve">C for 5 h and 80 </w:t>
      </w:r>
      <w:r>
        <w:rPr>
          <w:rFonts w:cs="Times New Roman"/>
          <w:bCs/>
          <w:kern w:val="2"/>
          <w:sz w:val="24"/>
          <w:szCs w:val="24"/>
          <w:vertAlign w:val="superscript"/>
        </w:rPr>
        <w:t>o</w:t>
      </w:r>
      <w:r>
        <w:rPr>
          <w:rFonts w:cs="Times New Roman"/>
          <w:bCs/>
          <w:kern w:val="2"/>
          <w:sz w:val="24"/>
          <w:szCs w:val="24"/>
        </w:rPr>
        <w:t xml:space="preserve">C for 19 h. After washing the obtained solid product with methanol several times, until the filtrate liquor was nearly colorless, the product was Soxhlet extracted in methanol for 24 h followed by drying in a vacuum oven at 60 </w:t>
      </w:r>
      <w:r>
        <w:rPr>
          <w:rFonts w:cs="Times New Roman"/>
          <w:bCs/>
          <w:kern w:val="2"/>
          <w:sz w:val="24"/>
          <w:szCs w:val="24"/>
          <w:vertAlign w:val="superscript"/>
        </w:rPr>
        <w:t>o</w:t>
      </w:r>
      <w:r>
        <w:rPr>
          <w:rFonts w:cs="Times New Roman"/>
          <w:bCs/>
          <w:kern w:val="2"/>
          <w:sz w:val="24"/>
          <w:szCs w:val="24"/>
        </w:rPr>
        <w:t>C for 24 h. Then the encapsulated catalyst Encap-ET (POF-ET/AuPd/POF-N) was obtained. The catalyst Encap-S=O</w:t>
      </w:r>
      <w:r>
        <w:rPr>
          <w:rFonts w:hint="eastAsia" w:cs="Times New Roman"/>
          <w:bCs/>
          <w:kern w:val="2"/>
          <w:sz w:val="24"/>
          <w:szCs w:val="24"/>
        </w:rPr>
        <w:t>, E</w:t>
      </w:r>
      <w:r>
        <w:rPr>
          <w:rFonts w:cs="Times New Roman"/>
          <w:bCs/>
          <w:kern w:val="2"/>
          <w:sz w:val="24"/>
          <w:szCs w:val="24"/>
        </w:rPr>
        <w:t>ncap</w:t>
      </w:r>
      <w:r>
        <w:rPr>
          <w:rFonts w:hint="eastAsia" w:cs="Times New Roman"/>
          <w:bCs/>
          <w:kern w:val="2"/>
          <w:sz w:val="24"/>
          <w:szCs w:val="24"/>
        </w:rPr>
        <w:t xml:space="preserve">-C=O, </w:t>
      </w:r>
      <w:r>
        <w:rPr>
          <w:rFonts w:cs="Times New Roman"/>
          <w:bCs/>
          <w:kern w:val="2"/>
          <w:sz w:val="24"/>
          <w:szCs w:val="24"/>
        </w:rPr>
        <w:t xml:space="preserve">and </w:t>
      </w:r>
      <w:r>
        <w:rPr>
          <w:rFonts w:hint="eastAsia" w:cs="Times New Roman"/>
          <w:bCs/>
          <w:kern w:val="2"/>
          <w:sz w:val="24"/>
          <w:szCs w:val="24"/>
        </w:rPr>
        <w:t>E</w:t>
      </w:r>
      <w:r>
        <w:rPr>
          <w:rFonts w:cs="Times New Roman"/>
          <w:bCs/>
          <w:kern w:val="2"/>
          <w:sz w:val="24"/>
          <w:szCs w:val="24"/>
        </w:rPr>
        <w:t>ncap</w:t>
      </w:r>
      <w:r>
        <w:rPr>
          <w:rFonts w:hint="eastAsia" w:cs="Times New Roman"/>
          <w:bCs/>
          <w:kern w:val="2"/>
          <w:sz w:val="24"/>
          <w:szCs w:val="24"/>
        </w:rPr>
        <w:t>-N-O</w:t>
      </w:r>
      <w:r>
        <w:rPr>
          <w:rFonts w:cs="Times New Roman"/>
          <w:bCs/>
          <w:kern w:val="2"/>
          <w:sz w:val="24"/>
          <w:szCs w:val="24"/>
        </w:rPr>
        <w:t xml:space="preserve"> catalysts were prepared through the same method.</w:t>
      </w:r>
    </w:p>
    <w:p>
      <w:pPr>
        <w:pStyle w:val="35"/>
        <w:spacing w:after="0"/>
        <w:rPr>
          <w:rFonts w:cs="Times New Roman"/>
          <w:bCs/>
          <w:kern w:val="2"/>
          <w:sz w:val="24"/>
          <w:szCs w:val="24"/>
        </w:rPr>
      </w:pPr>
    </w:p>
    <w:p>
      <w:pPr>
        <w:pStyle w:val="35"/>
        <w:spacing w:after="0"/>
        <w:rPr>
          <w:rFonts w:cs="Times New Roman"/>
          <w:b/>
          <w:sz w:val="24"/>
          <w:szCs w:val="24"/>
          <w:lang w:val="en-GB"/>
        </w:rPr>
      </w:pPr>
      <w:r>
        <w:rPr>
          <w:rFonts w:cs="Times New Roman"/>
          <w:b/>
          <w:sz w:val="24"/>
          <w:szCs w:val="24"/>
          <w:lang w:val="en-GB"/>
        </w:rPr>
        <w:t>Synthesis of the</w:t>
      </w:r>
      <w:r>
        <w:rPr>
          <w:rFonts w:cs="Times New Roman"/>
          <w:b/>
          <w:sz w:val="24"/>
          <w:szCs w:val="24"/>
        </w:rPr>
        <w:t xml:space="preserve"> outer</w:t>
      </w:r>
      <w:r>
        <w:rPr>
          <w:rFonts w:cs="Times New Roman"/>
          <w:b/>
          <w:sz w:val="24"/>
          <w:szCs w:val="24"/>
          <w:lang w:val="en-GB"/>
        </w:rPr>
        <w:t xml:space="preserve"> layer POF-</w:t>
      </w:r>
      <w:r>
        <w:rPr>
          <w:rFonts w:cs="Times New Roman"/>
          <w:b/>
          <w:sz w:val="24"/>
          <w:szCs w:val="24"/>
        </w:rPr>
        <w:t>E</w:t>
      </w:r>
      <w:r>
        <w:rPr>
          <w:rFonts w:hint="eastAsia" w:cs="Times New Roman"/>
          <w:b/>
          <w:sz w:val="24"/>
          <w:szCs w:val="24"/>
        </w:rPr>
        <w:t xml:space="preserve">T, </w:t>
      </w:r>
      <w:bookmarkStart w:id="7" w:name="OLE_LINK54"/>
      <w:r>
        <w:rPr>
          <w:rFonts w:cs="Times New Roman"/>
          <w:b/>
          <w:sz w:val="24"/>
          <w:szCs w:val="24"/>
        </w:rPr>
        <w:t>POF-</w:t>
      </w:r>
      <w:r>
        <w:rPr>
          <w:rFonts w:hint="eastAsia" w:cs="Times New Roman"/>
          <w:b/>
          <w:sz w:val="24"/>
          <w:szCs w:val="24"/>
        </w:rPr>
        <w:t>C</w:t>
      </w:r>
      <w:r>
        <w:rPr>
          <w:rFonts w:cs="Times New Roman"/>
          <w:b/>
          <w:sz w:val="24"/>
          <w:szCs w:val="24"/>
          <w:lang w:val="en-GB"/>
        </w:rPr>
        <w:t>=O</w:t>
      </w:r>
      <w:r>
        <w:rPr>
          <w:rFonts w:hint="eastAsia" w:cs="Times New Roman"/>
          <w:b/>
          <w:sz w:val="24"/>
          <w:szCs w:val="24"/>
        </w:rPr>
        <w:t>,</w:t>
      </w:r>
      <w:bookmarkStart w:id="8" w:name="OLE_LINK46"/>
      <w:r>
        <w:rPr>
          <w:rFonts w:hint="eastAsia" w:cs="Times New Roman"/>
          <w:b/>
          <w:sz w:val="24"/>
          <w:szCs w:val="24"/>
        </w:rPr>
        <w:t xml:space="preserve"> </w:t>
      </w:r>
      <w:r>
        <w:rPr>
          <w:rFonts w:cs="Times New Roman"/>
          <w:b/>
          <w:sz w:val="24"/>
          <w:szCs w:val="24"/>
        </w:rPr>
        <w:t>POF</w:t>
      </w:r>
      <w:bookmarkEnd w:id="8"/>
      <w:r>
        <w:rPr>
          <w:rFonts w:cs="Times New Roman"/>
          <w:b/>
          <w:sz w:val="24"/>
          <w:szCs w:val="24"/>
        </w:rPr>
        <w:t>-S=O and</w:t>
      </w:r>
      <w:r>
        <w:rPr>
          <w:rFonts w:hint="eastAsia" w:cs="Times New Roman"/>
          <w:b/>
          <w:sz w:val="24"/>
          <w:szCs w:val="24"/>
        </w:rPr>
        <w:t xml:space="preserve"> </w:t>
      </w:r>
      <w:r>
        <w:rPr>
          <w:rFonts w:cs="Times New Roman"/>
          <w:b/>
          <w:sz w:val="24"/>
          <w:szCs w:val="24"/>
        </w:rPr>
        <w:t>POF-</w:t>
      </w:r>
      <w:r>
        <w:rPr>
          <w:rFonts w:hint="eastAsia" w:cs="Times New Roman"/>
          <w:b/>
          <w:sz w:val="24"/>
          <w:szCs w:val="24"/>
        </w:rPr>
        <w:t>N-</w:t>
      </w:r>
      <w:r>
        <w:rPr>
          <w:rFonts w:cs="Times New Roman"/>
          <w:b/>
          <w:sz w:val="24"/>
          <w:szCs w:val="24"/>
          <w:lang w:val="en-GB"/>
        </w:rPr>
        <w:t>O</w:t>
      </w:r>
    </w:p>
    <w:bookmarkEnd w:id="7"/>
    <w:p>
      <w:pPr>
        <w:pStyle w:val="35"/>
        <w:spacing w:after="0"/>
        <w:rPr>
          <w:rFonts w:cs="Times New Roman"/>
          <w:bCs/>
          <w:kern w:val="2"/>
          <w:sz w:val="24"/>
          <w:szCs w:val="24"/>
        </w:rPr>
      </w:pPr>
      <w:r>
        <w:rPr>
          <w:rFonts w:cs="Times New Roman"/>
          <w:bCs/>
          <w:kern w:val="2"/>
          <w:sz w:val="24"/>
          <w:szCs w:val="24"/>
        </w:rPr>
        <w:t>Typically, the monomer (a certain amount of triphenylamine and ethylbenzene), cross-linker</w:t>
      </w:r>
      <w:r>
        <w:rPr>
          <w:rFonts w:hint="eastAsia" w:cs="Times New Roman"/>
          <w:bCs/>
          <w:kern w:val="2"/>
          <w:sz w:val="24"/>
          <w:szCs w:val="24"/>
        </w:rPr>
        <w:t xml:space="preserve"> </w:t>
      </w:r>
      <w:r>
        <w:rPr>
          <w:rFonts w:cs="Times New Roman"/>
          <w:bCs/>
          <w:kern w:val="2"/>
          <w:sz w:val="24"/>
          <w:szCs w:val="24"/>
        </w:rPr>
        <w:t>(FDA, 0.06 mol), and catalyst (FeCl</w:t>
      </w:r>
      <w:r>
        <w:rPr>
          <w:rFonts w:cs="Times New Roman"/>
          <w:bCs/>
          <w:kern w:val="2"/>
          <w:sz w:val="24"/>
          <w:szCs w:val="24"/>
          <w:vertAlign w:val="subscript"/>
        </w:rPr>
        <w:t>3</w:t>
      </w:r>
      <w:r>
        <w:rPr>
          <w:rFonts w:cs="Times New Roman"/>
          <w:bCs/>
          <w:kern w:val="2"/>
          <w:sz w:val="24"/>
          <w:szCs w:val="24"/>
        </w:rPr>
        <w:t xml:space="preserve">, 0.06 mol)were dissolved in 1,2-dichloroethane (DCE, 20 mL) and heated at 45 </w:t>
      </w:r>
      <w:r>
        <w:rPr>
          <w:rFonts w:cs="Times New Roman"/>
          <w:bCs/>
          <w:kern w:val="2"/>
          <w:sz w:val="24"/>
          <w:szCs w:val="24"/>
          <w:vertAlign w:val="superscript"/>
        </w:rPr>
        <w:t>o</w:t>
      </w:r>
      <w:r>
        <w:rPr>
          <w:rFonts w:cs="Times New Roman"/>
          <w:bCs/>
          <w:kern w:val="2"/>
          <w:sz w:val="24"/>
          <w:szCs w:val="24"/>
        </w:rPr>
        <w:t xml:space="preserve">C for 5 h and then at 80 </w:t>
      </w:r>
      <w:r>
        <w:rPr>
          <w:rFonts w:cs="Times New Roman"/>
          <w:bCs/>
          <w:kern w:val="2"/>
          <w:sz w:val="24"/>
          <w:szCs w:val="24"/>
          <w:vertAlign w:val="superscript"/>
        </w:rPr>
        <w:t>o</w:t>
      </w:r>
      <w:r>
        <w:rPr>
          <w:rFonts w:cs="Times New Roman"/>
          <w:bCs/>
          <w:kern w:val="2"/>
          <w:sz w:val="24"/>
          <w:szCs w:val="24"/>
        </w:rPr>
        <w:t xml:space="preserve">C for 19 h. After washing the resulting solid product with methanol several times, until the filtrate liquor was nearly colorless, the product was Soxhlet extracted in methanol for 24 h followed by drying in a vacuum oven at 60 </w:t>
      </w:r>
      <w:r>
        <w:rPr>
          <w:rFonts w:cs="Times New Roman"/>
          <w:bCs/>
          <w:kern w:val="2"/>
          <w:sz w:val="24"/>
          <w:szCs w:val="24"/>
          <w:vertAlign w:val="superscript"/>
        </w:rPr>
        <w:t>o</w:t>
      </w:r>
      <w:r>
        <w:rPr>
          <w:rFonts w:cs="Times New Roman"/>
          <w:bCs/>
          <w:kern w:val="2"/>
          <w:sz w:val="24"/>
          <w:szCs w:val="24"/>
        </w:rPr>
        <w:t>C for 24 h. Similarly, the</w:t>
      </w:r>
      <w:r>
        <w:rPr>
          <w:rFonts w:hint="eastAsia" w:cs="Times New Roman"/>
          <w:bCs/>
          <w:kern w:val="2"/>
          <w:sz w:val="24"/>
          <w:szCs w:val="24"/>
        </w:rPr>
        <w:t xml:space="preserve"> POF-C=O, POF-S=O and POF-N-O </w:t>
      </w:r>
      <w:r>
        <w:rPr>
          <w:rFonts w:cs="Times New Roman"/>
          <w:bCs/>
          <w:kern w:val="2"/>
          <w:sz w:val="24"/>
          <w:szCs w:val="24"/>
        </w:rPr>
        <w:t xml:space="preserve">were prepared through the same method using the monomer acetophenone, methyl phenyl sulfoxide, and nitrogen dimethylbenzylamine-nitrogen oxide, </w:t>
      </w:r>
      <w:r>
        <w:rPr>
          <w:rFonts w:hint="eastAsia" w:cs="Times New Roman"/>
          <w:bCs/>
          <w:kern w:val="2"/>
          <w:sz w:val="24"/>
          <w:szCs w:val="24"/>
        </w:rPr>
        <w:t>respectively</w:t>
      </w:r>
      <w:r>
        <w:rPr>
          <w:rFonts w:cs="Times New Roman"/>
          <w:bCs/>
          <w:kern w:val="2"/>
          <w:sz w:val="24"/>
          <w:szCs w:val="24"/>
        </w:rPr>
        <w:t>.</w:t>
      </w:r>
    </w:p>
    <w:p>
      <w:pPr>
        <w:pStyle w:val="35"/>
        <w:spacing w:after="0"/>
        <w:rPr>
          <w:rFonts w:cs="Times New Roman"/>
          <w:bCs/>
          <w:kern w:val="2"/>
          <w:sz w:val="24"/>
          <w:szCs w:val="24"/>
        </w:rPr>
      </w:pPr>
    </w:p>
    <w:p>
      <w:pPr>
        <w:pStyle w:val="35"/>
        <w:spacing w:after="156" w:afterLines="50"/>
        <w:rPr>
          <w:rFonts w:cs="Times New Roman"/>
          <w:i/>
          <w:iCs/>
          <w:sz w:val="24"/>
          <w:szCs w:val="24"/>
          <w:lang w:val="en-GB"/>
        </w:rPr>
      </w:pPr>
      <w:r>
        <w:rPr>
          <w:rFonts w:cs="Times New Roman"/>
          <w:b/>
          <w:i/>
          <w:iCs/>
          <w:sz w:val="24"/>
          <w:szCs w:val="24"/>
          <w:lang w:val="en-GB"/>
        </w:rPr>
        <w:t>Characterization</w:t>
      </w:r>
    </w:p>
    <w:p>
      <w:pPr>
        <w:pStyle w:val="35"/>
        <w:spacing w:after="0"/>
        <w:rPr>
          <w:rFonts w:cs="Times New Roman"/>
          <w:sz w:val="24"/>
          <w:szCs w:val="24"/>
        </w:rPr>
      </w:pPr>
      <w:r>
        <w:rPr>
          <w:rFonts w:cs="Times New Roman"/>
          <w:sz w:val="24"/>
          <w:szCs w:val="24"/>
          <w:lang w:val="en-GB"/>
        </w:rPr>
        <w:t>X-ray photoelectron spectroscopy (XPS) was performed on the Thermofisher ESCALAB 250Xi spectrometer using AlKα radiation. The binding energies were calibrated using the C1s level (284.</w:t>
      </w:r>
      <w:r>
        <w:rPr>
          <w:rFonts w:cs="Times New Roman"/>
          <w:sz w:val="24"/>
          <w:szCs w:val="24"/>
        </w:rPr>
        <w:t>6</w:t>
      </w:r>
      <w:r>
        <w:rPr>
          <w:rFonts w:cs="Times New Roman"/>
          <w:sz w:val="24"/>
          <w:szCs w:val="24"/>
          <w:lang w:val="en-GB"/>
        </w:rPr>
        <w:t xml:space="preserve"> e</w:t>
      </w:r>
      <w:r>
        <w:rPr>
          <w:rFonts w:cs="Times New Roman"/>
          <w:color w:val="auto"/>
          <w:sz w:val="24"/>
          <w:szCs w:val="24"/>
          <w:lang w:val="en-GB"/>
        </w:rPr>
        <w:t xml:space="preserve">V) as the internal standard reference. </w:t>
      </w:r>
      <w:r>
        <w:rPr>
          <w:rFonts w:cs="Times New Roman"/>
          <w:color w:val="auto"/>
          <w:sz w:val="24"/>
          <w:szCs w:val="24"/>
          <w:vertAlign w:val="superscript"/>
        </w:rPr>
        <w:t>13</w:t>
      </w:r>
      <w:r>
        <w:rPr>
          <w:rFonts w:cs="Times New Roman"/>
          <w:color w:val="auto"/>
          <w:sz w:val="24"/>
          <w:szCs w:val="24"/>
        </w:rPr>
        <w:t>C cross-polarization magic-angle spinning nuclear magnetic resonance (</w:t>
      </w:r>
      <w:r>
        <w:rPr>
          <w:rFonts w:cs="Times New Roman"/>
          <w:color w:val="auto"/>
          <w:sz w:val="24"/>
          <w:szCs w:val="24"/>
          <w:vertAlign w:val="superscript"/>
        </w:rPr>
        <w:t>13</w:t>
      </w:r>
      <w:r>
        <w:rPr>
          <w:rFonts w:cs="Times New Roman"/>
          <w:color w:val="auto"/>
          <w:sz w:val="24"/>
          <w:szCs w:val="24"/>
        </w:rPr>
        <w:t>C CP/MAS NMR) spectra were collected on Bruker AVANCE III HD 600 MHz Wide Bore Solid State spectrometer</w:t>
      </w:r>
      <w:r>
        <w:rPr>
          <w:rFonts w:cs="Times New Roman"/>
          <w:bCs/>
          <w:color w:val="auto"/>
          <w:sz w:val="24"/>
          <w:szCs w:val="24"/>
        </w:rPr>
        <w:t>. The amounts of Au and Pd were measured on ICP-OES 7300DV</w:t>
      </w:r>
      <w:r>
        <w:rPr>
          <w:rFonts w:cs="Times New Roman"/>
          <w:bCs/>
          <w:sz w:val="24"/>
          <w:szCs w:val="24"/>
        </w:rPr>
        <w:t xml:space="preserve">. </w:t>
      </w:r>
      <w:r>
        <w:rPr>
          <w:rFonts w:cs="Times New Roman"/>
          <w:sz w:val="24"/>
          <w:szCs w:val="24"/>
        </w:rPr>
        <w:t>HR-TEM images were collected</w:t>
      </w:r>
      <w:r>
        <w:rPr>
          <w:rFonts w:cs="Times New Roman"/>
          <w:sz w:val="24"/>
          <w:szCs w:val="24"/>
          <w:lang w:val="en-GB"/>
        </w:rPr>
        <w:t xml:space="preserve"> on</w:t>
      </w:r>
      <w:r>
        <w:rPr>
          <w:rFonts w:cs="Times New Roman"/>
          <w:sz w:val="24"/>
          <w:szCs w:val="24"/>
        </w:rPr>
        <w:t xml:space="preserve"> a JEM-2100, and the HAADF-STEM images and the elemental mapping of C, N, O, Au, and Pd were performed with an FEI Talos F 200X microscope operated at 200 kV. IGC measurement </w:t>
      </w:r>
      <w:r>
        <w:rPr>
          <w:rFonts w:cs="Times New Roman"/>
          <w:sz w:val="24"/>
          <w:szCs w:val="24"/>
          <w:lang w:val="en-GB"/>
        </w:rPr>
        <w:t>w</w:t>
      </w:r>
      <w:r>
        <w:rPr>
          <w:rFonts w:cs="Times New Roman"/>
          <w:sz w:val="24"/>
          <w:szCs w:val="24"/>
        </w:rPr>
        <w:t xml:space="preserve">as </w:t>
      </w:r>
      <w:r>
        <w:rPr>
          <w:rFonts w:cs="Times New Roman"/>
          <w:sz w:val="24"/>
          <w:szCs w:val="24"/>
          <w:lang w:val="en-GB"/>
        </w:rPr>
        <w:t>performed</w:t>
      </w:r>
      <w:r>
        <w:rPr>
          <w:rFonts w:cs="Times New Roman"/>
          <w:sz w:val="24"/>
          <w:szCs w:val="24"/>
        </w:rPr>
        <w:t xml:space="preserve"> on</w:t>
      </w:r>
      <w:r>
        <w:rPr>
          <w:rFonts w:cs="Times New Roman"/>
          <w:sz w:val="24"/>
          <w:szCs w:val="24"/>
          <w:lang w:val="en-GB"/>
        </w:rPr>
        <w:t xml:space="preserve"> an Agilent 6890N GC</w:t>
      </w:r>
      <w:r>
        <w:rPr>
          <w:rFonts w:cs="Times New Roman"/>
          <w:sz w:val="24"/>
          <w:szCs w:val="24"/>
        </w:rPr>
        <w:t xml:space="preserve"> </w:t>
      </w:r>
      <w:r>
        <w:rPr>
          <w:rFonts w:cs="Times New Roman"/>
          <w:sz w:val="24"/>
          <w:szCs w:val="24"/>
          <w:lang w:val="en-GB"/>
        </w:rPr>
        <w:t>equipped with a flame ionization detector.</w:t>
      </w:r>
    </w:p>
    <w:p>
      <w:pPr>
        <w:pStyle w:val="35"/>
        <w:spacing w:after="156" w:afterLines="50"/>
        <w:rPr>
          <w:rFonts w:cs="Times New Roman"/>
          <w:b/>
          <w:sz w:val="24"/>
          <w:szCs w:val="24"/>
          <w:lang w:val="en-GB"/>
        </w:rPr>
      </w:pPr>
    </w:p>
    <w:p>
      <w:pPr>
        <w:pStyle w:val="35"/>
        <w:spacing w:after="156" w:afterLines="50"/>
        <w:rPr>
          <w:rFonts w:cs="Times New Roman"/>
          <w:b/>
          <w:i/>
          <w:iCs/>
          <w:sz w:val="24"/>
          <w:szCs w:val="24"/>
          <w:lang w:val="en-GB"/>
        </w:rPr>
      </w:pPr>
      <w:r>
        <w:rPr>
          <w:rFonts w:cs="Times New Roman"/>
          <w:b/>
          <w:i/>
          <w:iCs/>
          <w:sz w:val="24"/>
          <w:szCs w:val="24"/>
          <w:lang w:val="en-GB"/>
        </w:rPr>
        <w:t>Reaction procedures and product analysis</w:t>
      </w:r>
    </w:p>
    <w:p>
      <w:pPr>
        <w:pStyle w:val="35"/>
        <w:spacing w:after="0"/>
        <w:rPr>
          <w:rFonts w:cs="Times New Roman"/>
          <w:sz w:val="24"/>
          <w:szCs w:val="24"/>
        </w:rPr>
      </w:pPr>
      <w:r>
        <w:rPr>
          <w:rFonts w:cs="Times New Roman"/>
          <w:sz w:val="24"/>
          <w:szCs w:val="24"/>
          <w:lang w:val="en-GB"/>
        </w:rPr>
        <w:t xml:space="preserve">Catalytic reactions were performed on a 60 mL of autoclave reactor with a Teflon insert. A typical procedure is as follows: in a 60 mL reaction kettle containing a PTFE lining, benzyl alcohol (108.1 mg, 1 mmol), catalyst (100 mg), and solvent acetonitrile (10 mL) were added in sequence, sealed, and pressurized with oxygen to 1.0 MPa. With the magnetic stirring turned on, the reaction was carried out under the program-controlled temperature. After a certain time of reaction, the heating and stirring were stopped in time, and the mixture was cooled to room temperature in an ice bath. When the reaction was complete, the reaction mixture was diluted to 25 mL for analysis. The products were identified by Agilent 6890N GC/5973 MS detector and quantitated by Agilent </w:t>
      </w:r>
      <w:r>
        <w:rPr>
          <w:rFonts w:cs="Times New Roman"/>
          <w:sz w:val="24"/>
          <w:szCs w:val="24"/>
        </w:rPr>
        <w:t>7</w:t>
      </w:r>
      <w:r>
        <w:rPr>
          <w:rFonts w:cs="Times New Roman"/>
          <w:sz w:val="24"/>
          <w:szCs w:val="24"/>
          <w:lang w:val="en-GB"/>
        </w:rPr>
        <w:t xml:space="preserve">890N GC equipped with an </w:t>
      </w:r>
      <w:r>
        <w:rPr>
          <w:rFonts w:cs="Times New Roman"/>
          <w:sz w:val="24"/>
          <w:szCs w:val="24"/>
        </w:rPr>
        <w:t>HP-INNOWAX</w:t>
      </w:r>
      <w:r>
        <w:rPr>
          <w:rFonts w:cs="Times New Roman"/>
          <w:sz w:val="24"/>
          <w:szCs w:val="24"/>
          <w:lang w:val="en-GB"/>
        </w:rPr>
        <w:t xml:space="preserve"> (30.0 m × 0.320 mm) and flame ionization detector with p-</w:t>
      </w:r>
      <w:r>
        <w:rPr>
          <w:rFonts w:cs="Times New Roman"/>
          <w:sz w:val="24"/>
          <w:szCs w:val="24"/>
        </w:rPr>
        <w:t>d</w:t>
      </w:r>
      <w:r>
        <w:rPr>
          <w:rFonts w:cs="Times New Roman"/>
          <w:sz w:val="24"/>
          <w:szCs w:val="24"/>
          <w:lang w:val="en-GB"/>
        </w:rPr>
        <w:t>ichlorobenzene as an internal standard.</w:t>
      </w:r>
      <w:r>
        <w:rPr>
          <w:rFonts w:hint="eastAsia" w:cs="Times New Roman"/>
          <w:sz w:val="24"/>
          <w:szCs w:val="24"/>
        </w:rPr>
        <w:t xml:space="preserve"> </w:t>
      </w:r>
      <w:r>
        <w:rPr>
          <w:rFonts w:cs="Times New Roman"/>
          <w:sz w:val="24"/>
          <w:szCs w:val="24"/>
        </w:rPr>
        <w:t>The a</w:t>
      </w:r>
      <w:r>
        <w:rPr>
          <w:rFonts w:hint="eastAsia" w:cs="Times New Roman"/>
          <w:sz w:val="24"/>
          <w:szCs w:val="24"/>
        </w:rPr>
        <w:t>dsorption capability of the polymers w</w:t>
      </w:r>
      <w:r>
        <w:rPr>
          <w:rFonts w:cs="Times New Roman"/>
          <w:sz w:val="24"/>
          <w:szCs w:val="24"/>
        </w:rPr>
        <w:t>as</w:t>
      </w:r>
      <w:r>
        <w:rPr>
          <w:rFonts w:hint="eastAsia" w:cs="Times New Roman"/>
          <w:sz w:val="24"/>
          <w:szCs w:val="24"/>
        </w:rPr>
        <w:t xml:space="preserve"> measured on an Intelligent Gravimetric Analyzer (IGA-100, Hiden Analytical Company, the United Kingdom).</w:t>
      </w:r>
    </w:p>
    <w:p>
      <w:pPr>
        <w:pStyle w:val="35"/>
        <w:spacing w:before="312" w:beforeLines="100" w:after="156" w:afterLines="50"/>
        <w:rPr>
          <w:rFonts w:cs="Times New Roman"/>
          <w:b/>
          <w:i/>
          <w:iCs/>
          <w:sz w:val="24"/>
          <w:szCs w:val="24"/>
          <w:lang w:val="en-GB"/>
        </w:rPr>
      </w:pPr>
      <w:r>
        <w:rPr>
          <w:rFonts w:cs="Times New Roman"/>
          <w:b/>
          <w:i/>
          <w:iCs/>
          <w:sz w:val="24"/>
          <w:szCs w:val="24"/>
          <w:lang w:val="en-GB"/>
        </w:rPr>
        <w:t>DFT calculations</w:t>
      </w:r>
    </w:p>
    <w:bookmarkEnd w:id="2"/>
    <w:p>
      <w:pPr>
        <w:spacing w:after="156" w:afterLines="50"/>
        <w:rPr>
          <w:rFonts w:cs="Times New Roman"/>
        </w:rPr>
      </w:pPr>
      <w:r>
        <w:rPr>
          <w:rFonts w:cs="Times New Roman"/>
        </w:rPr>
        <w:t>All the calculations were carried out using Gaussian 09 software package.</w:t>
      </w:r>
      <w:r>
        <w:fldChar w:fldCharType="begin"/>
      </w:r>
      <w:r>
        <w:instrText xml:space="preserve"> HYPERLINK \l "_ENREF_1" \o "Frisch, 2010 #312" </w:instrText>
      </w:r>
      <w:r>
        <w:fldChar w:fldCharType="separate"/>
      </w:r>
      <w:r>
        <w:rPr>
          <w:rFonts w:cs="Times New Roman"/>
        </w:rPr>
        <w:fldChar w:fldCharType="begin"/>
      </w:r>
      <w:r>
        <w:rPr>
          <w:rFonts w:cs="Times New Roman"/>
        </w:rPr>
        <w:instrText xml:space="preserve"> ADDIN EN.CITE &lt;EndNote&gt;&lt;Cite&gt;&lt;Author&gt;Frisch&lt;/Author&gt;&lt;Year&gt;2010&lt;/Year&gt;&lt;RecNum&gt;312&lt;/RecNum&gt;&lt;DisplayText&gt;&lt;style face="superscript"&gt;1&lt;/style&gt;&lt;/DisplayText&gt;&lt;record&gt;&lt;rec-number&gt;312&lt;/rec-number&gt;&lt;foreign-keys&gt;&lt;key app="EN" db-id="deae2a9dszdz02e5zec5r22rsp59xva5saft" timestamp="1699944791" guid="b713d902-23ee-4fad-b4ee-cb7f3dca81d8"&gt;312&lt;/key&gt;&lt;/foreign-keys&gt;&lt;ref-type name="Journal Article"&gt;17&lt;/ref-type&gt;&lt;contributors&gt;&lt;authors&gt;&lt;author&gt;Frisch, MJ&lt;/author&gt;&lt;author&gt;Trucks, GW&lt;/author&gt;&lt;author&gt;Schlegel, HB&lt;/author&gt;&lt;author&gt;Scuseria, GE&lt;/author&gt;&lt;author&gt;Robb, MA&lt;/author&gt;&lt;author&gt;Cheeseman, JR&lt;/author&gt;&lt;author&gt;Scalmani, G&lt;/author&gt;&lt;author&gt;Barone, V&lt;/author&gt;&lt;author&gt;Mennucci, B&lt;/author&gt;&lt;author&gt;Petersson, GA&lt;/author&gt;&lt;/authors&gt;&lt;/contributors&gt;&lt;titles&gt;&lt;title&gt;Gaussian 09, Revision (B.01)&lt;/title&gt;&lt;secondary-title&gt;Gaussian Inc., Wallingford CT&lt;/secondary-title&gt;&lt;/titles&gt;&lt;periodical&gt;&lt;full-title&gt;Gaussian Inc., Wallingford CT&lt;/full-title&gt;&lt;/periodical&gt;&lt;dates&gt;&lt;year&gt;2010&lt;/year&gt;&lt;/dates&gt;&lt;urls&gt;&lt;related-urls&gt;&lt;url&gt;https://cir.nii.ac.jp/crid/1571698600718545408&lt;/url&gt;&lt;/related-urls&gt;&lt;/urls&gt;&lt;/record&gt;&lt;/Cite&gt;&lt;/EndNote&gt;</w:instrText>
      </w:r>
      <w:r>
        <w:rPr>
          <w:rFonts w:cs="Times New Roman"/>
        </w:rPr>
        <w:fldChar w:fldCharType="separate"/>
      </w:r>
      <w:r>
        <w:rPr>
          <w:rFonts w:cs="Times New Roman"/>
          <w:vertAlign w:val="superscript"/>
        </w:rPr>
        <w:t>1</w:t>
      </w:r>
      <w:r>
        <w:rPr>
          <w:rFonts w:cs="Times New Roman"/>
        </w:rPr>
        <w:fldChar w:fldCharType="end"/>
      </w:r>
      <w:r>
        <w:rPr>
          <w:rFonts w:cs="Times New Roman"/>
        </w:rPr>
        <w:fldChar w:fldCharType="end"/>
      </w:r>
      <w:r>
        <w:rPr>
          <w:rFonts w:cs="Times New Roman"/>
        </w:rPr>
        <w:t xml:space="preserve"> B3LYP/6–31++G(d,p) was used with basis set superposition error (BSSE) correction.</w:t>
      </w:r>
      <w:r>
        <w:rPr>
          <w:rFonts w:cs="Times New Roman"/>
        </w:rPr>
        <w:fldChar w:fldCharType="begin">
          <w:fldData xml:space="preserve">PEVuZE5vdGU+PENpdGU+PEF1dGhvcj5CZWNrZTwvQXV0aG9yPjxZZWFyPjE5ODg8L1llYXI+PFJl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</w:fldData>
        </w:fldChar>
      </w:r>
      <w:r>
        <w:rPr>
          <w:rFonts w:cs="Times New Roman"/>
        </w:rPr>
        <w:instrText xml:space="preserve"> ADDIN EN.CITE </w:instrText>
      </w:r>
      <w:r>
        <w:rPr>
          <w:rFonts w:cs="Times New Roman"/>
        </w:rPr>
        <w:fldChar w:fldCharType="begin">
          <w:fldData xml:space="preserve">PEVuZE5vdGU+PENpdGU+PEF1dGhvcj5CZWNrZTwvQXV0aG9yPjxZZWFyPjE5ODg8L1llYXI+PFJl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</w:fldData>
        </w:fldChar>
      </w:r>
      <w:r>
        <w:rPr>
          <w:rFonts w:cs="Times New Roman"/>
        </w:rPr>
        <w:instrText xml:space="preserve"> ADDIN EN.CITE.DATA </w:instrText>
      </w:r>
      <w:r>
        <w:rPr>
          <w:rFonts w:cs="Times New Roman"/>
        </w:rPr>
        <w:fldChar w:fldCharType="end"/>
      </w:r>
      <w:r>
        <w:rPr>
          <w:rFonts w:cs="Times New Roman"/>
        </w:rPr>
        <w:fldChar w:fldCharType="separate"/>
      </w:r>
      <w:r>
        <w:fldChar w:fldCharType="begin"/>
      </w:r>
      <w:r>
        <w:instrText xml:space="preserve"> HYPERLINK \l "_ENREF_2" \o "Becke, 1988 #317" </w:instrText>
      </w:r>
      <w:r>
        <w:fldChar w:fldCharType="separate"/>
      </w:r>
      <w:r>
        <w:rPr>
          <w:rFonts w:cs="Times New Roman"/>
          <w:vertAlign w:val="superscript"/>
        </w:rPr>
        <w:t>2</w:t>
      </w:r>
      <w:r>
        <w:rPr>
          <w:rFonts w:cs="Times New Roman"/>
          <w:vertAlign w:val="superscript"/>
        </w:rPr>
        <w:fldChar w:fldCharType="end"/>
      </w:r>
      <w:r>
        <w:rPr>
          <w:rFonts w:cs="Times New Roman"/>
          <w:vertAlign w:val="superscript"/>
        </w:rPr>
        <w:t>,</w:t>
      </w:r>
      <w:r>
        <w:fldChar w:fldCharType="begin"/>
      </w:r>
      <w:r>
        <w:instrText xml:space="preserve"> HYPERLINK \l "_ENREF_3" \o "Grimme, 2004 #316" </w:instrText>
      </w:r>
      <w:r>
        <w:fldChar w:fldCharType="separate"/>
      </w:r>
      <w:r>
        <w:rPr>
          <w:rFonts w:cs="Times New Roman"/>
          <w:vertAlign w:val="superscript"/>
        </w:rPr>
        <w:t>3</w:t>
      </w:r>
      <w:r>
        <w:rPr>
          <w:rFonts w:cs="Times New Roman"/>
          <w:vertAlign w:val="superscript"/>
        </w:rPr>
        <w:fldChar w:fldCharType="end"/>
      </w:r>
      <w:r>
        <w:rPr>
          <w:rFonts w:cs="Times New Roman"/>
        </w:rPr>
        <w:fldChar w:fldCharType="end"/>
      </w:r>
      <w:r>
        <w:rPr>
          <w:rFonts w:cs="Times New Roman"/>
        </w:rPr>
        <w:t xml:space="preserve"> </w:t>
      </w:r>
      <w:r>
        <w:fldChar w:fldCharType="begin"/>
      </w:r>
      <w:r>
        <w:instrText xml:space="preserve"> HYPERLINK \l "_ENREF_2" \o "Grimme, 2004 #316" </w:instrText>
      </w:r>
      <w:r>
        <w:fldChar w:fldCharType="separate"/>
      </w:r>
      <w:r>
        <w:fldChar w:fldCharType="end"/>
      </w:r>
      <w:r>
        <w:rPr>
          <w:rFonts w:cs="Times New Roman"/>
        </w:rPr>
        <w:t>The interaction energy for hydrogen-bonded complex is calculated using</w:t>
      </w:r>
      <w:r>
        <w:rPr>
          <w:rFonts w:hint="eastAsia" w:ascii="宋体" w:hAnsi="宋体" w:eastAsia="宋体" w:cs="宋体"/>
        </w:rPr>
        <w:t>:</w:t>
      </w:r>
      <w:r>
        <w:fldChar w:fldCharType="begin"/>
      </w:r>
      <w:r>
        <w:instrText xml:space="preserve"> HYPERLINK \l "_ENREF_4" \o "Gordon, 1996 #318" </w:instrText>
      </w:r>
      <w:r>
        <w:fldChar w:fldCharType="separate"/>
      </w:r>
      <w:r>
        <w:rPr>
          <w:rFonts w:cs="Times New Roman"/>
        </w:rPr>
        <w:fldChar w:fldCharType="begin"/>
      </w:r>
      <w:r>
        <w:rPr>
          <w:rFonts w:cs="Times New Roman"/>
        </w:rPr>
        <w:instrText xml:space="preserve"> ADDIN EN.CITE &lt;EndNote&gt;&lt;Cite&gt;&lt;Author&gt;Gordon&lt;/Author&gt;&lt;Year&gt;1996&lt;/Year&gt;&lt;RecNum&gt;318&lt;/RecNum&gt;&lt;DisplayText&gt;&lt;style face="superscript"&gt;4&lt;/style&gt;&lt;/DisplayText&gt;&lt;record&gt;&lt;rec-number&gt;318&lt;/rec-number&gt;&lt;foreign-keys&gt;&lt;key app="EN" db-id="deae2a9dszdz02e5zec5r22rsp59xva5saft" timestamp="1699945450" guid="23e1782e-9664-4873-b7e8-271a913baf12"&gt;318&lt;/key&gt;&lt;/foreign-keys&gt;&lt;ref-type name="Journal Article"&gt;17&lt;/ref-type&gt;&lt;contributors&gt;&lt;authors&gt;&lt;author&gt;Gordon, M. S.&lt;/author&gt;&lt;author&gt;Jensen, J. H.&lt;/author&gt;&lt;/authors&gt;&lt;/contributors&gt;&lt;titles&gt;&lt;title&gt;Understanding the hydrogen bond using quantum chemistry&lt;/title&gt;&lt;secondary-title&gt;Accounts of Chemical Research&lt;/secondary-title&gt;&lt;alt-title&gt;Accounts Chem Res&lt;/alt-title&gt;&lt;/titles&gt;&lt;periodical&gt;&lt;full-title&gt;Accounts of Chemical Research&lt;/full-title&gt;&lt;abbr-1&gt;Acc. Chem. Res.&lt;/abbr-1&gt;&lt;abbr-2&gt;Acc Chem Res&lt;/abbr-2&gt;&lt;/periodical&gt;&lt;pages&gt;536-543&lt;/pages&gt;&lt;volume&gt;29&lt;/volume&gt;&lt;number&gt;11&lt;/number&gt;&lt;section&gt;536&lt;/section&gt;&lt;keywords&gt;&lt;keyword&gt;localized charge-distributions&lt;/keyword&gt;&lt;keyword&gt;parallel algorithm&lt;/keyword&gt;&lt;/keywords&gt;&lt;dates&gt;&lt;year&gt;1996&lt;/year&gt;&lt;pub-dates&gt;&lt;date&gt;Nov&lt;/date&gt;&lt;/pub-dates&gt;&lt;/dates&gt;&lt;isbn&gt;0001-4842&lt;/isbn&gt;&lt;accession-num&gt;WOS:A1996VU65200004&lt;/accession-num&gt;&lt;urls&gt;&lt;related-urls&gt;&lt;url&gt;&lt;style face="underline" font="default" size="100%"&gt;&amp;lt;Go to ISI&amp;gt;://WOS:A1996VU65200004&lt;/style&gt;&lt;/url&gt;&lt;/related-urls&gt;&lt;/urls&gt;&lt;electronic-resource-num&gt;DOI 10.1021/ar9600594&lt;/electronic-resource-num&gt;&lt;language&gt;English&lt;/language&gt;&lt;/record&gt;&lt;/Cite&gt;&lt;/EndNote&gt;</w:instrText>
      </w:r>
      <w:r>
        <w:rPr>
          <w:rFonts w:cs="Times New Roman"/>
        </w:rPr>
        <w:fldChar w:fldCharType="separate"/>
      </w:r>
      <w:r>
        <w:rPr>
          <w:rFonts w:cs="Times New Roman"/>
          <w:vertAlign w:val="superscript"/>
        </w:rPr>
        <w:t>4</w:t>
      </w:r>
      <w:r>
        <w:rPr>
          <w:rFonts w:cs="Times New Roman"/>
        </w:rPr>
        <w:fldChar w:fldCharType="end"/>
      </w:r>
      <w:r>
        <w:rPr>
          <w:rFonts w:cs="Times New Roman"/>
        </w:rPr>
        <w:fldChar w:fldCharType="end"/>
      </w:r>
    </w:p>
    <w:p>
      <w:pPr>
        <w:spacing w:after="156" w:afterLines="50"/>
        <w:jc w:val="center"/>
        <w:rPr>
          <w:rFonts w:cs="Times New Roman"/>
        </w:rPr>
      </w:pPr>
      <w:r>
        <w:rPr>
          <w:rFonts w:cs="Times New Roman"/>
        </w:rPr>
        <w:t>E(H-bond) = E(AB) + E(BSSE) – E(A) – E(B)</w:t>
      </w:r>
    </w:p>
    <w:p>
      <w:pPr>
        <w:rPr>
          <w:rFonts w:cs="Times New Roman"/>
        </w:rPr>
      </w:pPr>
      <w:r>
        <w:rPr>
          <w:rFonts w:cs="Times New Roman"/>
        </w:rPr>
        <w:t>where  E(AB), E(BSSE), E(A), and E(B) are the total energy of hydrogen-bonded complex,  the correction for the basis set superposition error (BSSE), the energy of component A, and the energy of component B, respectively.</w:t>
      </w:r>
      <w:r>
        <w:fldChar w:fldCharType="begin"/>
      </w:r>
      <w:r>
        <w:instrText xml:space="preserve"> HYPERLINK \l "_ENREF_5" \o "Boys, 1970 #309" </w:instrText>
      </w:r>
      <w:r>
        <w:fldChar w:fldCharType="separate"/>
      </w:r>
      <w:r>
        <w:rPr>
          <w:rFonts w:cs="Times New Roman"/>
        </w:rPr>
        <w:fldChar w:fldCharType="begin"/>
      </w:r>
      <w:r>
        <w:rPr>
          <w:rFonts w:cs="Times New Roman"/>
        </w:rPr>
        <w:instrText xml:space="preserve"> ADDIN EN.CITE &lt;EndNote&gt;&lt;Cite&gt;&lt;Author&gt;Boys&lt;/Author&gt;&lt;Year&gt;1970&lt;/Year&gt;&lt;RecNum&gt;309&lt;/RecNum&gt;&lt;DisplayText&gt;&lt;style face="superscript"&gt;5&lt;/style&gt;&lt;/DisplayText&gt;&lt;record&gt;&lt;rec-number&gt;309&lt;/rec-number&gt;&lt;foreign-keys&gt;&lt;key app="EN" db-id="deae2a9dszdz02e5zec5r22rsp59xva5saft" timestamp="1699943851" guid="f17bd18c-7119-494b-8146-ab9ccecda47b"&gt;309&lt;/key&gt;&lt;/foreign-keys&gt;&lt;ref-type name="Journal Article"&gt;17&lt;/ref-type&gt;&lt;contributors&gt;&lt;authors&gt;&lt;author&gt;Boys, S. F.&lt;/author&gt;&lt;author&gt;Bernardi, F.&lt;/author&gt;&lt;/authors&gt;&lt;/contributors&gt;&lt;titles&gt;&lt;title&gt;The calculation of small molecular interactions by the differences of separate total energies. Some procedures with reduced errors&lt;/title&gt;&lt;secondary-title&gt;Molecular Physics&lt;/secondary-title&gt;&lt;/titles&gt;&lt;periodical&gt;&lt;full-title&gt;Molecular Physics&lt;/full-title&gt;&lt;abbr-1&gt;Mol. Phys.&lt;/abbr-1&gt;&lt;abbr-2&gt;Mol Phys&lt;/abbr-2&gt;&lt;/periodical&gt;&lt;pages&gt;553-566&lt;/pages&gt;&lt;volume&gt;19&lt;/volume&gt;&lt;number&gt;4&lt;/number&gt;&lt;dates&gt;&lt;year&gt;1970&lt;/year&gt;&lt;pub-dates&gt;&lt;date&gt;1970/10/01&lt;/date&gt;&lt;/pub-dates&gt;&lt;/dates&gt;&lt;publisher&gt;Taylor &amp;amp; Francis&lt;/publisher&gt;&lt;isbn&gt;0026-8976&lt;/isbn&gt;&lt;urls&gt;&lt;related-urls&gt;&lt;url&gt;https://doi.org/10.1080/00268977000101561&lt;/url&gt;&lt;/related-urls&gt;&lt;/urls&gt;&lt;electronic-resource-num&gt;10.1080/00268977000101561&lt;/electronic-resource-num&gt;&lt;/record&gt;&lt;/Cite&gt;&lt;/EndNote&gt;</w:instrText>
      </w:r>
      <w:r>
        <w:rPr>
          <w:rFonts w:cs="Times New Roman"/>
        </w:rPr>
        <w:fldChar w:fldCharType="separate"/>
      </w:r>
      <w:r>
        <w:rPr>
          <w:rFonts w:cs="Times New Roman"/>
          <w:vertAlign w:val="superscript"/>
        </w:rPr>
        <w:t>5</w:t>
      </w:r>
      <w:r>
        <w:rPr>
          <w:rFonts w:cs="Times New Roman"/>
        </w:rPr>
        <w:fldChar w:fldCharType="end"/>
      </w:r>
      <w:r>
        <w:rPr>
          <w:rFonts w:cs="Times New Roman"/>
        </w:rPr>
        <w:fldChar w:fldCharType="end"/>
      </w:r>
    </w:p>
    <w:p>
      <w:pPr>
        <w:rPr>
          <w:rFonts w:cs="Times New Roman"/>
        </w:rPr>
      </w:pPr>
      <w:r>
        <w:rPr>
          <w:rFonts w:cs="Times New Roman"/>
        </w:rPr>
        <w:br w:type="page"/>
      </w:r>
    </w:p>
    <w:p>
      <w:pPr>
        <w:jc w:val="center"/>
      </w:pPr>
      <w:r>
        <w:drawing>
          <wp:inline distT="0" distB="0" distL="0" distR="0">
            <wp:extent cx="4253230" cy="2374900"/>
            <wp:effectExtent l="0" t="0" r="1270" b="0"/>
            <wp:docPr id="1529149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49779" name="图片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253230" cy="2374900"/>
                    </a:xfrm>
                    <a:prstGeom prst="rect">
                      <a:avLst/>
                    </a:prstGeom>
                  </pic:spPr>
                </pic:pic>
              </a:graphicData>
            </a:graphic>
          </wp:inline>
        </w:drawing>
      </w:r>
    </w:p>
    <w:p>
      <w:pPr>
        <w:pStyle w:val="2"/>
      </w:pPr>
      <w:bookmarkStart w:id="9" w:name="_Toc150263706"/>
      <w:r>
        <w:t xml:space="preserve">Supplementary Figure </w:t>
      </w:r>
      <w:r>
        <w:rPr>
          <w:rFonts w:hint="eastAsia"/>
        </w:rPr>
        <w:t>1</w:t>
      </w:r>
      <w:r>
        <w:t>.</w:t>
      </w:r>
      <w:bookmarkStart w:id="10" w:name="OLE_LINK7"/>
      <w:r>
        <w:rPr>
          <w:rFonts w:hint="eastAsia"/>
        </w:rPr>
        <w:t xml:space="preserve"> Lattice spacing</w:t>
      </w:r>
      <w:bookmarkEnd w:id="10"/>
      <w:r>
        <w:rPr>
          <w:rFonts w:hint="eastAsia"/>
        </w:rPr>
        <w:t xml:space="preserve"> measurement with Digital Micrograph.</w:t>
      </w:r>
      <w:bookmarkEnd w:id="9"/>
    </w:p>
    <w:p>
      <w:pPr>
        <w:rPr>
          <w:rFonts w:eastAsiaTheme="minorEastAsia"/>
        </w:rPr>
      </w:pPr>
      <w:r>
        <w:br w:type="page"/>
      </w:r>
    </w:p>
    <w:p>
      <w:pPr>
        <w:jc w:val="center"/>
        <w:rPr>
          <w:rStyle w:val="37"/>
          <w:b w:val="0"/>
          <w:bCs w:val="0"/>
          <w:szCs w:val="22"/>
        </w:rPr>
      </w:pPr>
      <w:bookmarkStart w:id="11" w:name="OLE_LINK2"/>
      <w:bookmarkStart w:id="12" w:name="_Toc127887774"/>
      <w:r>
        <w:rPr>
          <w:rFonts w:eastAsiaTheme="minorEastAsia"/>
        </w:rPr>
        <w:drawing>
          <wp:inline distT="0" distB="0" distL="0" distR="0">
            <wp:extent cx="5274310" cy="2282190"/>
            <wp:effectExtent l="0" t="0" r="2540" b="3810"/>
            <wp:docPr id="2284855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85527" name="图片 2"/>
                    <pic:cNvPicPr>
                      <a:picLocks noChangeAspect="1"/>
                    </pic:cNvPicPr>
                  </pic:nvPicPr>
                  <pic:blipFill>
                    <a:blip r:embed="rId6" cstate="hqprint">
                      <a:extLst>
                        <a:ext uri="{28A0092B-C50C-407E-A947-70E740481C1C}">
                          <a14:useLocalDpi xmlns:a14="http://schemas.microsoft.com/office/drawing/2010/main" val="0"/>
                        </a:ext>
                      </a:extLst>
                    </a:blip>
                    <a:stretch>
                      <a:fillRect/>
                    </a:stretch>
                  </pic:blipFill>
                  <pic:spPr>
                    <a:xfrm>
                      <a:off x="0" y="0"/>
                      <a:ext cx="5274310" cy="2282190"/>
                    </a:xfrm>
                    <a:prstGeom prst="rect">
                      <a:avLst/>
                    </a:prstGeom>
                  </pic:spPr>
                </pic:pic>
              </a:graphicData>
            </a:graphic>
          </wp:inline>
        </w:drawing>
      </w:r>
    </w:p>
    <w:p>
      <w:pPr>
        <w:rPr>
          <w:rFonts w:eastAsiaTheme="minorEastAsia"/>
        </w:rPr>
      </w:pPr>
      <w:bookmarkStart w:id="13" w:name="_Toc150263707"/>
      <w:r>
        <w:rPr>
          <w:rStyle w:val="37"/>
        </w:rPr>
        <w:t xml:space="preserve">Supplementary Figure </w:t>
      </w:r>
      <w:r>
        <w:rPr>
          <w:rStyle w:val="37"/>
          <w:rFonts w:hint="eastAsia"/>
        </w:rPr>
        <w:t>2</w:t>
      </w:r>
      <w:r>
        <w:rPr>
          <w:rStyle w:val="37"/>
        </w:rPr>
        <w:t>.</w:t>
      </w:r>
      <w:bookmarkEnd w:id="11"/>
      <w:r>
        <w:rPr>
          <w:rStyle w:val="37"/>
        </w:rPr>
        <w:t xml:space="preserve"> XPS </w:t>
      </w:r>
      <w:bookmarkStart w:id="14" w:name="OLE_LINK40"/>
      <w:r>
        <w:rPr>
          <w:rStyle w:val="37"/>
        </w:rPr>
        <w:t>spectra of</w:t>
      </w:r>
      <w:bookmarkEnd w:id="14"/>
      <w:bookmarkStart w:id="15" w:name="_Toc1807"/>
      <w:r>
        <w:rPr>
          <w:rStyle w:val="37"/>
        </w:rPr>
        <w:t xml:space="preserve"> Au 4f and Pd 3d on different catalysts.</w:t>
      </w:r>
      <w:bookmarkEnd w:id="12"/>
      <w:bookmarkEnd w:id="13"/>
    </w:p>
    <w:p>
      <w:pPr>
        <w:pStyle w:val="2"/>
        <w:rPr>
          <w:rStyle w:val="37"/>
          <w:b w:val="0"/>
          <w:bCs w:val="0"/>
        </w:rPr>
      </w:pPr>
      <w:bookmarkStart w:id="16" w:name="_Toc127887775"/>
      <w:bookmarkStart w:id="17" w:name="_Toc150263708"/>
      <w:bookmarkStart w:id="18" w:name="_Toc26664"/>
      <w:bookmarkStart w:id="19" w:name="_Toc19241"/>
      <w:bookmarkStart w:id="20" w:name="_Toc12560"/>
      <w:r>
        <w:rPr>
          <w:rStyle w:val="37"/>
          <w:b w:val="0"/>
          <w:bCs w:val="0"/>
        </w:rPr>
        <w:t xml:space="preserve">(A) </w:t>
      </w:r>
      <w:bookmarkStart w:id="21" w:name="OLE_LINK48"/>
      <w:r>
        <w:rPr>
          <w:rStyle w:val="37"/>
          <w:b w:val="0"/>
          <w:bCs w:val="0"/>
        </w:rPr>
        <w:t xml:space="preserve">Au 4f </w:t>
      </w:r>
      <w:bookmarkEnd w:id="21"/>
      <w:r>
        <w:rPr>
          <w:rStyle w:val="37"/>
          <w:b w:val="0"/>
          <w:bCs w:val="0"/>
        </w:rPr>
        <w:t>on catalysts AuPd/POF-N and Au/POF-N</w:t>
      </w:r>
      <w:bookmarkStart w:id="22" w:name="OLE_LINK50"/>
      <w:r>
        <w:rPr>
          <w:rStyle w:val="37"/>
          <w:b w:val="0"/>
          <w:bCs w:val="0"/>
        </w:rPr>
        <w:t>; (B) Pd 3d</w:t>
      </w:r>
      <w:bookmarkEnd w:id="22"/>
      <w:r>
        <w:rPr>
          <w:rStyle w:val="37"/>
          <w:b w:val="0"/>
          <w:bCs w:val="0"/>
        </w:rPr>
        <w:t xml:space="preserve"> </w:t>
      </w:r>
      <w:bookmarkStart w:id="23" w:name="OLE_LINK47"/>
      <w:r>
        <w:rPr>
          <w:rStyle w:val="37"/>
          <w:b w:val="0"/>
          <w:bCs w:val="0"/>
        </w:rPr>
        <w:t xml:space="preserve">on catalysts </w:t>
      </w:r>
      <w:bookmarkStart w:id="24" w:name="OLE_LINK37"/>
      <w:r>
        <w:rPr>
          <w:rStyle w:val="37"/>
          <w:b w:val="0"/>
          <w:bCs w:val="0"/>
        </w:rPr>
        <w:t>AuPd/POF-N</w:t>
      </w:r>
      <w:bookmarkEnd w:id="23"/>
      <w:bookmarkEnd w:id="24"/>
      <w:r>
        <w:rPr>
          <w:rStyle w:val="37"/>
          <w:b w:val="0"/>
          <w:bCs w:val="0"/>
        </w:rPr>
        <w:t xml:space="preserve"> and Pd/POF-N.</w:t>
      </w:r>
      <w:bookmarkEnd w:id="16"/>
      <w:bookmarkEnd w:id="17"/>
    </w:p>
    <w:bookmarkEnd w:id="15"/>
    <w:bookmarkEnd w:id="18"/>
    <w:bookmarkEnd w:id="19"/>
    <w:bookmarkEnd w:id="20"/>
    <w:p>
      <w:pPr>
        <w:rPr>
          <w:rFonts w:eastAsiaTheme="minorEastAsia"/>
          <w:b/>
        </w:rPr>
      </w:pPr>
    </w:p>
    <w:p>
      <w:pPr>
        <w:rPr>
          <w:rFonts w:cs="Times New Roman"/>
          <w:bCs/>
          <w:szCs w:val="24"/>
        </w:rPr>
      </w:pPr>
      <w:r>
        <w:rPr>
          <w:rFonts w:hint="eastAsia"/>
        </w:rPr>
        <w:t>The Au</w:t>
      </w:r>
      <w:r>
        <w:rPr>
          <w:rFonts w:hint="eastAsia" w:eastAsia="宋体"/>
        </w:rPr>
        <w:t xml:space="preserve"> </w:t>
      </w:r>
      <w:r>
        <w:rPr>
          <w:rFonts w:hint="eastAsia"/>
        </w:rPr>
        <w:t xml:space="preserve">4f </w:t>
      </w:r>
      <w:r>
        <w:t>and</w:t>
      </w:r>
      <w:r>
        <w:rPr>
          <w:rFonts w:hint="eastAsia"/>
        </w:rPr>
        <w:t xml:space="preserve"> Pd</w:t>
      </w:r>
      <w:r>
        <w:rPr>
          <w:rFonts w:hint="eastAsia" w:eastAsia="宋体"/>
        </w:rPr>
        <w:t xml:space="preserve"> </w:t>
      </w:r>
      <w:r>
        <w:rPr>
          <w:rFonts w:hint="eastAsia"/>
        </w:rPr>
        <w:t>3d signals of AuPd/POF-N peaks at 87.1 eV and 83.4 eV correspond</w:t>
      </w:r>
      <w:r>
        <w:t>ing</w:t>
      </w:r>
      <w:r>
        <w:rPr>
          <w:rFonts w:hint="eastAsia"/>
        </w:rPr>
        <w:t xml:space="preserve"> to the Au(0) </w:t>
      </w:r>
      <w:r>
        <w:t xml:space="preserve">show </w:t>
      </w:r>
      <w:r>
        <w:rPr>
          <w:rFonts w:hint="eastAsia"/>
        </w:rPr>
        <w:t>a negative shift compar</w:t>
      </w:r>
      <w:r>
        <w:t>ed</w:t>
      </w:r>
      <w:r>
        <w:rPr>
          <w:rFonts w:hint="eastAsia"/>
        </w:rPr>
        <w:t xml:space="preserve"> with the signal at 87.4 eV and 84.1 eV on Au/POF-N (</w:t>
      </w:r>
      <w:r>
        <w:rPr>
          <w:b/>
          <w:szCs w:val="28"/>
        </w:rPr>
        <w:t>Fig. S2</w:t>
      </w:r>
      <w:r>
        <w:rPr>
          <w:rFonts w:hint="eastAsia"/>
          <w:b/>
          <w:bCs/>
          <w:color w:val="000000"/>
          <w:sz w:val="20"/>
        </w:rPr>
        <w:t>)</w:t>
      </w:r>
      <w:r>
        <w:rPr>
          <w:rFonts w:hint="eastAsia"/>
        </w:rPr>
        <w:t>. While a positive shift was displayed on the Pd3d signals in AuPd/POF-N (340.2 eV a</w:t>
      </w:r>
      <w:r>
        <w:t>n</w:t>
      </w:r>
      <w:r>
        <w:rPr>
          <w:rFonts w:hint="eastAsia"/>
        </w:rPr>
        <w:t>d 334.8 eV) compar</w:t>
      </w:r>
      <w:r>
        <w:t xml:space="preserve">ed </w:t>
      </w:r>
      <w:r>
        <w:rPr>
          <w:rFonts w:hint="eastAsia"/>
        </w:rPr>
        <w:t>with the signals on Pd/POF-N (339.9 eV and 334.6 eV). It suggest</w:t>
      </w:r>
      <w:r>
        <w:t>s</w:t>
      </w:r>
      <w:r>
        <w:rPr>
          <w:rFonts w:hint="eastAsia"/>
        </w:rPr>
        <w:t xml:space="preserve"> charge transfer between Au and Pd on the AuPd/POF-N, indicating succe</w:t>
      </w:r>
      <w:r>
        <w:t>ss</w:t>
      </w:r>
      <w:r>
        <w:rPr>
          <w:rFonts w:hint="eastAsia"/>
        </w:rPr>
        <w:t>ful formation of AuPd alloys.</w:t>
      </w:r>
    </w:p>
    <w:p>
      <w:pPr>
        <w:rPr>
          <w:rFonts w:cs="Times New Roman"/>
          <w:sz w:val="20"/>
        </w:rPr>
      </w:pPr>
      <w:r>
        <w:rPr>
          <w:rStyle w:val="37"/>
        </w:rPr>
        <w:br w:type="page"/>
      </w:r>
    </w:p>
    <w:p>
      <w:pPr>
        <w:jc w:val="center"/>
        <w:rPr>
          <w:rFonts w:cs="Times New Roman" w:eastAsiaTheme="minorEastAsia"/>
        </w:rPr>
      </w:pPr>
      <w:r>
        <w:rPr>
          <w:rFonts w:cs="Times New Roman" w:eastAsiaTheme="minorEastAsia"/>
        </w:rPr>
        <w:drawing>
          <wp:inline distT="0" distB="0" distL="0" distR="0">
            <wp:extent cx="5274310" cy="4037965"/>
            <wp:effectExtent l="0" t="0" r="2540" b="635"/>
            <wp:docPr id="1283890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9089" name="图片 3"/>
                    <pic:cNvPicPr>
                      <a:picLocks noChangeAspect="1"/>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pStyle w:val="2"/>
      </w:pPr>
      <w:bookmarkStart w:id="25" w:name="_Toc127887776"/>
      <w:bookmarkStart w:id="26" w:name="_Toc150263709"/>
      <w:bookmarkStart w:id="27" w:name="OLE_LINK67"/>
      <w:r>
        <w:t xml:space="preserve">Supplementary Figure </w:t>
      </w:r>
      <w:r>
        <w:rPr>
          <w:rFonts w:hint="eastAsia"/>
        </w:rPr>
        <w:t>3</w:t>
      </w:r>
      <w:r>
        <w:t>. XRD patterns and partial regions of XRD patterns.</w:t>
      </w:r>
      <w:bookmarkEnd w:id="25"/>
      <w:bookmarkEnd w:id="26"/>
      <w:r>
        <w:t xml:space="preserve"> </w:t>
      </w:r>
    </w:p>
    <w:p>
      <w:r>
        <w:rPr>
          <w:rFonts w:hint="eastAsia"/>
        </w:rPr>
        <w:t>(a) POF-N, (b) Au/POF-N, (c) Pd/POF-N, (d) AuPd/POF-N, (e) E</w:t>
      </w:r>
      <w:r>
        <w:t>ncap</w:t>
      </w:r>
      <w:r>
        <w:rPr>
          <w:rFonts w:hint="eastAsia"/>
        </w:rPr>
        <w:t>-ET, (f) E</w:t>
      </w:r>
      <w:r>
        <w:t>ncap</w:t>
      </w:r>
      <w:r>
        <w:rPr>
          <w:rFonts w:hint="eastAsia"/>
        </w:rPr>
        <w:t>-S=O, (g) E</w:t>
      </w:r>
      <w:r>
        <w:t>ncap</w:t>
      </w:r>
      <w:r>
        <w:rPr>
          <w:rFonts w:hint="eastAsia"/>
        </w:rPr>
        <w:t>-C=O, (h) E</w:t>
      </w:r>
      <w:r>
        <w:t>ncap</w:t>
      </w:r>
      <w:r>
        <w:rPr>
          <w:rFonts w:hint="eastAsia"/>
        </w:rPr>
        <w:t>-N-O.</w:t>
      </w:r>
    </w:p>
    <w:p/>
    <w:p>
      <w:pPr>
        <w:rPr>
          <w:rFonts w:eastAsia="宋体"/>
        </w:rPr>
      </w:pPr>
      <w:r>
        <w:rPr>
          <w:rFonts w:hint="eastAsia"/>
        </w:rPr>
        <w:t>The diffraction peak of the kernel AuPd/POF-N was between the two mono</w:t>
      </w:r>
      <w:r>
        <w:t>-</w:t>
      </w:r>
      <w:r>
        <w:rPr>
          <w:rFonts w:hint="eastAsia"/>
        </w:rPr>
        <w:t>metals (38</w:t>
      </w:r>
      <w:r>
        <w:rPr>
          <w:rFonts w:cs="Times New Roman"/>
        </w:rPr>
        <w:t>°</w:t>
      </w:r>
      <w:r>
        <w:rPr>
          <w:rFonts w:hint="eastAsia" w:cs="Times New Roman"/>
        </w:rPr>
        <w:t xml:space="preserve"> </w:t>
      </w:r>
      <w:r>
        <w:rPr>
          <w:rFonts w:hint="eastAsia"/>
        </w:rPr>
        <w:t>for Au and 40</w:t>
      </w:r>
      <w:r>
        <w:rPr>
          <w:rFonts w:cs="Times New Roman"/>
        </w:rPr>
        <w:t>°</w:t>
      </w:r>
      <w:r>
        <w:rPr>
          <w:rFonts w:hint="eastAsia" w:cs="Times New Roman"/>
        </w:rPr>
        <w:t xml:space="preserve"> </w:t>
      </w:r>
      <w:r>
        <w:rPr>
          <w:rFonts w:hint="eastAsia"/>
        </w:rPr>
        <w:t xml:space="preserve">for Pd), demonstrating that Au and Pd on </w:t>
      </w:r>
      <w:r>
        <w:rPr>
          <w:rFonts w:hint="eastAsia"/>
          <w:sz w:val="22"/>
        </w:rPr>
        <w:t xml:space="preserve">the kernel form </w:t>
      </w:r>
      <w:r>
        <w:rPr>
          <w:sz w:val="22"/>
        </w:rPr>
        <w:t xml:space="preserve">a </w:t>
      </w:r>
      <w:r>
        <w:rPr>
          <w:rFonts w:hint="eastAsia"/>
        </w:rPr>
        <w:t xml:space="preserve">AuPd </w:t>
      </w:r>
      <w:r>
        <w:rPr>
          <w:rFonts w:hint="eastAsia"/>
          <w:sz w:val="22"/>
        </w:rPr>
        <w:t xml:space="preserve">alloy. </w:t>
      </w:r>
      <w:r>
        <w:rPr>
          <w:rFonts w:hint="eastAsia"/>
        </w:rPr>
        <w:t xml:space="preserve">Furthermore, the diffraction peaks of all encapsulated catalysts Encap-X </w:t>
      </w:r>
      <w:r>
        <w:t xml:space="preserve">are </w:t>
      </w:r>
      <w:r>
        <w:rPr>
          <w:rFonts w:hint="eastAsia"/>
        </w:rPr>
        <w:t>also located in this range, indicating the</w:t>
      </w:r>
      <w:r>
        <w:rPr>
          <w:rFonts w:hint="eastAsia" w:eastAsia="宋体"/>
        </w:rPr>
        <w:t xml:space="preserve"> </w:t>
      </w:r>
      <w:r>
        <w:rPr>
          <w:rFonts w:hint="eastAsia"/>
        </w:rPr>
        <w:t>consist</w:t>
      </w:r>
      <w:r>
        <w:t>ency</w:t>
      </w:r>
      <w:r>
        <w:rPr>
          <w:rFonts w:hint="eastAsia"/>
        </w:rPr>
        <w:t xml:space="preserve"> of AuPd alloy during encapsulation</w:t>
      </w:r>
      <w:r>
        <w:rPr>
          <w:rFonts w:hint="eastAsia" w:eastAsia="宋体"/>
        </w:rPr>
        <w:t>.</w:t>
      </w:r>
    </w:p>
    <w:bookmarkEnd w:id="27"/>
    <w:p>
      <w:pPr>
        <w:pStyle w:val="2"/>
        <w:rPr>
          <w:szCs w:val="24"/>
        </w:rPr>
      </w:pPr>
      <w:r>
        <w:rPr>
          <w:i/>
          <w:iCs/>
          <w:color w:val="FF0000"/>
          <w:sz w:val="32"/>
        </w:rPr>
        <w:br w:type="page"/>
      </w:r>
    </w:p>
    <w:p>
      <w:pPr>
        <w:jc w:val="center"/>
        <w:rPr>
          <w:rFonts w:eastAsia="宋体"/>
        </w:rPr>
      </w:pPr>
      <w:r>
        <w:rPr>
          <w:rFonts w:eastAsia="宋体"/>
        </w:rPr>
        <w:drawing>
          <wp:inline distT="0" distB="0" distL="0" distR="0">
            <wp:extent cx="5274310" cy="4037965"/>
            <wp:effectExtent l="0" t="0" r="2540" b="635"/>
            <wp:docPr id="6362428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42814" name="图片 4"/>
                    <pic:cNvPicPr>
                      <a:picLocks noChangeAspect="1"/>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rPr>
          <w:rStyle w:val="37"/>
        </w:rPr>
      </w:pPr>
      <w:bookmarkStart w:id="28" w:name="_Toc150263710"/>
      <w:bookmarkStart w:id="29" w:name="_Toc127887778"/>
      <w:bookmarkStart w:id="30" w:name="OLE_LINK39"/>
      <w:r>
        <w:rPr>
          <w:rStyle w:val="37"/>
        </w:rPr>
        <w:t xml:space="preserve">Supplementary Figure </w:t>
      </w:r>
      <w:r>
        <w:rPr>
          <w:rStyle w:val="37"/>
          <w:rFonts w:hint="eastAsia"/>
        </w:rPr>
        <w:t>4</w:t>
      </w:r>
      <w:r>
        <w:rPr>
          <w:rStyle w:val="37"/>
        </w:rPr>
        <w:t xml:space="preserve">. XPS spectra of </w:t>
      </w:r>
      <w:bookmarkStart w:id="31" w:name="OLE_LINK22"/>
      <w:r>
        <w:rPr>
          <w:rStyle w:val="37"/>
        </w:rPr>
        <w:t>Au</w:t>
      </w:r>
      <w:bookmarkEnd w:id="31"/>
      <w:r>
        <w:rPr>
          <w:rStyle w:val="37"/>
        </w:rPr>
        <w:t xml:space="preserve"> 4f</w:t>
      </w:r>
      <w:r>
        <w:rPr>
          <w:rStyle w:val="37"/>
          <w:rFonts w:hint="eastAsia"/>
        </w:rPr>
        <w:t xml:space="preserve"> in different states</w:t>
      </w:r>
      <w:r>
        <w:rPr>
          <w:rStyle w:val="37"/>
        </w:rPr>
        <w:t>.</w:t>
      </w:r>
      <w:bookmarkEnd w:id="28"/>
      <w:bookmarkEnd w:id="29"/>
      <w:r>
        <w:rPr>
          <w:rStyle w:val="37"/>
        </w:rPr>
        <w:t xml:space="preserve"> </w:t>
      </w:r>
    </w:p>
    <w:p>
      <w:pPr>
        <w:numPr>
          <w:ilvl w:val="0"/>
          <w:numId w:val="1"/>
        </w:numPr>
        <w:rPr>
          <w:rFonts w:cs="Times New Roman"/>
          <w:bCs/>
          <w:szCs w:val="24"/>
        </w:rPr>
      </w:pPr>
      <w:r>
        <w:rPr>
          <w:rFonts w:cs="Times New Roman"/>
          <w:bCs/>
          <w:szCs w:val="24"/>
        </w:rPr>
        <w:t>Supported AuPd/POF-N, (</w:t>
      </w:r>
      <w:r>
        <w:rPr>
          <w:rFonts w:hint="eastAsia" w:eastAsia="宋体" w:cs="Times New Roman"/>
          <w:bCs/>
          <w:szCs w:val="24"/>
        </w:rPr>
        <w:t>ii</w:t>
      </w:r>
      <w:r>
        <w:rPr>
          <w:rFonts w:cs="Times New Roman"/>
          <w:bCs/>
          <w:szCs w:val="24"/>
        </w:rPr>
        <w:t>) encapsulated Encap-</w:t>
      </w:r>
      <w:r>
        <w:rPr>
          <w:rFonts w:eastAsia="宋体" w:cs="Times New Roman"/>
          <w:bCs/>
          <w:szCs w:val="24"/>
        </w:rPr>
        <w:t>C</w:t>
      </w:r>
      <w:r>
        <w:rPr>
          <w:rFonts w:hint="eastAsia" w:eastAsia="宋体" w:cs="Times New Roman"/>
          <w:bCs/>
          <w:szCs w:val="24"/>
        </w:rPr>
        <w:t>=O</w:t>
      </w:r>
      <w:r>
        <w:rPr>
          <w:rFonts w:cs="Times New Roman"/>
          <w:bCs/>
          <w:szCs w:val="24"/>
        </w:rPr>
        <w:t>, and (</w:t>
      </w:r>
      <w:r>
        <w:rPr>
          <w:rFonts w:hint="eastAsia" w:eastAsia="宋体" w:cs="Times New Roman"/>
          <w:bCs/>
          <w:szCs w:val="24"/>
        </w:rPr>
        <w:t>iii</w:t>
      </w:r>
      <w:r>
        <w:rPr>
          <w:rFonts w:cs="Times New Roman"/>
          <w:bCs/>
          <w:szCs w:val="24"/>
        </w:rPr>
        <w:t xml:space="preserve">) </w:t>
      </w:r>
      <w:r>
        <w:rPr>
          <w:rFonts w:cs="Times New Roman"/>
          <w:bCs/>
          <w:i/>
          <w:iCs/>
          <w:szCs w:val="24"/>
        </w:rPr>
        <w:t>in-situ</w:t>
      </w:r>
      <w:r>
        <w:rPr>
          <w:rFonts w:cs="Times New Roman"/>
          <w:bCs/>
          <w:szCs w:val="24"/>
        </w:rPr>
        <w:t xml:space="preserve"> argon ion sputtering on </w:t>
      </w:r>
      <w:bookmarkStart w:id="32" w:name="OLE_LINK23"/>
      <w:r>
        <w:rPr>
          <w:rFonts w:cs="Times New Roman"/>
          <w:bCs/>
          <w:szCs w:val="24"/>
        </w:rPr>
        <w:t>Encap-</w:t>
      </w:r>
      <w:r>
        <w:rPr>
          <w:rFonts w:eastAsia="宋体" w:cs="Times New Roman"/>
          <w:bCs/>
          <w:szCs w:val="24"/>
        </w:rPr>
        <w:t>C</w:t>
      </w:r>
      <w:r>
        <w:rPr>
          <w:rFonts w:hint="eastAsia" w:eastAsia="宋体" w:cs="Times New Roman"/>
          <w:bCs/>
          <w:szCs w:val="24"/>
        </w:rPr>
        <w:t>=O</w:t>
      </w:r>
      <w:bookmarkEnd w:id="32"/>
      <w:r>
        <w:rPr>
          <w:rFonts w:cs="Times New Roman"/>
          <w:bCs/>
          <w:szCs w:val="24"/>
        </w:rPr>
        <w:t>.</w:t>
      </w:r>
    </w:p>
    <w:bookmarkEnd w:id="30"/>
    <w:p>
      <w:pPr>
        <w:rPr>
          <w:rFonts w:cs="Times New Roman" w:eastAsiaTheme="minorEastAsia"/>
        </w:rPr>
      </w:pPr>
      <w:r>
        <w:rPr>
          <w:rFonts w:cs="Times New Roman"/>
        </w:rPr>
        <w:br w:type="page"/>
      </w:r>
    </w:p>
    <w:p>
      <w:pPr>
        <w:tabs>
          <w:tab w:val="left" w:pos="310"/>
        </w:tabs>
        <w:rPr>
          <w:rFonts w:eastAsiaTheme="minorEastAsia"/>
        </w:rPr>
      </w:pPr>
      <w:r>
        <w:rPr>
          <w:rFonts w:eastAsiaTheme="minorEastAsia"/>
        </w:rPr>
        <w:drawing>
          <wp:inline distT="0" distB="0" distL="0" distR="0">
            <wp:extent cx="5274310" cy="1570355"/>
            <wp:effectExtent l="0" t="0" r="2540" b="0"/>
            <wp:docPr id="116138810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88109" name="图片 25"/>
                    <pic:cNvPicPr>
                      <a:picLocks noChangeAspect="1"/>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5274310" cy="1570355"/>
                    </a:xfrm>
                    <a:prstGeom prst="rect">
                      <a:avLst/>
                    </a:prstGeom>
                  </pic:spPr>
                </pic:pic>
              </a:graphicData>
            </a:graphic>
          </wp:inline>
        </w:drawing>
      </w:r>
    </w:p>
    <w:p>
      <w:pPr>
        <w:pStyle w:val="2"/>
        <w:rPr>
          <w:szCs w:val="24"/>
        </w:rPr>
      </w:pPr>
      <w:bookmarkStart w:id="33" w:name="_Toc150263711"/>
      <w:bookmarkStart w:id="34" w:name="_Toc127887779"/>
      <w:r>
        <w:rPr>
          <w:szCs w:val="24"/>
        </w:rPr>
        <w:t xml:space="preserve">Supplementary Figure </w:t>
      </w:r>
      <w:r>
        <w:rPr>
          <w:rFonts w:eastAsia="宋体"/>
          <w:szCs w:val="24"/>
        </w:rPr>
        <w:t>5</w:t>
      </w:r>
      <w:r>
        <w:rPr>
          <w:szCs w:val="24"/>
        </w:rPr>
        <w:t xml:space="preserve">. FT-IR spectra of </w:t>
      </w:r>
      <w:r>
        <w:rPr>
          <w:rFonts w:hint="eastAsia" w:eastAsia="宋体"/>
          <w:szCs w:val="24"/>
        </w:rPr>
        <w:t xml:space="preserve">the </w:t>
      </w:r>
      <w:r>
        <w:rPr>
          <w:szCs w:val="24"/>
        </w:rPr>
        <w:t xml:space="preserve">polymer </w:t>
      </w:r>
      <w:bookmarkStart w:id="35" w:name="OLE_LINK42"/>
      <w:r>
        <w:rPr>
          <w:rFonts w:hint="eastAsia"/>
          <w:szCs w:val="24"/>
        </w:rPr>
        <w:t xml:space="preserve">POF-S=O, </w:t>
      </w:r>
      <w:r>
        <w:rPr>
          <w:rFonts w:eastAsia="宋体"/>
          <w:szCs w:val="24"/>
        </w:rPr>
        <w:t>POF</w:t>
      </w:r>
      <w:r>
        <w:rPr>
          <w:szCs w:val="24"/>
        </w:rPr>
        <w:t>-</w:t>
      </w:r>
      <w:r>
        <w:rPr>
          <w:rFonts w:hint="eastAsia"/>
          <w:szCs w:val="24"/>
        </w:rPr>
        <w:t>C=O</w:t>
      </w:r>
      <w:bookmarkEnd w:id="35"/>
      <w:r>
        <w:rPr>
          <w:rFonts w:hint="eastAsia"/>
          <w:szCs w:val="24"/>
        </w:rPr>
        <w:t xml:space="preserve"> and </w:t>
      </w:r>
      <w:r>
        <w:rPr>
          <w:rFonts w:eastAsia="宋体"/>
          <w:szCs w:val="24"/>
        </w:rPr>
        <w:t>POF</w:t>
      </w:r>
      <w:r>
        <w:rPr>
          <w:szCs w:val="24"/>
        </w:rPr>
        <w:t>-</w:t>
      </w:r>
      <w:r>
        <w:rPr>
          <w:rFonts w:hint="eastAsia"/>
          <w:szCs w:val="24"/>
        </w:rPr>
        <w:t>N-O</w:t>
      </w:r>
      <w:r>
        <w:rPr>
          <w:szCs w:val="24"/>
        </w:rPr>
        <w:t>.</w:t>
      </w:r>
      <w:bookmarkEnd w:id="33"/>
      <w:bookmarkEnd w:id="34"/>
    </w:p>
    <w:p>
      <w:pPr>
        <w:rPr>
          <w:rFonts w:eastAsia="宋体"/>
          <w:szCs w:val="24"/>
        </w:rPr>
      </w:pPr>
      <w:r>
        <w:rPr>
          <w:rFonts w:hint="eastAsia" w:eastAsia="宋体"/>
          <w:szCs w:val="24"/>
        </w:rPr>
        <w:t>(a) i.POF-ET and ii.POF-S=O; (b)</w:t>
      </w:r>
      <w:r>
        <w:rPr>
          <w:rFonts w:eastAsia="宋体"/>
          <w:szCs w:val="24"/>
        </w:rPr>
        <w:t xml:space="preserve"> </w:t>
      </w:r>
      <w:r>
        <w:rPr>
          <w:rFonts w:hint="eastAsia" w:eastAsia="宋体"/>
          <w:szCs w:val="24"/>
        </w:rPr>
        <w:t>i.POF-ET and ii.POF-C=O; (c)</w:t>
      </w:r>
      <w:r>
        <w:rPr>
          <w:rFonts w:eastAsia="宋体"/>
          <w:szCs w:val="24"/>
        </w:rPr>
        <w:t xml:space="preserve"> </w:t>
      </w:r>
      <w:r>
        <w:rPr>
          <w:rFonts w:hint="eastAsia" w:eastAsia="宋体"/>
          <w:szCs w:val="24"/>
        </w:rPr>
        <w:t>i.POF-N-(CH</w:t>
      </w:r>
      <w:r>
        <w:rPr>
          <w:rFonts w:hint="eastAsia" w:eastAsia="宋体"/>
          <w:szCs w:val="24"/>
          <w:vertAlign w:val="subscript"/>
        </w:rPr>
        <w:t>3</w:t>
      </w:r>
      <w:r>
        <w:rPr>
          <w:rFonts w:hint="eastAsia" w:eastAsia="宋体"/>
          <w:szCs w:val="24"/>
        </w:rPr>
        <w:t>)</w:t>
      </w:r>
      <w:r>
        <w:rPr>
          <w:rFonts w:hint="eastAsia" w:eastAsia="宋体"/>
          <w:szCs w:val="24"/>
          <w:vertAlign w:val="subscript"/>
        </w:rPr>
        <w:t>2</w:t>
      </w:r>
      <w:r>
        <w:rPr>
          <w:rFonts w:hint="eastAsia" w:eastAsia="宋体"/>
          <w:szCs w:val="24"/>
        </w:rPr>
        <w:t xml:space="preserve"> and ii.POF-N(O)-(CH</w:t>
      </w:r>
      <w:r>
        <w:rPr>
          <w:rFonts w:hint="eastAsia" w:eastAsia="宋体"/>
          <w:szCs w:val="24"/>
          <w:vertAlign w:val="subscript"/>
        </w:rPr>
        <w:t>3</w:t>
      </w:r>
      <w:r>
        <w:rPr>
          <w:rFonts w:hint="eastAsia" w:eastAsia="宋体"/>
          <w:szCs w:val="24"/>
        </w:rPr>
        <w:t>)</w:t>
      </w:r>
      <w:r>
        <w:rPr>
          <w:rFonts w:hint="eastAsia" w:eastAsia="宋体"/>
          <w:szCs w:val="24"/>
          <w:vertAlign w:val="subscript"/>
        </w:rPr>
        <w:t>2</w:t>
      </w:r>
      <w:r>
        <w:rPr>
          <w:rFonts w:hint="eastAsia" w:eastAsia="宋体"/>
          <w:szCs w:val="24"/>
        </w:rPr>
        <w:t>.</w:t>
      </w:r>
    </w:p>
    <w:p>
      <w:pPr>
        <w:rPr>
          <w:rFonts w:eastAsia="宋体"/>
        </w:rPr>
      </w:pPr>
    </w:p>
    <w:p>
      <w:pPr>
        <w:rPr>
          <w:rFonts w:eastAsiaTheme="minorEastAsia"/>
          <w:b/>
          <w:bCs/>
          <w:szCs w:val="24"/>
        </w:rPr>
      </w:pPr>
      <w:bookmarkStart w:id="36" w:name="_Toc772"/>
      <w:bookmarkStart w:id="37" w:name="_Toc26799"/>
      <w:bookmarkStart w:id="38" w:name="_Toc24802"/>
      <w:r>
        <w:rPr>
          <w:bCs/>
          <w:szCs w:val="24"/>
        </w:rPr>
        <w:t>Therein, 3032 cm</w:t>
      </w:r>
      <w:r>
        <w:rPr>
          <w:bCs/>
          <w:szCs w:val="24"/>
          <w:vertAlign w:val="superscript"/>
        </w:rPr>
        <w:t>-1</w:t>
      </w:r>
      <w:r>
        <w:rPr>
          <w:bCs/>
          <w:szCs w:val="24"/>
        </w:rPr>
        <w:t xml:space="preserve"> corresponds to aromatic ring unsaturated hydrocarbon telescopic vibration υ (=C-H), 1583 cm</w:t>
      </w:r>
      <w:r>
        <w:rPr>
          <w:bCs/>
          <w:szCs w:val="24"/>
          <w:vertAlign w:val="superscript"/>
        </w:rPr>
        <w:t>-1</w:t>
      </w:r>
      <w:r>
        <w:rPr>
          <w:bCs/>
          <w:szCs w:val="24"/>
        </w:rPr>
        <w:t xml:space="preserve"> and 1489 cm</w:t>
      </w:r>
      <w:r>
        <w:rPr>
          <w:bCs/>
          <w:szCs w:val="24"/>
          <w:vertAlign w:val="superscript"/>
        </w:rPr>
        <w:t>-1</w:t>
      </w:r>
      <w:r>
        <w:rPr>
          <w:bCs/>
          <w:szCs w:val="24"/>
        </w:rPr>
        <w:t xml:space="preserve"> are attributed to conjugate double bond telescopic vibration υ (C=C) on the benzene ring, and</w:t>
      </w:r>
      <w:r>
        <w:rPr>
          <w:rFonts w:hint="eastAsia" w:eastAsia="宋体"/>
          <w:bCs/>
          <w:szCs w:val="24"/>
        </w:rPr>
        <w:t xml:space="preserve"> 1039</w:t>
      </w:r>
      <w:r>
        <w:rPr>
          <w:bCs/>
          <w:szCs w:val="24"/>
        </w:rPr>
        <w:t>cm</w:t>
      </w:r>
      <w:r>
        <w:rPr>
          <w:bCs/>
          <w:szCs w:val="24"/>
          <w:vertAlign w:val="superscript"/>
        </w:rPr>
        <w:t>-1</w:t>
      </w:r>
      <w:r>
        <w:rPr>
          <w:rFonts w:hint="eastAsia" w:eastAsia="宋体"/>
          <w:bCs/>
          <w:szCs w:val="24"/>
        </w:rPr>
        <w:t xml:space="preserve">, </w:t>
      </w:r>
      <w:r>
        <w:rPr>
          <w:bCs/>
          <w:szCs w:val="24"/>
        </w:rPr>
        <w:t>1</w:t>
      </w:r>
      <w:r>
        <w:rPr>
          <w:rFonts w:hint="eastAsia" w:eastAsia="宋体"/>
          <w:bCs/>
          <w:szCs w:val="24"/>
        </w:rPr>
        <w:t>680</w:t>
      </w:r>
      <w:bookmarkStart w:id="39" w:name="OLE_LINK43"/>
      <w:r>
        <w:rPr>
          <w:bCs/>
          <w:szCs w:val="24"/>
        </w:rPr>
        <w:t xml:space="preserve"> </w:t>
      </w:r>
      <w:bookmarkStart w:id="40" w:name="OLE_LINK29"/>
      <w:r>
        <w:rPr>
          <w:bCs/>
          <w:szCs w:val="24"/>
        </w:rPr>
        <w:t>cm</w:t>
      </w:r>
      <w:r>
        <w:rPr>
          <w:bCs/>
          <w:szCs w:val="24"/>
          <w:vertAlign w:val="superscript"/>
        </w:rPr>
        <w:t>-1</w:t>
      </w:r>
      <w:bookmarkEnd w:id="39"/>
      <w:r>
        <w:rPr>
          <w:bCs/>
          <w:szCs w:val="24"/>
        </w:rPr>
        <w:t xml:space="preserve"> </w:t>
      </w:r>
      <w:bookmarkEnd w:id="40"/>
      <w:r>
        <w:rPr>
          <w:rFonts w:hint="eastAsia" w:eastAsia="宋体"/>
          <w:bCs/>
          <w:szCs w:val="24"/>
        </w:rPr>
        <w:t>and 1</w:t>
      </w:r>
      <w:r>
        <w:rPr>
          <w:rFonts w:eastAsia="宋体"/>
          <w:bCs/>
          <w:szCs w:val="24"/>
        </w:rPr>
        <w:t>350</w:t>
      </w:r>
      <w:r>
        <w:rPr>
          <w:bCs/>
          <w:szCs w:val="24"/>
        </w:rPr>
        <w:t xml:space="preserve"> cm</w:t>
      </w:r>
      <w:r>
        <w:rPr>
          <w:bCs/>
          <w:szCs w:val="24"/>
          <w:vertAlign w:val="superscript"/>
        </w:rPr>
        <w:t>-1</w:t>
      </w:r>
      <w:r>
        <w:rPr>
          <w:rFonts w:hint="eastAsia" w:eastAsia="宋体"/>
          <w:bCs/>
          <w:szCs w:val="24"/>
        </w:rPr>
        <w:t xml:space="preserve"> </w:t>
      </w:r>
      <w:r>
        <w:rPr>
          <w:rFonts w:eastAsia="宋体"/>
          <w:bCs/>
          <w:szCs w:val="24"/>
        </w:rPr>
        <w:t>are</w:t>
      </w:r>
      <w:r>
        <w:rPr>
          <w:bCs/>
          <w:szCs w:val="24"/>
        </w:rPr>
        <w:t xml:space="preserve"> from the</w:t>
      </w:r>
      <w:r>
        <w:rPr>
          <w:rFonts w:hint="eastAsia" w:eastAsia="宋体"/>
          <w:bCs/>
          <w:szCs w:val="24"/>
        </w:rPr>
        <w:t xml:space="preserve"> sulfoxide group, </w:t>
      </w:r>
      <w:r>
        <w:t xml:space="preserve">carbonyl group, </w:t>
      </w:r>
      <w:r>
        <w:rPr>
          <w:rFonts w:hint="eastAsia"/>
        </w:rPr>
        <w:t xml:space="preserve">and </w:t>
      </w:r>
      <w:r>
        <w:t>nitrogen oxide functional groups</w:t>
      </w:r>
      <w:r>
        <w:rPr>
          <w:rFonts w:hint="eastAsia"/>
        </w:rPr>
        <w:t>, respectively</w:t>
      </w:r>
      <w:r>
        <w:rPr>
          <w:bCs/>
          <w:szCs w:val="24"/>
        </w:rPr>
        <w:t>.</w:t>
      </w:r>
      <w:bookmarkEnd w:id="36"/>
      <w:bookmarkEnd w:id="37"/>
      <w:bookmarkEnd w:id="38"/>
      <w:r>
        <w:rPr>
          <w:bCs/>
          <w:szCs w:val="24"/>
        </w:rPr>
        <w:fldChar w:fldCharType="begin"/>
      </w:r>
      <w:r>
        <w:rPr>
          <w:bCs/>
          <w:szCs w:val="24"/>
        </w:rPr>
        <w:instrText xml:space="preserve"> HYPERLINK \l "_ENREF_6" \o "Issidorides, 1966 #324" </w:instrText>
      </w:r>
      <w:r>
        <w:rPr>
          <w:bCs/>
          <w:szCs w:val="24"/>
        </w:rPr>
        <w:fldChar w:fldCharType="separate"/>
      </w:r>
      <w:r>
        <w:rPr>
          <w:bCs/>
          <w:szCs w:val="24"/>
        </w:rPr>
        <w:fldChar w:fldCharType="begin">
          <w:fldData xml:space="preserve">PEVuZE5vdGU+PENpdGU+PEF1dGhvcj5Jc3NpZG9yaWRlczwvQXV0aG9yPjxZZWFyPjE5NjY8L1ll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</w:fldData>
        </w:fldChar>
      </w:r>
      <w:r>
        <w:rPr>
          <w:bCs/>
          <w:szCs w:val="24"/>
        </w:rPr>
        <w:instrText xml:space="preserve"> ADDIN EN.CITE </w:instrText>
      </w:r>
      <w:r>
        <w:rPr>
          <w:bCs/>
          <w:szCs w:val="24"/>
        </w:rPr>
        <w:fldChar w:fldCharType="begin">
          <w:fldData xml:space="preserve">PEVuZE5vdGU+PENpdGU+PEF1dGhvcj5Jc3NpZG9yaWRlczwvQXV0aG9yPjxZZWFyPjE5NjY8L1ll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</w:fldData>
        </w:fldChar>
      </w:r>
      <w:r>
        <w:rPr>
          <w:bCs/>
          <w:szCs w:val="24"/>
        </w:rPr>
        <w:instrText xml:space="preserve"> ADDIN EN.CITE.DATA </w:instrText>
      </w:r>
      <w:r>
        <w:rPr>
          <w:bCs/>
          <w:szCs w:val="24"/>
        </w:rPr>
        <w:fldChar w:fldCharType="end"/>
      </w:r>
      <w:r>
        <w:rPr>
          <w:bCs/>
          <w:szCs w:val="24"/>
        </w:rPr>
        <w:fldChar w:fldCharType="separate"/>
      </w:r>
      <w:r>
        <w:rPr>
          <w:bCs/>
          <w:szCs w:val="24"/>
          <w:vertAlign w:val="superscript"/>
        </w:rPr>
        <w:t>6-8</w:t>
      </w:r>
      <w:r>
        <w:rPr>
          <w:bCs/>
          <w:szCs w:val="24"/>
        </w:rPr>
        <w:fldChar w:fldCharType="end"/>
      </w:r>
      <w:r>
        <w:rPr>
          <w:bCs/>
          <w:szCs w:val="24"/>
        </w:rPr>
        <w:fldChar w:fldCharType="end"/>
      </w:r>
    </w:p>
    <w:p>
      <w:pPr>
        <w:rPr>
          <w:rFonts w:cs="Times New Roman"/>
        </w:rPr>
      </w:pPr>
      <w:r>
        <w:rPr>
          <w:rFonts w:cs="Times New Roman"/>
        </w:rPr>
        <w:br w:type="page"/>
      </w:r>
    </w:p>
    <w:p>
      <w:pPr>
        <w:jc w:val="center"/>
        <w:rPr>
          <w:rFonts w:cs="Times New Roman"/>
        </w:rPr>
      </w:pPr>
      <w:r>
        <w:rPr>
          <w:rFonts w:cs="Times New Roman"/>
        </w:rPr>
        <w:drawing>
          <wp:inline distT="0" distB="0" distL="0" distR="0">
            <wp:extent cx="5274310" cy="4037965"/>
            <wp:effectExtent l="0" t="0" r="2540" b="635"/>
            <wp:docPr id="8393032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03235" name="图片 6"/>
                    <pic:cNvPicPr>
                      <a:picLocks noChangeAspect="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pStyle w:val="2"/>
        <w:rPr>
          <w:rStyle w:val="37"/>
          <w:b/>
          <w:bCs/>
        </w:rPr>
      </w:pPr>
      <w:bookmarkStart w:id="41" w:name="_Toc150263712"/>
      <w:bookmarkStart w:id="42" w:name="_Toc127887784"/>
      <w:r>
        <w:rPr>
          <w:rStyle w:val="37"/>
          <w:b/>
          <w:bCs/>
        </w:rPr>
        <w:t xml:space="preserve">Supplementary Figure </w:t>
      </w:r>
      <w:r>
        <w:rPr>
          <w:rStyle w:val="37"/>
          <w:rFonts w:hint="eastAsia"/>
          <w:b/>
          <w:bCs/>
        </w:rPr>
        <w:t>6</w:t>
      </w:r>
      <w:r>
        <w:rPr>
          <w:rStyle w:val="37"/>
          <w:b/>
          <w:bCs/>
        </w:rPr>
        <w:t>. Thermogravimetric analysis of polymers with different ratios and types of groups.</w:t>
      </w:r>
      <w:bookmarkEnd w:id="41"/>
      <w:bookmarkEnd w:id="42"/>
    </w:p>
    <w:p>
      <w:pPr>
        <w:rPr>
          <w:rStyle w:val="37"/>
        </w:rPr>
      </w:pPr>
      <w:r>
        <w:rPr>
          <w:rStyle w:val="37"/>
        </w:rPr>
        <w:br w:type="page"/>
      </w:r>
    </w:p>
    <w:p>
      <w:pPr>
        <w:jc w:val="center"/>
      </w:pPr>
      <w:r>
        <w:drawing>
          <wp:inline distT="0" distB="0" distL="0" distR="0">
            <wp:extent cx="5274310" cy="4037965"/>
            <wp:effectExtent l="0" t="0" r="2540" b="635"/>
            <wp:docPr id="109258836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88360" name="图片 10"/>
                    <pic:cNvPicPr>
                      <a:picLocks noChangeAspect="1"/>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pStyle w:val="2"/>
        <w:rPr>
          <w:szCs w:val="24"/>
        </w:rPr>
      </w:pPr>
      <w:bookmarkStart w:id="43" w:name="_Toc127887785"/>
      <w:bookmarkStart w:id="44" w:name="_Toc150263713"/>
      <w:r>
        <w:rPr>
          <w:rStyle w:val="37"/>
          <w:b/>
          <w:bCs/>
        </w:rPr>
        <w:t xml:space="preserve">Supplementary Figure </w:t>
      </w:r>
      <w:r>
        <w:rPr>
          <w:rStyle w:val="37"/>
          <w:rFonts w:hint="eastAsia"/>
          <w:b/>
          <w:bCs/>
        </w:rPr>
        <w:t>7</w:t>
      </w:r>
      <w:r>
        <w:rPr>
          <w:rStyle w:val="37"/>
          <w:b/>
          <w:bCs/>
        </w:rPr>
        <w:t>.</w:t>
      </w:r>
      <w:bookmarkStart w:id="45" w:name="OLE_LINK52"/>
      <w:r>
        <w:rPr>
          <w:rStyle w:val="37"/>
          <w:rFonts w:hint="eastAsia"/>
          <w:b/>
          <w:bCs/>
        </w:rPr>
        <w:t xml:space="preserve"> </w:t>
      </w:r>
      <w:bookmarkEnd w:id="43"/>
      <w:bookmarkStart w:id="46" w:name="OLE_LINK5"/>
      <w:r>
        <w:rPr>
          <w:szCs w:val="24"/>
        </w:rPr>
        <w:t>Activity of Encap-ET</w:t>
      </w:r>
      <w:r>
        <w:rPr>
          <w:rFonts w:hint="eastAsia"/>
          <w:szCs w:val="24"/>
        </w:rPr>
        <w:t xml:space="preserve">, </w:t>
      </w:r>
      <w:r>
        <w:rPr>
          <w:szCs w:val="24"/>
        </w:rPr>
        <w:t>Encap-</w:t>
      </w:r>
      <w:r>
        <w:rPr>
          <w:rFonts w:hint="eastAsia"/>
          <w:szCs w:val="24"/>
        </w:rPr>
        <w:t>C</w:t>
      </w:r>
      <w:r>
        <w:rPr>
          <w:szCs w:val="24"/>
        </w:rPr>
        <w:t>=O</w:t>
      </w:r>
      <w:r>
        <w:rPr>
          <w:rFonts w:hint="eastAsia"/>
          <w:szCs w:val="24"/>
        </w:rPr>
        <w:t xml:space="preserve">, </w:t>
      </w:r>
      <w:r>
        <w:rPr>
          <w:szCs w:val="24"/>
        </w:rPr>
        <w:t xml:space="preserve">Encap-S=O and </w:t>
      </w:r>
      <w:bookmarkStart w:id="47" w:name="OLE_LINK68"/>
      <w:r>
        <w:rPr>
          <w:szCs w:val="24"/>
        </w:rPr>
        <w:t>Encap-</w:t>
      </w:r>
      <w:r>
        <w:rPr>
          <w:rFonts w:hint="eastAsia"/>
          <w:szCs w:val="24"/>
        </w:rPr>
        <w:t>N-</w:t>
      </w:r>
      <w:r>
        <w:rPr>
          <w:szCs w:val="24"/>
        </w:rPr>
        <w:t>O</w:t>
      </w:r>
      <w:bookmarkEnd w:id="47"/>
      <w:r>
        <w:rPr>
          <w:szCs w:val="24"/>
        </w:rPr>
        <w:t xml:space="preserve"> in the oxidation with diverse substrates </w:t>
      </w:r>
      <w:r>
        <w:rPr>
          <w:rFonts w:hint="eastAsia"/>
          <w:szCs w:val="24"/>
        </w:rPr>
        <w:t>of</w:t>
      </w:r>
      <w:r>
        <w:rPr>
          <w:szCs w:val="24"/>
        </w:rPr>
        <w:t xml:space="preserve"> substituents</w:t>
      </w:r>
      <w:r>
        <w:rPr>
          <w:rFonts w:hint="eastAsia"/>
          <w:szCs w:val="24"/>
        </w:rPr>
        <w:t>.</w:t>
      </w:r>
      <w:bookmarkEnd w:id="44"/>
    </w:p>
    <w:p>
      <w:pPr>
        <w:pStyle w:val="2"/>
        <w:rPr>
          <w:b w:val="0"/>
          <w:bCs w:val="0"/>
          <w:szCs w:val="24"/>
        </w:rPr>
      </w:pPr>
      <w:bookmarkStart w:id="48" w:name="_Toc150263714"/>
      <w:r>
        <w:rPr>
          <w:b w:val="0"/>
          <w:bCs w:val="0"/>
          <w:szCs w:val="24"/>
        </w:rPr>
        <w:t>a.4-</w:t>
      </w:r>
      <w:r>
        <w:rPr>
          <w:rFonts w:hint="eastAsia"/>
          <w:b w:val="0"/>
          <w:bCs w:val="0"/>
          <w:szCs w:val="24"/>
        </w:rPr>
        <w:t>CF</w:t>
      </w:r>
      <w:r>
        <w:rPr>
          <w:rFonts w:hint="eastAsia"/>
          <w:b w:val="0"/>
          <w:bCs w:val="0"/>
          <w:szCs w:val="24"/>
          <w:vertAlign w:val="subscript"/>
        </w:rPr>
        <w:t>3</w:t>
      </w:r>
      <w:r>
        <w:rPr>
          <w:b w:val="0"/>
          <w:bCs w:val="0"/>
          <w:szCs w:val="24"/>
        </w:rPr>
        <w:t>, b.4-Cl, c.4-CH</w:t>
      </w:r>
      <w:r>
        <w:rPr>
          <w:b w:val="0"/>
          <w:bCs w:val="0"/>
          <w:szCs w:val="24"/>
          <w:vertAlign w:val="subscript"/>
        </w:rPr>
        <w:t>3</w:t>
      </w:r>
      <w:r>
        <w:rPr>
          <w:b w:val="0"/>
          <w:bCs w:val="0"/>
          <w:szCs w:val="24"/>
        </w:rPr>
        <w:t>, d.</w:t>
      </w:r>
      <w:bookmarkEnd w:id="45"/>
      <w:bookmarkEnd w:id="46"/>
      <w:r>
        <w:rPr>
          <w:b w:val="0"/>
          <w:bCs w:val="0"/>
          <w:szCs w:val="24"/>
        </w:rPr>
        <w:t>4-OCH</w:t>
      </w:r>
      <w:r>
        <w:rPr>
          <w:b w:val="0"/>
          <w:bCs w:val="0"/>
          <w:szCs w:val="24"/>
          <w:vertAlign w:val="subscript"/>
        </w:rPr>
        <w:t>3</w:t>
      </w:r>
      <w:r>
        <w:rPr>
          <w:rFonts w:hint="eastAsia"/>
          <w:b w:val="0"/>
          <w:bCs w:val="0"/>
          <w:szCs w:val="24"/>
        </w:rPr>
        <w:t>.</w:t>
      </w:r>
      <w:bookmarkEnd w:id="48"/>
    </w:p>
    <w:p>
      <w:r>
        <w:rPr>
          <w:szCs w:val="24"/>
        </w:rPr>
        <w:t xml:space="preserve">Notes: a. Reaction conditions: 120 </w:t>
      </w:r>
      <w:r>
        <w:rPr>
          <w:szCs w:val="24"/>
          <w:vertAlign w:val="superscript"/>
        </w:rPr>
        <w:t>o</w:t>
      </w:r>
      <w:r>
        <w:rPr>
          <w:szCs w:val="24"/>
        </w:rPr>
        <w:t>C, 1.0 MPa</w:t>
      </w:r>
      <w:r>
        <w:rPr>
          <w:rFonts w:hint="eastAsia"/>
          <w:szCs w:val="24"/>
        </w:rPr>
        <w:t xml:space="preserve"> </w:t>
      </w:r>
      <w:r>
        <w:rPr>
          <w:szCs w:val="24"/>
        </w:rPr>
        <w:t>O</w:t>
      </w:r>
      <w:r>
        <w:rPr>
          <w:szCs w:val="24"/>
          <w:vertAlign w:val="subscript"/>
        </w:rPr>
        <w:t>2</w:t>
      </w:r>
      <w:r>
        <w:rPr>
          <w:szCs w:val="24"/>
        </w:rPr>
        <w:t>, 10 mL</w:t>
      </w:r>
      <w:r>
        <w:rPr>
          <w:rFonts w:hint="eastAsia"/>
          <w:szCs w:val="24"/>
        </w:rPr>
        <w:t xml:space="preserve"> </w:t>
      </w:r>
      <w:r>
        <w:rPr>
          <w:szCs w:val="24"/>
        </w:rPr>
        <w:t>CH</w:t>
      </w:r>
      <w:r>
        <w:rPr>
          <w:szCs w:val="24"/>
          <w:vertAlign w:val="subscript"/>
        </w:rPr>
        <w:t>3</w:t>
      </w:r>
      <w:r>
        <w:rPr>
          <w:szCs w:val="24"/>
        </w:rPr>
        <w:t>CN, 1.0 mmol of substrates; b. TOF value</w:t>
      </w:r>
      <w:r>
        <w:rPr>
          <w:rFonts w:hint="eastAsia"/>
          <w:szCs w:val="24"/>
        </w:rPr>
        <w:t>s</w:t>
      </w:r>
      <w:r>
        <w:rPr>
          <w:szCs w:val="24"/>
        </w:rPr>
        <w:t xml:space="preserve"> were calculated according to the total metal loading; c. Metal loading is 0.25 wt%</w:t>
      </w:r>
      <w:r>
        <w:rPr>
          <w:rFonts w:hint="eastAsia"/>
          <w:szCs w:val="24"/>
        </w:rPr>
        <w:t>.</w:t>
      </w:r>
    </w:p>
    <w:p>
      <w:pPr>
        <w:pStyle w:val="2"/>
        <w:rPr>
          <w:szCs w:val="24"/>
        </w:rPr>
      </w:pPr>
      <w:r>
        <w:rPr>
          <w:szCs w:val="24"/>
        </w:rPr>
        <w:br w:type="page"/>
      </w:r>
    </w:p>
    <w:p>
      <w:pPr>
        <w:jc w:val="center"/>
      </w:pPr>
      <w:r>
        <w:drawing>
          <wp:inline distT="0" distB="0" distL="0" distR="0">
            <wp:extent cx="5274310" cy="4037965"/>
            <wp:effectExtent l="0" t="0" r="2540" b="635"/>
            <wp:docPr id="135780530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05308" name="图片 11"/>
                    <pic:cNvPicPr>
                      <a:picLocks noChangeAspect="1"/>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pStyle w:val="2"/>
        <w:rPr>
          <w:rFonts w:eastAsia="宋体"/>
        </w:rPr>
      </w:pPr>
      <w:bookmarkStart w:id="49" w:name="_Toc150263715"/>
      <w:r>
        <w:t xml:space="preserve">Supplementary Figure </w:t>
      </w:r>
      <w:r>
        <w:rPr>
          <w:rFonts w:hint="eastAsia" w:eastAsia="宋体"/>
        </w:rPr>
        <w:t>8</w:t>
      </w:r>
      <w:r>
        <w:t>.</w:t>
      </w:r>
      <w:r>
        <w:rPr>
          <w:rFonts w:eastAsia="宋体"/>
        </w:rPr>
        <w:t xml:space="preserve"> </w:t>
      </w:r>
      <w:r>
        <w:t xml:space="preserve">Linear relationship between 1/Δδ and 1/C of benzyl alcohol and </w:t>
      </w:r>
      <w:r>
        <w:rPr>
          <w:rFonts w:hint="eastAsia"/>
        </w:rPr>
        <w:t>acetophenone</w:t>
      </w:r>
      <w:r>
        <w:t xml:space="preserve"> </w:t>
      </w:r>
      <w:r>
        <w:rPr>
          <w:rFonts w:hint="eastAsia"/>
        </w:rPr>
        <w:t>(Ar-C=O)</w:t>
      </w:r>
      <w:r>
        <w:t xml:space="preserve"> in CDCl</w:t>
      </w:r>
      <w:r>
        <w:rPr>
          <w:vertAlign w:val="subscript"/>
        </w:rPr>
        <w:t>3</w:t>
      </w:r>
      <w:r>
        <w:t>.</w:t>
      </w:r>
      <w:bookmarkEnd w:id="49"/>
    </w:p>
    <w:p>
      <w:pPr>
        <w:rPr>
          <w:rFonts w:cs="Times New Roman"/>
          <w:szCs w:val="24"/>
        </w:rPr>
      </w:pPr>
      <w:r>
        <w:rPr>
          <w:rFonts w:cs="Times New Roman"/>
          <w:szCs w:val="24"/>
        </w:rPr>
        <w:br w:type="page"/>
      </w:r>
    </w:p>
    <w:p>
      <w:pPr>
        <w:jc w:val="center"/>
      </w:pPr>
      <w:r>
        <w:drawing>
          <wp:inline distT="0" distB="0" distL="0" distR="0">
            <wp:extent cx="5274310" cy="4037965"/>
            <wp:effectExtent l="0" t="0" r="2540" b="635"/>
            <wp:docPr id="17842140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14080" name="图片 12"/>
                    <pic:cNvPicPr>
                      <a:picLocks noChangeAspect="1"/>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pStyle w:val="2"/>
        <w:rPr>
          <w:rFonts w:eastAsia="宋体"/>
        </w:rPr>
      </w:pPr>
      <w:bookmarkStart w:id="50" w:name="_Toc150263716"/>
      <w:bookmarkStart w:id="51" w:name="OLE_LINK21"/>
      <w:r>
        <w:t xml:space="preserve">Supplementary Figure </w:t>
      </w:r>
      <w:r>
        <w:rPr>
          <w:rFonts w:hint="eastAsia" w:eastAsia="宋体"/>
        </w:rPr>
        <w:t>9</w:t>
      </w:r>
      <w:r>
        <w:t>.</w:t>
      </w:r>
      <w:r>
        <w:rPr>
          <w:rFonts w:eastAsia="宋体"/>
        </w:rPr>
        <w:t xml:space="preserve"> </w:t>
      </w:r>
      <w:r>
        <w:t xml:space="preserve">Linear relationship between 1/Δδ and 1/C of benzyl alcohol and </w:t>
      </w:r>
      <w:r>
        <w:rPr>
          <w:rFonts w:hint="eastAsia"/>
        </w:rPr>
        <w:t>benzyl sulfoxide</w:t>
      </w:r>
      <w:r>
        <w:t xml:space="preserve"> </w:t>
      </w:r>
      <w:r>
        <w:rPr>
          <w:rFonts w:hint="eastAsia"/>
        </w:rPr>
        <w:t>(Ar-S=O)</w:t>
      </w:r>
      <w:r>
        <w:t xml:space="preserve"> in CDCl</w:t>
      </w:r>
      <w:r>
        <w:rPr>
          <w:vertAlign w:val="subscript"/>
        </w:rPr>
        <w:t>3</w:t>
      </w:r>
      <w:r>
        <w:t>.</w:t>
      </w:r>
      <w:bookmarkEnd w:id="50"/>
    </w:p>
    <w:bookmarkEnd w:id="51"/>
    <w:p>
      <w:pPr>
        <w:rPr>
          <w:rFonts w:cs="Times New Roman"/>
          <w:szCs w:val="24"/>
        </w:rPr>
      </w:pPr>
      <w:r>
        <w:rPr>
          <w:rFonts w:cs="Times New Roman"/>
          <w:szCs w:val="24"/>
        </w:rPr>
        <w:br w:type="page"/>
      </w:r>
    </w:p>
    <w:p>
      <w:r>
        <w:drawing>
          <wp:inline distT="0" distB="0" distL="0" distR="0">
            <wp:extent cx="5274310" cy="4037965"/>
            <wp:effectExtent l="0" t="0" r="2540" b="635"/>
            <wp:docPr id="16262747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74723" name="图片 13"/>
                    <pic:cNvPicPr>
                      <a:picLocks noChangeAspect="1"/>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pStyle w:val="2"/>
        <w:rPr>
          <w:rFonts w:eastAsia="宋体"/>
        </w:rPr>
      </w:pPr>
      <w:bookmarkStart w:id="52" w:name="_Toc150263717"/>
      <w:bookmarkStart w:id="53" w:name="_Toc127887787"/>
      <w:r>
        <w:t xml:space="preserve">Supplementary Figure </w:t>
      </w:r>
      <w:r>
        <w:rPr>
          <w:rFonts w:hint="eastAsia" w:eastAsia="宋体"/>
        </w:rPr>
        <w:t>10</w:t>
      </w:r>
      <w:r>
        <w:t>.</w:t>
      </w:r>
      <w:r>
        <w:rPr>
          <w:rFonts w:eastAsia="宋体"/>
        </w:rPr>
        <w:t xml:space="preserve"> </w:t>
      </w:r>
      <w:bookmarkStart w:id="54" w:name="OLE_LINK134"/>
      <w:r>
        <w:t>Linear relationship between 1/Δδ and 1/C of benzyl alcohol and n</w:t>
      </w:r>
      <w:r>
        <w:rPr>
          <w:rFonts w:hint="eastAsia"/>
        </w:rPr>
        <w:t>itrogen dimethylbenzylamine-nitrogen oxide</w:t>
      </w:r>
      <w:r>
        <w:t xml:space="preserve"> </w:t>
      </w:r>
      <w:r>
        <w:rPr>
          <w:rFonts w:hint="eastAsia"/>
        </w:rPr>
        <w:t>(Ar-N-O)</w:t>
      </w:r>
      <w:r>
        <w:t xml:space="preserve"> in CDCl</w:t>
      </w:r>
      <w:r>
        <w:rPr>
          <w:vertAlign w:val="subscript"/>
        </w:rPr>
        <w:t>3</w:t>
      </w:r>
      <w:r>
        <w:t>.</w:t>
      </w:r>
      <w:bookmarkEnd w:id="52"/>
      <w:bookmarkEnd w:id="53"/>
      <w:bookmarkEnd w:id="54"/>
    </w:p>
    <w:p>
      <w:pPr>
        <w:rPr>
          <w:rFonts w:cs="Times New Roman"/>
          <w:b/>
          <w:bCs/>
          <w:szCs w:val="28"/>
        </w:rPr>
      </w:pPr>
      <w:r>
        <w:rPr>
          <w:rFonts w:cs="Times New Roman"/>
          <w:b/>
          <w:bCs/>
          <w:szCs w:val="28"/>
        </w:rPr>
        <w:br w:type="page"/>
      </w:r>
    </w:p>
    <w:p>
      <w:pPr>
        <w:rPr>
          <w:b/>
          <w:bCs/>
        </w:rPr>
      </w:pPr>
      <w:r>
        <w:rPr>
          <w:b/>
          <w:bCs/>
        </w:rPr>
        <w:t>Supplementary Table 1. Chemical shift</w:t>
      </w:r>
      <w:r>
        <w:rPr>
          <w:rFonts w:hint="eastAsia"/>
          <w:b/>
          <w:bCs/>
        </w:rPr>
        <w:t>s</w:t>
      </w:r>
      <w:r>
        <w:rPr>
          <w:b/>
          <w:bCs/>
        </w:rPr>
        <w:t xml:space="preserve"> of active H in benzyl alcohol with different concentration ratios of </w:t>
      </w:r>
      <w:r>
        <w:rPr>
          <w:rFonts w:hint="eastAsia" w:eastAsia="宋体"/>
          <w:b/>
          <w:bCs/>
        </w:rPr>
        <w:t xml:space="preserve">Ar-C=O </w:t>
      </w:r>
      <w:r>
        <w:rPr>
          <w:b/>
          <w:bCs/>
        </w:rPr>
        <w:t xml:space="preserve">and benzyl </w:t>
      </w:r>
      <w:r>
        <w:rPr>
          <w:rFonts w:hint="eastAsia" w:eastAsia="宋体"/>
          <w:b/>
          <w:bCs/>
        </w:rPr>
        <w:t>alcohol</w:t>
      </w:r>
      <w:r>
        <w:rPr>
          <w:b/>
          <w:bCs/>
        </w:rPr>
        <w:t>.</w:t>
      </w:r>
    </w:p>
    <w:p>
      <w:pPr>
        <w:jc w:val="center"/>
      </w:pPr>
    </w:p>
    <w:tbl>
      <w:tblPr>
        <w:tblStyle w:val="21"/>
        <w:tblW w:w="4758" w:type="dxa"/>
        <w:jc w:val="center"/>
        <w:tblLayout w:type="autofit"/>
        <w:tblCellMar>
          <w:top w:w="0" w:type="dxa"/>
          <w:left w:w="0" w:type="dxa"/>
          <w:bottom w:w="0" w:type="dxa"/>
          <w:right w:w="0" w:type="dxa"/>
        </w:tblCellMar>
      </w:tblPr>
      <w:tblGrid>
        <w:gridCol w:w="1586"/>
        <w:gridCol w:w="1586"/>
        <w:gridCol w:w="1586"/>
      </w:tblGrid>
      <w:tr>
        <w:tblPrEx>
          <w:tblCellMar>
            <w:top w:w="0" w:type="dxa"/>
            <w:left w:w="0" w:type="dxa"/>
            <w:bottom w:w="0" w:type="dxa"/>
            <w:right w:w="0" w:type="dxa"/>
          </w:tblCellMar>
        </w:tblPrEx>
        <w:trPr>
          <w:trHeight w:val="261" w:hRule="atLeast"/>
          <w:jc w:val="center"/>
        </w:trPr>
        <w:tc>
          <w:tcPr>
            <w:tcW w:w="1586" w:type="dxa"/>
            <w:tcBorders>
              <w:top w:val="single" w:color="000000" w:sz="8" w:space="0"/>
              <w:left w:val="single" w:color="FFFFFF" w:sz="8" w:space="0"/>
              <w:bottom w:val="single" w:color="000000"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bookmarkStart w:id="55" w:name="OLE_LINK19" w:colFirst="0" w:colLast="0"/>
            <w:r>
              <w:rPr>
                <w:color w:val="000000" w:themeColor="text1"/>
                <w14:textFill>
                  <w14:solidFill>
                    <w14:schemeClr w14:val="tx1"/>
                  </w14:solidFill>
                </w14:textFill>
              </w:rPr>
              <w:t>ratio</w:t>
            </w:r>
          </w:p>
        </w:tc>
        <w:tc>
          <w:tcPr>
            <w:tcW w:w="1586" w:type="dxa"/>
            <w:tcBorders>
              <w:top w:val="single" w:color="000000" w:sz="8" w:space="0"/>
              <w:left w:val="single" w:color="FFFFFF" w:sz="8" w:space="0"/>
              <w:bottom w:val="single" w:color="000000"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Δδ (ppm)</w:t>
            </w:r>
          </w:p>
        </w:tc>
        <w:tc>
          <w:tcPr>
            <w:tcW w:w="1586" w:type="dxa"/>
            <w:tcBorders>
              <w:top w:val="single" w:color="000000" w:sz="8" w:space="0"/>
              <w:left w:val="single" w:color="FFFFFF" w:sz="8" w:space="0"/>
              <w:bottom w:val="single" w:color="000000"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δ (ppm)</w:t>
            </w:r>
          </w:p>
        </w:tc>
      </w:tr>
      <w:tr>
        <w:tblPrEx>
          <w:tblCellMar>
            <w:top w:w="0" w:type="dxa"/>
            <w:left w:w="0" w:type="dxa"/>
            <w:bottom w:w="0" w:type="dxa"/>
            <w:right w:w="0" w:type="dxa"/>
          </w:tblCellMar>
        </w:tblPrEx>
        <w:trPr>
          <w:trHeight w:val="437" w:hRule="atLeast"/>
          <w:jc w:val="center"/>
        </w:trPr>
        <w:tc>
          <w:tcPr>
            <w:tcW w:w="1586" w:type="dxa"/>
            <w:tcBorders>
              <w:top w:val="single" w:color="000000"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w:t>
            </w:r>
          </w:p>
        </w:tc>
        <w:tc>
          <w:tcPr>
            <w:tcW w:w="1586" w:type="dxa"/>
            <w:tcBorders>
              <w:top w:val="single" w:color="000000"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w:t>
            </w:r>
          </w:p>
        </w:tc>
        <w:tc>
          <w:tcPr>
            <w:tcW w:w="1586" w:type="dxa"/>
            <w:tcBorders>
              <w:top w:val="single" w:color="000000"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1.6614</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0.2</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0.0130</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1.6744</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0.6</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0.0378</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1.6992</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0.8</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0.0510</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1.7124</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1.0</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0.0636</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1.7250</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1.2</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0.0747</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1.7361</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1.2</w:t>
            </w:r>
            <w:r>
              <w:rPr>
                <w:rFonts w:hint="eastAsia" w:eastAsia="宋体"/>
                <w:color w:val="000000" w:themeColor="text1"/>
                <w:vertAlign w:val="subscript"/>
                <w14:textFill>
                  <w14:solidFill>
                    <w14:schemeClr w14:val="tx1"/>
                  </w14:solidFill>
                </w14:textFill>
              </w:rPr>
              <w:t>repeat</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0.0670</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1.7236</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1.4</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0.0761</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1.7327</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auto" w:sz="4"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1.4</w:t>
            </w:r>
            <w:bookmarkStart w:id="56" w:name="OLE_LINK31"/>
            <w:r>
              <w:rPr>
                <w:rFonts w:hint="eastAsia" w:eastAsia="宋体"/>
                <w:color w:val="000000" w:themeColor="text1"/>
                <w:vertAlign w:val="subscript"/>
                <w14:textFill>
                  <w14:solidFill>
                    <w14:schemeClr w14:val="tx1"/>
                  </w14:solidFill>
                </w14:textFill>
              </w:rPr>
              <w:t>repeat</w:t>
            </w:r>
            <w:bookmarkEnd w:id="56"/>
          </w:p>
        </w:tc>
        <w:tc>
          <w:tcPr>
            <w:tcW w:w="1586" w:type="dxa"/>
            <w:tcBorders>
              <w:top w:val="single" w:color="FFFFFF" w:sz="8" w:space="0"/>
              <w:left w:val="single" w:color="FFFFFF" w:sz="8" w:space="0"/>
              <w:bottom w:val="single" w:color="auto" w:sz="4"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0.0869</w:t>
            </w:r>
          </w:p>
        </w:tc>
        <w:tc>
          <w:tcPr>
            <w:tcW w:w="1586" w:type="dxa"/>
            <w:tcBorders>
              <w:top w:val="single" w:color="FFFFFF" w:sz="8" w:space="0"/>
              <w:left w:val="single" w:color="FFFFFF" w:sz="8" w:space="0"/>
              <w:bottom w:val="single" w:color="auto" w:sz="4" w:space="0"/>
              <w:right w:val="single" w:color="FFFFFF" w:sz="8" w:space="0"/>
            </w:tcBorders>
            <w:vAlign w:val="center"/>
          </w:tcPr>
          <w:p>
            <w:pPr>
              <w:pStyle w:val="19"/>
              <w:widowControl/>
              <w:spacing w:beforeAutospacing="1" w:afterAutospacing="1"/>
              <w:jc w:val="center"/>
              <w:rPr>
                <w:rFonts w:eastAsia="宋体"/>
                <w:color w:val="000000" w:themeColor="text1"/>
                <w14:textFill>
                  <w14:solidFill>
                    <w14:schemeClr w14:val="tx1"/>
                  </w14:solidFill>
                </w14:textFill>
              </w:rPr>
            </w:pPr>
            <w:r>
              <w:rPr>
                <w:color w:val="000000" w:themeColor="text1"/>
                <w14:textFill>
                  <w14:solidFill>
                    <w14:schemeClr w14:val="tx1"/>
                  </w14:solidFill>
                </w14:textFill>
              </w:rPr>
              <w:t>1.7483</w:t>
            </w:r>
          </w:p>
        </w:tc>
      </w:tr>
      <w:bookmarkEnd w:id="55"/>
    </w:tbl>
    <w:p>
      <w:pPr>
        <w:jc w:val="center"/>
      </w:pPr>
    </w:p>
    <w:p>
      <w:bookmarkStart w:id="57" w:name="OLE_LINK27"/>
      <w:bookmarkStart w:id="58" w:name="_Toc23977"/>
      <w:bookmarkStart w:id="59" w:name="_Toc127887788"/>
      <w:bookmarkStart w:id="60" w:name="_Toc12017"/>
      <w:r>
        <w:br w:type="page"/>
      </w:r>
    </w:p>
    <w:p>
      <w:pPr>
        <w:rPr>
          <w:b/>
          <w:bCs/>
        </w:rPr>
      </w:pPr>
      <w:r>
        <w:rPr>
          <w:b/>
          <w:bCs/>
        </w:rPr>
        <w:t xml:space="preserve">Supplementary Table </w:t>
      </w:r>
      <w:r>
        <w:rPr>
          <w:rFonts w:hint="eastAsia" w:eastAsia="宋体"/>
          <w:b/>
          <w:bCs/>
        </w:rPr>
        <w:t>2</w:t>
      </w:r>
      <w:r>
        <w:rPr>
          <w:b/>
          <w:bCs/>
        </w:rPr>
        <w:t>. Chemical shift</w:t>
      </w:r>
      <w:r>
        <w:rPr>
          <w:rFonts w:hint="eastAsia"/>
          <w:b/>
          <w:bCs/>
        </w:rPr>
        <w:t>s</w:t>
      </w:r>
      <w:r>
        <w:rPr>
          <w:b/>
          <w:bCs/>
        </w:rPr>
        <w:t xml:space="preserve"> of active H in benzyl alcohol with different concentration ratios of </w:t>
      </w:r>
      <w:r>
        <w:rPr>
          <w:rFonts w:hint="eastAsia" w:eastAsia="宋体"/>
          <w:b/>
          <w:bCs/>
        </w:rPr>
        <w:t xml:space="preserve">Ar-S=O </w:t>
      </w:r>
      <w:r>
        <w:rPr>
          <w:b/>
          <w:bCs/>
        </w:rPr>
        <w:t xml:space="preserve">and benzyl </w:t>
      </w:r>
      <w:r>
        <w:rPr>
          <w:rFonts w:hint="eastAsia" w:eastAsia="宋体"/>
          <w:b/>
          <w:bCs/>
        </w:rPr>
        <w:t>alcohol</w:t>
      </w:r>
      <w:r>
        <w:rPr>
          <w:b/>
          <w:bCs/>
        </w:rPr>
        <w:t>.</w:t>
      </w:r>
    </w:p>
    <w:p>
      <w:pPr>
        <w:jc w:val="center"/>
      </w:pPr>
    </w:p>
    <w:tbl>
      <w:tblPr>
        <w:tblStyle w:val="21"/>
        <w:tblW w:w="4758" w:type="dxa"/>
        <w:jc w:val="center"/>
        <w:tblLayout w:type="autofit"/>
        <w:tblCellMar>
          <w:top w:w="0" w:type="dxa"/>
          <w:left w:w="0" w:type="dxa"/>
          <w:bottom w:w="0" w:type="dxa"/>
          <w:right w:w="0" w:type="dxa"/>
        </w:tblCellMar>
      </w:tblPr>
      <w:tblGrid>
        <w:gridCol w:w="1586"/>
        <w:gridCol w:w="1586"/>
        <w:gridCol w:w="1586"/>
      </w:tblGrid>
      <w:tr>
        <w:tblPrEx>
          <w:tblCellMar>
            <w:top w:w="0" w:type="dxa"/>
            <w:left w:w="0" w:type="dxa"/>
            <w:bottom w:w="0" w:type="dxa"/>
            <w:right w:w="0" w:type="dxa"/>
          </w:tblCellMar>
        </w:tblPrEx>
        <w:trPr>
          <w:trHeight w:val="261" w:hRule="atLeast"/>
          <w:jc w:val="center"/>
        </w:trPr>
        <w:tc>
          <w:tcPr>
            <w:tcW w:w="1586" w:type="dxa"/>
            <w:tcBorders>
              <w:top w:val="single" w:color="000000" w:sz="8" w:space="0"/>
              <w:left w:val="single" w:color="FFFFFF" w:sz="8" w:space="0"/>
              <w:bottom w:val="single" w:color="000000" w:sz="8" w:space="0"/>
              <w:right w:val="single" w:color="FFFFFF" w:sz="8" w:space="0"/>
            </w:tcBorders>
            <w:vAlign w:val="center"/>
          </w:tcPr>
          <w:p>
            <w:pPr>
              <w:pStyle w:val="19"/>
              <w:widowControl/>
              <w:spacing w:beforeAutospacing="1" w:afterAutospacing="1"/>
              <w:jc w:val="center"/>
              <w:rPr>
                <w:rFonts w:eastAsia="宋体"/>
              </w:rPr>
            </w:pPr>
            <w:r>
              <w:rPr>
                <w:color w:val="000000"/>
              </w:rPr>
              <w:t>ratio</w:t>
            </w:r>
          </w:p>
        </w:tc>
        <w:tc>
          <w:tcPr>
            <w:tcW w:w="1586" w:type="dxa"/>
            <w:tcBorders>
              <w:top w:val="single" w:color="000000" w:sz="8" w:space="0"/>
              <w:left w:val="single" w:color="FFFFFF" w:sz="8" w:space="0"/>
              <w:bottom w:val="single" w:color="000000" w:sz="8" w:space="0"/>
              <w:right w:val="single" w:color="FFFFFF" w:sz="8" w:space="0"/>
            </w:tcBorders>
            <w:vAlign w:val="center"/>
          </w:tcPr>
          <w:p>
            <w:pPr>
              <w:pStyle w:val="19"/>
              <w:widowControl/>
              <w:spacing w:beforeAutospacing="1" w:afterAutospacing="1"/>
              <w:jc w:val="center"/>
              <w:rPr>
                <w:rFonts w:eastAsia="宋体"/>
              </w:rPr>
            </w:pPr>
            <w:r>
              <w:rPr>
                <w:color w:val="000000"/>
              </w:rPr>
              <w:t>Δδ (ppm)</w:t>
            </w:r>
          </w:p>
        </w:tc>
        <w:tc>
          <w:tcPr>
            <w:tcW w:w="1586" w:type="dxa"/>
            <w:tcBorders>
              <w:top w:val="single" w:color="000000" w:sz="8" w:space="0"/>
              <w:left w:val="single" w:color="FFFFFF" w:sz="8" w:space="0"/>
              <w:bottom w:val="single" w:color="000000" w:sz="8" w:space="0"/>
              <w:right w:val="single" w:color="FFFFFF" w:sz="8" w:space="0"/>
            </w:tcBorders>
            <w:vAlign w:val="center"/>
          </w:tcPr>
          <w:p>
            <w:pPr>
              <w:pStyle w:val="19"/>
              <w:widowControl/>
              <w:spacing w:beforeAutospacing="1" w:afterAutospacing="1"/>
              <w:jc w:val="center"/>
              <w:rPr>
                <w:rFonts w:eastAsia="宋体"/>
              </w:rPr>
            </w:pPr>
            <w:r>
              <w:rPr>
                <w:color w:val="000000"/>
              </w:rPr>
              <w:t>δ (ppm)</w:t>
            </w:r>
          </w:p>
        </w:tc>
      </w:tr>
      <w:tr>
        <w:tblPrEx>
          <w:tblCellMar>
            <w:top w:w="0" w:type="dxa"/>
            <w:left w:w="0" w:type="dxa"/>
            <w:bottom w:w="0" w:type="dxa"/>
            <w:right w:w="0" w:type="dxa"/>
          </w:tblCellMar>
        </w:tblPrEx>
        <w:trPr>
          <w:trHeight w:val="437" w:hRule="atLeast"/>
          <w:jc w:val="center"/>
        </w:trPr>
        <w:tc>
          <w:tcPr>
            <w:tcW w:w="1586" w:type="dxa"/>
            <w:tcBorders>
              <w:top w:val="single" w:color="000000"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w:t>
            </w:r>
          </w:p>
        </w:tc>
        <w:tc>
          <w:tcPr>
            <w:tcW w:w="1586" w:type="dxa"/>
            <w:tcBorders>
              <w:top w:val="single" w:color="000000"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w:t>
            </w:r>
          </w:p>
        </w:tc>
        <w:tc>
          <w:tcPr>
            <w:tcW w:w="1586" w:type="dxa"/>
            <w:tcBorders>
              <w:top w:val="single" w:color="000000"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1.6965</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0.2</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0.0511</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1.7476</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0.6</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0.1494</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1.8459</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0.8</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0.184</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1.8805</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1.0</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0.2255</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1.9220</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1.4</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0.2975</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1.9940</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1.6</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0.3648</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2.0613</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1.8</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0.4021</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2.0986</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auto" w:sz="4" w:space="0"/>
              <w:right w:val="single" w:color="FFFFFF" w:sz="8" w:space="0"/>
            </w:tcBorders>
            <w:vAlign w:val="center"/>
          </w:tcPr>
          <w:p>
            <w:pPr>
              <w:pStyle w:val="19"/>
              <w:widowControl/>
              <w:spacing w:beforeAutospacing="1" w:afterAutospacing="1"/>
              <w:jc w:val="center"/>
              <w:rPr>
                <w:rFonts w:eastAsia="宋体"/>
              </w:rPr>
            </w:pPr>
            <w:r>
              <w:rPr>
                <w:color w:val="000000"/>
              </w:rPr>
              <w:t>2.0</w:t>
            </w:r>
          </w:p>
        </w:tc>
        <w:tc>
          <w:tcPr>
            <w:tcW w:w="1586" w:type="dxa"/>
            <w:tcBorders>
              <w:top w:val="single" w:color="FFFFFF" w:sz="8" w:space="0"/>
              <w:left w:val="single" w:color="FFFFFF" w:sz="8" w:space="0"/>
              <w:bottom w:val="single" w:color="auto" w:sz="4" w:space="0"/>
              <w:right w:val="single" w:color="FFFFFF" w:sz="8" w:space="0"/>
            </w:tcBorders>
            <w:vAlign w:val="center"/>
          </w:tcPr>
          <w:p>
            <w:pPr>
              <w:pStyle w:val="19"/>
              <w:widowControl/>
              <w:spacing w:beforeAutospacing="1" w:afterAutospacing="1"/>
              <w:jc w:val="center"/>
              <w:rPr>
                <w:rFonts w:eastAsia="宋体"/>
              </w:rPr>
            </w:pPr>
            <w:r>
              <w:rPr>
                <w:color w:val="000000"/>
              </w:rPr>
              <w:t>0.4432</w:t>
            </w:r>
          </w:p>
        </w:tc>
        <w:tc>
          <w:tcPr>
            <w:tcW w:w="1586" w:type="dxa"/>
            <w:tcBorders>
              <w:top w:val="single" w:color="FFFFFF" w:sz="8" w:space="0"/>
              <w:left w:val="single" w:color="FFFFFF" w:sz="8" w:space="0"/>
              <w:bottom w:val="single" w:color="auto" w:sz="4" w:space="0"/>
              <w:right w:val="single" w:color="FFFFFF" w:sz="8" w:space="0"/>
            </w:tcBorders>
            <w:vAlign w:val="center"/>
          </w:tcPr>
          <w:p>
            <w:pPr>
              <w:pStyle w:val="19"/>
              <w:widowControl/>
              <w:spacing w:beforeAutospacing="1" w:afterAutospacing="1"/>
              <w:jc w:val="center"/>
              <w:rPr>
                <w:rFonts w:eastAsia="宋体"/>
              </w:rPr>
            </w:pPr>
            <w:r>
              <w:rPr>
                <w:color w:val="000000"/>
              </w:rPr>
              <w:t>2.1397</w:t>
            </w:r>
          </w:p>
        </w:tc>
      </w:tr>
    </w:tbl>
    <w:p>
      <w:pPr>
        <w:jc w:val="center"/>
      </w:pPr>
    </w:p>
    <w:p>
      <w:r>
        <w:br w:type="page"/>
      </w:r>
    </w:p>
    <w:p>
      <w:pPr>
        <w:rPr>
          <w:b/>
          <w:bCs/>
        </w:rPr>
      </w:pPr>
      <w:r>
        <w:rPr>
          <w:b/>
          <w:bCs/>
        </w:rPr>
        <w:t xml:space="preserve">Supplementary Table </w:t>
      </w:r>
      <w:r>
        <w:rPr>
          <w:rFonts w:hint="eastAsia" w:eastAsia="宋体"/>
          <w:b/>
          <w:bCs/>
        </w:rPr>
        <w:t>3</w:t>
      </w:r>
      <w:r>
        <w:rPr>
          <w:b/>
          <w:bCs/>
        </w:rPr>
        <w:t>. Chemical shift</w:t>
      </w:r>
      <w:r>
        <w:rPr>
          <w:rFonts w:hint="eastAsia"/>
          <w:b/>
          <w:bCs/>
        </w:rPr>
        <w:t>s</w:t>
      </w:r>
      <w:r>
        <w:rPr>
          <w:b/>
          <w:bCs/>
        </w:rPr>
        <w:t xml:space="preserve"> of active H in benzyl alcohol with different concentration ratios of </w:t>
      </w:r>
      <w:bookmarkStart w:id="61" w:name="OLE_LINK9"/>
      <w:r>
        <w:rPr>
          <w:rFonts w:hint="eastAsia" w:eastAsia="宋体"/>
          <w:b/>
          <w:bCs/>
        </w:rPr>
        <w:t>Ar-N-O</w:t>
      </w:r>
      <w:bookmarkEnd w:id="61"/>
      <w:r>
        <w:rPr>
          <w:rFonts w:hint="eastAsia" w:eastAsia="宋体"/>
          <w:b/>
          <w:bCs/>
        </w:rPr>
        <w:t xml:space="preserve"> </w:t>
      </w:r>
      <w:r>
        <w:rPr>
          <w:b/>
          <w:bCs/>
        </w:rPr>
        <w:t xml:space="preserve">and benzyl </w:t>
      </w:r>
      <w:r>
        <w:rPr>
          <w:rFonts w:hint="eastAsia" w:eastAsia="宋体"/>
          <w:b/>
          <w:bCs/>
        </w:rPr>
        <w:t>alcohol</w:t>
      </w:r>
      <w:r>
        <w:rPr>
          <w:b/>
          <w:bCs/>
        </w:rPr>
        <w:t>.</w:t>
      </w:r>
    </w:p>
    <w:p>
      <w:pPr>
        <w:jc w:val="center"/>
      </w:pPr>
    </w:p>
    <w:tbl>
      <w:tblPr>
        <w:tblStyle w:val="21"/>
        <w:tblW w:w="4758" w:type="dxa"/>
        <w:jc w:val="center"/>
        <w:tblLayout w:type="autofit"/>
        <w:tblCellMar>
          <w:top w:w="0" w:type="dxa"/>
          <w:left w:w="0" w:type="dxa"/>
          <w:bottom w:w="0" w:type="dxa"/>
          <w:right w:w="0" w:type="dxa"/>
        </w:tblCellMar>
      </w:tblPr>
      <w:tblGrid>
        <w:gridCol w:w="1586"/>
        <w:gridCol w:w="1586"/>
        <w:gridCol w:w="1586"/>
      </w:tblGrid>
      <w:tr>
        <w:tblPrEx>
          <w:tblCellMar>
            <w:top w:w="0" w:type="dxa"/>
            <w:left w:w="0" w:type="dxa"/>
            <w:bottom w:w="0" w:type="dxa"/>
            <w:right w:w="0" w:type="dxa"/>
          </w:tblCellMar>
        </w:tblPrEx>
        <w:trPr>
          <w:trHeight w:val="261" w:hRule="atLeast"/>
          <w:jc w:val="center"/>
        </w:trPr>
        <w:tc>
          <w:tcPr>
            <w:tcW w:w="1586" w:type="dxa"/>
            <w:tcBorders>
              <w:top w:val="single" w:color="000000" w:sz="8" w:space="0"/>
              <w:left w:val="single" w:color="FFFFFF" w:sz="8" w:space="0"/>
              <w:bottom w:val="single" w:color="000000" w:sz="8" w:space="0"/>
              <w:right w:val="single" w:color="FFFFFF" w:sz="8" w:space="0"/>
            </w:tcBorders>
            <w:vAlign w:val="center"/>
          </w:tcPr>
          <w:p>
            <w:pPr>
              <w:pStyle w:val="19"/>
              <w:widowControl/>
              <w:spacing w:beforeAutospacing="1" w:afterAutospacing="1"/>
              <w:jc w:val="center"/>
              <w:rPr>
                <w:rFonts w:eastAsia="宋体"/>
              </w:rPr>
            </w:pPr>
            <w:r>
              <w:rPr>
                <w:color w:val="000000"/>
              </w:rPr>
              <w:t>ratio</w:t>
            </w:r>
          </w:p>
        </w:tc>
        <w:tc>
          <w:tcPr>
            <w:tcW w:w="1586" w:type="dxa"/>
            <w:tcBorders>
              <w:top w:val="single" w:color="000000" w:sz="8" w:space="0"/>
              <w:left w:val="single" w:color="FFFFFF" w:sz="8" w:space="0"/>
              <w:bottom w:val="single" w:color="000000" w:sz="8" w:space="0"/>
              <w:right w:val="single" w:color="FFFFFF" w:sz="8" w:space="0"/>
            </w:tcBorders>
            <w:vAlign w:val="center"/>
          </w:tcPr>
          <w:p>
            <w:pPr>
              <w:pStyle w:val="19"/>
              <w:widowControl/>
              <w:spacing w:beforeAutospacing="1" w:afterAutospacing="1"/>
              <w:jc w:val="center"/>
              <w:rPr>
                <w:rFonts w:eastAsia="宋体"/>
              </w:rPr>
            </w:pPr>
            <w:r>
              <w:rPr>
                <w:color w:val="000000"/>
              </w:rPr>
              <w:t>Δδ (ppm)</w:t>
            </w:r>
          </w:p>
        </w:tc>
        <w:tc>
          <w:tcPr>
            <w:tcW w:w="1586" w:type="dxa"/>
            <w:tcBorders>
              <w:top w:val="single" w:color="000000" w:sz="8" w:space="0"/>
              <w:left w:val="single" w:color="FFFFFF" w:sz="8" w:space="0"/>
              <w:bottom w:val="single" w:color="000000" w:sz="8" w:space="0"/>
              <w:right w:val="single" w:color="FFFFFF" w:sz="8" w:space="0"/>
            </w:tcBorders>
            <w:vAlign w:val="center"/>
          </w:tcPr>
          <w:p>
            <w:pPr>
              <w:pStyle w:val="19"/>
              <w:widowControl/>
              <w:spacing w:beforeAutospacing="1" w:afterAutospacing="1"/>
              <w:jc w:val="center"/>
              <w:rPr>
                <w:rFonts w:eastAsia="宋体"/>
              </w:rPr>
            </w:pPr>
            <w:r>
              <w:rPr>
                <w:color w:val="000000"/>
              </w:rPr>
              <w:t>δ (ppm)</w:t>
            </w:r>
          </w:p>
        </w:tc>
      </w:tr>
      <w:tr>
        <w:tblPrEx>
          <w:tblCellMar>
            <w:top w:w="0" w:type="dxa"/>
            <w:left w:w="0" w:type="dxa"/>
            <w:bottom w:w="0" w:type="dxa"/>
            <w:right w:w="0" w:type="dxa"/>
          </w:tblCellMar>
        </w:tblPrEx>
        <w:trPr>
          <w:trHeight w:val="437" w:hRule="atLeast"/>
          <w:jc w:val="center"/>
        </w:trPr>
        <w:tc>
          <w:tcPr>
            <w:tcW w:w="1586" w:type="dxa"/>
            <w:tcBorders>
              <w:top w:val="single" w:color="000000"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w:t>
            </w:r>
          </w:p>
        </w:tc>
        <w:tc>
          <w:tcPr>
            <w:tcW w:w="1586" w:type="dxa"/>
            <w:tcBorders>
              <w:top w:val="single" w:color="000000"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w:t>
            </w:r>
          </w:p>
        </w:tc>
        <w:tc>
          <w:tcPr>
            <w:tcW w:w="1586" w:type="dxa"/>
            <w:tcBorders>
              <w:top w:val="single" w:color="000000"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1.6566</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0.2</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1.9351</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3.5934</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0.4</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3.4184</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5.0767</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0.6</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4.5238</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6.1821</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0.8</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5.3449</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7.0032</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1.0</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6.217</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7.8753</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1.2</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6.8069</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8.4652</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1.4</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7.3278</w:t>
            </w:r>
          </w:p>
        </w:tc>
        <w:tc>
          <w:tcPr>
            <w:tcW w:w="1586" w:type="dxa"/>
            <w:tcBorders>
              <w:top w:val="single" w:color="FFFFFF" w:sz="8" w:space="0"/>
              <w:left w:val="single" w:color="FFFFFF" w:sz="8" w:space="0"/>
              <w:bottom w:val="single" w:color="FFFFFF" w:sz="8" w:space="0"/>
              <w:right w:val="single" w:color="FFFFFF" w:sz="8" w:space="0"/>
            </w:tcBorders>
            <w:vAlign w:val="center"/>
          </w:tcPr>
          <w:p>
            <w:pPr>
              <w:pStyle w:val="19"/>
              <w:widowControl/>
              <w:spacing w:beforeAutospacing="1" w:afterAutospacing="1"/>
              <w:jc w:val="center"/>
              <w:rPr>
                <w:rFonts w:eastAsia="宋体"/>
              </w:rPr>
            </w:pPr>
            <w:r>
              <w:rPr>
                <w:color w:val="000000"/>
              </w:rPr>
              <w:t>8.9861</w:t>
            </w:r>
          </w:p>
        </w:tc>
      </w:tr>
      <w:tr>
        <w:tblPrEx>
          <w:tblCellMar>
            <w:top w:w="0" w:type="dxa"/>
            <w:left w:w="0" w:type="dxa"/>
            <w:bottom w:w="0" w:type="dxa"/>
            <w:right w:w="0" w:type="dxa"/>
          </w:tblCellMar>
        </w:tblPrEx>
        <w:trPr>
          <w:trHeight w:val="437" w:hRule="atLeast"/>
          <w:jc w:val="center"/>
        </w:trPr>
        <w:tc>
          <w:tcPr>
            <w:tcW w:w="1586" w:type="dxa"/>
            <w:tcBorders>
              <w:top w:val="single" w:color="FFFFFF" w:sz="8" w:space="0"/>
              <w:left w:val="single" w:color="FFFFFF" w:sz="8" w:space="0"/>
              <w:bottom w:val="single" w:color="auto" w:sz="4" w:space="0"/>
              <w:right w:val="single" w:color="FFFFFF" w:sz="8" w:space="0"/>
            </w:tcBorders>
            <w:vAlign w:val="center"/>
          </w:tcPr>
          <w:p>
            <w:pPr>
              <w:pStyle w:val="19"/>
              <w:widowControl/>
              <w:spacing w:beforeAutospacing="1" w:afterAutospacing="1"/>
              <w:jc w:val="center"/>
              <w:rPr>
                <w:rFonts w:eastAsia="宋体"/>
              </w:rPr>
            </w:pPr>
            <w:r>
              <w:rPr>
                <w:color w:val="000000"/>
              </w:rPr>
              <w:t>1.6</w:t>
            </w:r>
          </w:p>
        </w:tc>
        <w:tc>
          <w:tcPr>
            <w:tcW w:w="1586" w:type="dxa"/>
            <w:tcBorders>
              <w:top w:val="single" w:color="FFFFFF" w:sz="8" w:space="0"/>
              <w:left w:val="single" w:color="FFFFFF" w:sz="8" w:space="0"/>
              <w:bottom w:val="single" w:color="auto" w:sz="4" w:space="0"/>
              <w:right w:val="single" w:color="FFFFFF" w:sz="8" w:space="0"/>
            </w:tcBorders>
            <w:vAlign w:val="center"/>
          </w:tcPr>
          <w:p>
            <w:pPr>
              <w:pStyle w:val="19"/>
              <w:widowControl/>
              <w:spacing w:beforeAutospacing="1" w:afterAutospacing="1"/>
              <w:jc w:val="center"/>
              <w:rPr>
                <w:rFonts w:eastAsia="宋体"/>
              </w:rPr>
            </w:pPr>
            <w:r>
              <w:rPr>
                <w:color w:val="000000"/>
              </w:rPr>
              <w:t>7.7718</w:t>
            </w:r>
          </w:p>
        </w:tc>
        <w:tc>
          <w:tcPr>
            <w:tcW w:w="1586" w:type="dxa"/>
            <w:tcBorders>
              <w:top w:val="single" w:color="FFFFFF" w:sz="8" w:space="0"/>
              <w:left w:val="single" w:color="FFFFFF" w:sz="8" w:space="0"/>
              <w:bottom w:val="single" w:color="auto" w:sz="4" w:space="0"/>
              <w:right w:val="single" w:color="FFFFFF" w:sz="8" w:space="0"/>
            </w:tcBorders>
            <w:vAlign w:val="center"/>
          </w:tcPr>
          <w:p>
            <w:pPr>
              <w:pStyle w:val="19"/>
              <w:widowControl/>
              <w:spacing w:beforeAutospacing="1" w:afterAutospacing="1"/>
              <w:jc w:val="center"/>
              <w:rPr>
                <w:rFonts w:eastAsia="宋体"/>
              </w:rPr>
            </w:pPr>
            <w:r>
              <w:rPr>
                <w:color w:val="000000"/>
              </w:rPr>
              <w:t>9.4301</w:t>
            </w:r>
          </w:p>
        </w:tc>
      </w:tr>
    </w:tbl>
    <w:p>
      <w:pPr>
        <w:jc w:val="center"/>
      </w:pPr>
    </w:p>
    <w:p>
      <w:r>
        <w:br w:type="page"/>
      </w:r>
    </w:p>
    <w:p>
      <w:pPr>
        <w:pStyle w:val="2"/>
      </w:pPr>
      <w:bookmarkStart w:id="62" w:name="OLE_LINK65"/>
      <w:bookmarkStart w:id="63" w:name="_Toc150263718"/>
      <w:r>
        <w:t xml:space="preserve">Supplementary </w:t>
      </w:r>
      <w:bookmarkStart w:id="64" w:name="OLE_LINK28"/>
      <w:r>
        <w:t>Table</w:t>
      </w:r>
      <w:bookmarkEnd w:id="62"/>
      <w:r>
        <w:t xml:space="preserve"> </w:t>
      </w:r>
      <w:r>
        <w:rPr>
          <w:rFonts w:hint="eastAsia"/>
        </w:rPr>
        <w:t>4</w:t>
      </w:r>
      <w:bookmarkEnd w:id="64"/>
      <w:r>
        <w:t xml:space="preserve">. </w:t>
      </w:r>
      <w:bookmarkEnd w:id="57"/>
      <w:bookmarkEnd w:id="58"/>
      <w:bookmarkEnd w:id="59"/>
      <w:bookmarkEnd w:id="60"/>
      <w:r>
        <w:t>Cor</w:t>
      </w:r>
      <w:r>
        <w:rPr>
          <w:rFonts w:hint="eastAsia"/>
        </w:rPr>
        <w:t>relations</w:t>
      </w:r>
      <w:r>
        <w:t xml:space="preserve"> </w:t>
      </w:r>
      <w:r>
        <w:rPr>
          <w:rFonts w:hint="eastAsia"/>
        </w:rPr>
        <w:t>between oxygen-containing monomers and benzyl alcohol.</w:t>
      </w:r>
      <w:bookmarkEnd w:id="63"/>
    </w:p>
    <w:tbl>
      <w:tblPr>
        <w:tblStyle w:val="22"/>
        <w:tblW w:w="7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406"/>
        <w:gridCol w:w="1598"/>
        <w:gridCol w:w="1400"/>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Borders>
              <w:left w:val="nil"/>
              <w:right w:val="nil"/>
            </w:tcBorders>
            <w:vAlign w:val="center"/>
          </w:tcPr>
          <w:p>
            <w:pPr>
              <w:jc w:val="center"/>
            </w:pPr>
            <w:bookmarkStart w:id="65" w:name="_Toc29772"/>
            <w:bookmarkStart w:id="66" w:name="_Toc2121"/>
            <w:r>
              <w:t>Samples</w:t>
            </w:r>
          </w:p>
        </w:tc>
        <w:tc>
          <w:tcPr>
            <w:tcW w:w="1406" w:type="dxa"/>
            <w:tcBorders>
              <w:left w:val="nil"/>
              <w:right w:val="nil"/>
            </w:tcBorders>
            <w:vAlign w:val="center"/>
          </w:tcPr>
          <w:p>
            <w:pPr>
              <w:jc w:val="center"/>
            </w:pPr>
            <w:r>
              <w:t>Slope</w:t>
            </w:r>
          </w:p>
        </w:tc>
        <w:tc>
          <w:tcPr>
            <w:tcW w:w="1598" w:type="dxa"/>
            <w:tcBorders>
              <w:left w:val="nil"/>
              <w:right w:val="nil"/>
            </w:tcBorders>
            <w:vAlign w:val="center"/>
          </w:tcPr>
          <w:p>
            <w:pPr>
              <w:jc w:val="center"/>
              <w:rPr>
                <w:rFonts w:eastAsia="宋体"/>
              </w:rPr>
            </w:pPr>
            <w:r>
              <w:t>Intercept</w:t>
            </w:r>
            <w:r>
              <w:rPr>
                <w:rFonts w:hint="eastAsia" w:eastAsia="宋体"/>
              </w:rPr>
              <w:t xml:space="preserve"> </w:t>
            </w:r>
          </w:p>
        </w:tc>
        <w:tc>
          <w:tcPr>
            <w:tcW w:w="1400" w:type="dxa"/>
            <w:tcBorders>
              <w:left w:val="nil"/>
              <w:right w:val="nil"/>
            </w:tcBorders>
            <w:vAlign w:val="center"/>
          </w:tcPr>
          <w:p>
            <w:pPr>
              <w:jc w:val="center"/>
            </w:pPr>
            <w:r>
              <w:t>Correlation coefficient</w:t>
            </w:r>
          </w:p>
        </w:tc>
        <w:tc>
          <w:tcPr>
            <w:tcW w:w="1382" w:type="dxa"/>
            <w:tcBorders>
              <w:left w:val="nil"/>
              <w:right w:val="nil"/>
            </w:tcBorders>
            <w:vAlign w:val="center"/>
          </w:tcPr>
          <w:p>
            <w:pPr>
              <w:jc w:val="center"/>
            </w:pPr>
            <w:r>
              <w:rPr>
                <w:rFonts w:hint="eastAsia" w:eastAsia="宋体"/>
              </w:rPr>
              <w:t>-</w:t>
            </w:r>
            <w:r>
              <w:t>∆G</w:t>
            </w:r>
            <w:r>
              <w:rPr>
                <w:rFonts w:hint="eastAsia" w:eastAsia="宋体"/>
              </w:rPr>
              <w:t xml:space="preserve"> </w:t>
            </w:r>
            <w:r>
              <w:t>(</w:t>
            </w:r>
            <w:r>
              <w:rPr>
                <w:rFonts w:eastAsia="宋体"/>
                <w:szCs w:val="28"/>
              </w:rPr>
              <w:t>kcal/mol</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8" w:type="dxa"/>
            <w:tcBorders>
              <w:left w:val="nil"/>
              <w:bottom w:val="nil"/>
              <w:right w:val="nil"/>
            </w:tcBorders>
            <w:vAlign w:val="center"/>
          </w:tcPr>
          <w:p>
            <w:pPr>
              <w:jc w:val="center"/>
              <w:rPr>
                <w:rFonts w:eastAsia="宋体"/>
              </w:rPr>
            </w:pPr>
            <w:bookmarkStart w:id="67" w:name="OLE_LINK20"/>
            <w:r>
              <w:rPr>
                <w:rFonts w:hint="eastAsia" w:eastAsia="宋体"/>
              </w:rPr>
              <w:t>Ar-</w:t>
            </w:r>
            <w:bookmarkEnd w:id="67"/>
            <w:r>
              <w:t>E</w:t>
            </w:r>
            <w:r>
              <w:rPr>
                <w:rFonts w:hint="eastAsia" w:eastAsia="宋体"/>
              </w:rPr>
              <w:t>T</w:t>
            </w:r>
          </w:p>
        </w:tc>
        <w:tc>
          <w:tcPr>
            <w:tcW w:w="1406" w:type="dxa"/>
            <w:tcBorders>
              <w:left w:val="nil"/>
              <w:bottom w:val="nil"/>
              <w:right w:val="nil"/>
            </w:tcBorders>
            <w:vAlign w:val="center"/>
          </w:tcPr>
          <w:p>
            <w:pPr>
              <w:jc w:val="center"/>
              <w:rPr>
                <w:rFonts w:eastAsia="宋体"/>
              </w:rPr>
            </w:pPr>
            <w:r>
              <w:rPr>
                <w:rFonts w:hint="eastAsia" w:eastAsia="宋体"/>
              </w:rPr>
              <w:t>-</w:t>
            </w:r>
          </w:p>
        </w:tc>
        <w:tc>
          <w:tcPr>
            <w:tcW w:w="1598" w:type="dxa"/>
            <w:tcBorders>
              <w:left w:val="nil"/>
              <w:bottom w:val="nil"/>
              <w:right w:val="nil"/>
            </w:tcBorders>
            <w:vAlign w:val="center"/>
          </w:tcPr>
          <w:p>
            <w:pPr>
              <w:jc w:val="center"/>
              <w:rPr>
                <w:rFonts w:eastAsia="宋体"/>
              </w:rPr>
            </w:pPr>
            <w:r>
              <w:rPr>
                <w:rFonts w:hint="eastAsia" w:eastAsia="宋体"/>
              </w:rPr>
              <w:t>-</w:t>
            </w:r>
          </w:p>
        </w:tc>
        <w:tc>
          <w:tcPr>
            <w:tcW w:w="1400" w:type="dxa"/>
            <w:tcBorders>
              <w:left w:val="nil"/>
              <w:bottom w:val="nil"/>
              <w:right w:val="nil"/>
            </w:tcBorders>
            <w:vAlign w:val="center"/>
          </w:tcPr>
          <w:p>
            <w:pPr>
              <w:jc w:val="center"/>
              <w:rPr>
                <w:rFonts w:eastAsia="宋体"/>
              </w:rPr>
            </w:pPr>
            <w:r>
              <w:rPr>
                <w:rFonts w:hint="eastAsia" w:eastAsia="宋体"/>
              </w:rPr>
              <w:t>-</w:t>
            </w:r>
          </w:p>
        </w:tc>
        <w:tc>
          <w:tcPr>
            <w:tcW w:w="1382" w:type="dxa"/>
            <w:tcBorders>
              <w:left w:val="nil"/>
              <w:bottom w:val="nil"/>
              <w:right w:val="nil"/>
            </w:tcBorders>
            <w:vAlign w:val="center"/>
          </w:tcPr>
          <w:p>
            <w:pPr>
              <w:jc w:val="center"/>
              <w:rPr>
                <w:rFonts w:eastAsia="宋体"/>
              </w:rPr>
            </w:pPr>
            <w:r>
              <w:rPr>
                <w:rFonts w:hint="eastAsia" w:eastAsia="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Borders>
              <w:top w:val="nil"/>
              <w:left w:val="nil"/>
              <w:bottom w:val="nil"/>
              <w:right w:val="nil"/>
            </w:tcBorders>
            <w:vAlign w:val="center"/>
          </w:tcPr>
          <w:p>
            <w:pPr>
              <w:jc w:val="center"/>
            </w:pPr>
            <w:r>
              <w:rPr>
                <w:rFonts w:hint="eastAsia" w:eastAsia="宋体"/>
              </w:rPr>
              <w:t>Ar</w:t>
            </w:r>
            <w:r>
              <w:t>-</w:t>
            </w:r>
            <w:r>
              <w:rPr>
                <w:rFonts w:hint="eastAsia" w:eastAsia="宋体"/>
              </w:rPr>
              <w:t>C</w:t>
            </w:r>
            <w:r>
              <w:rPr>
                <w:rFonts w:eastAsia="宋体"/>
              </w:rPr>
              <w:t>=</w:t>
            </w:r>
            <w:r>
              <w:t>O</w:t>
            </w:r>
          </w:p>
        </w:tc>
        <w:tc>
          <w:tcPr>
            <w:tcW w:w="1406" w:type="dxa"/>
            <w:tcBorders>
              <w:top w:val="nil"/>
              <w:left w:val="nil"/>
              <w:bottom w:val="nil"/>
              <w:right w:val="nil"/>
            </w:tcBorders>
            <w:vAlign w:val="center"/>
          </w:tcPr>
          <w:p>
            <w:pPr>
              <w:jc w:val="center"/>
              <w:rPr>
                <w:rFonts w:eastAsia="宋体"/>
              </w:rPr>
            </w:pPr>
            <w:r>
              <w:rPr>
                <w:rFonts w:hint="eastAsia" w:eastAsia="宋体"/>
              </w:rPr>
              <w:t>0.7280</w:t>
            </w:r>
          </w:p>
        </w:tc>
        <w:tc>
          <w:tcPr>
            <w:tcW w:w="1598" w:type="dxa"/>
            <w:tcBorders>
              <w:top w:val="nil"/>
              <w:left w:val="nil"/>
              <w:bottom w:val="nil"/>
              <w:right w:val="nil"/>
            </w:tcBorders>
            <w:vAlign w:val="center"/>
          </w:tcPr>
          <w:p>
            <w:pPr>
              <w:jc w:val="center"/>
              <w:rPr>
                <w:rFonts w:eastAsia="宋体"/>
              </w:rPr>
            </w:pPr>
            <w:r>
              <w:rPr>
                <w:rFonts w:hint="eastAsia" w:eastAsia="宋体"/>
              </w:rPr>
              <w:t>1.0738</w:t>
            </w:r>
          </w:p>
        </w:tc>
        <w:tc>
          <w:tcPr>
            <w:tcW w:w="1400" w:type="dxa"/>
            <w:tcBorders>
              <w:top w:val="nil"/>
              <w:left w:val="nil"/>
              <w:bottom w:val="nil"/>
              <w:right w:val="nil"/>
            </w:tcBorders>
            <w:vAlign w:val="center"/>
          </w:tcPr>
          <w:p>
            <w:pPr>
              <w:jc w:val="center"/>
              <w:rPr>
                <w:rFonts w:eastAsia="宋体"/>
              </w:rPr>
            </w:pPr>
            <w:r>
              <w:rPr>
                <w:rFonts w:hint="eastAsia" w:eastAsia="宋体"/>
              </w:rPr>
              <w:t>0.9987</w:t>
            </w:r>
          </w:p>
        </w:tc>
        <w:tc>
          <w:tcPr>
            <w:tcW w:w="1382" w:type="dxa"/>
            <w:tcBorders>
              <w:top w:val="nil"/>
              <w:left w:val="nil"/>
              <w:bottom w:val="nil"/>
              <w:right w:val="nil"/>
            </w:tcBorders>
            <w:vAlign w:val="center"/>
          </w:tcPr>
          <w:p>
            <w:pPr>
              <w:jc w:val="center"/>
              <w:rPr>
                <w:rFonts w:eastAsia="宋体"/>
              </w:rPr>
            </w:pPr>
            <w:r>
              <w:rPr>
                <w:rFonts w:hint="eastAsia" w:eastAsia="宋体"/>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Borders>
              <w:top w:val="nil"/>
              <w:left w:val="nil"/>
              <w:bottom w:val="nil"/>
              <w:right w:val="nil"/>
            </w:tcBorders>
            <w:vAlign w:val="center"/>
          </w:tcPr>
          <w:p>
            <w:pPr>
              <w:jc w:val="center"/>
              <w:rPr>
                <w:rFonts w:eastAsia="宋体"/>
              </w:rPr>
            </w:pPr>
            <w:r>
              <w:rPr>
                <w:rFonts w:hint="eastAsia" w:eastAsia="宋体"/>
              </w:rPr>
              <w:t>Ar-S=O</w:t>
            </w:r>
          </w:p>
        </w:tc>
        <w:tc>
          <w:tcPr>
            <w:tcW w:w="1406" w:type="dxa"/>
            <w:tcBorders>
              <w:top w:val="nil"/>
              <w:left w:val="nil"/>
              <w:bottom w:val="nil"/>
              <w:right w:val="nil"/>
            </w:tcBorders>
            <w:vAlign w:val="center"/>
          </w:tcPr>
          <w:p>
            <w:pPr>
              <w:jc w:val="center"/>
              <w:rPr>
                <w:rFonts w:eastAsia="宋体"/>
              </w:rPr>
            </w:pPr>
            <w:r>
              <w:rPr>
                <w:rFonts w:hint="eastAsia" w:eastAsia="宋体"/>
              </w:rPr>
              <w:t>0.1835</w:t>
            </w:r>
          </w:p>
        </w:tc>
        <w:tc>
          <w:tcPr>
            <w:tcW w:w="1598" w:type="dxa"/>
            <w:tcBorders>
              <w:top w:val="nil"/>
              <w:left w:val="nil"/>
              <w:bottom w:val="nil"/>
              <w:right w:val="nil"/>
            </w:tcBorders>
            <w:vAlign w:val="center"/>
          </w:tcPr>
          <w:p>
            <w:pPr>
              <w:jc w:val="center"/>
              <w:rPr>
                <w:rFonts w:eastAsia="宋体"/>
              </w:rPr>
            </w:pPr>
            <w:r>
              <w:rPr>
                <w:rFonts w:hint="eastAsia" w:eastAsia="宋体"/>
              </w:rPr>
              <w:t>0.4664</w:t>
            </w:r>
          </w:p>
        </w:tc>
        <w:tc>
          <w:tcPr>
            <w:tcW w:w="1400" w:type="dxa"/>
            <w:tcBorders>
              <w:top w:val="nil"/>
              <w:left w:val="nil"/>
              <w:bottom w:val="nil"/>
              <w:right w:val="nil"/>
            </w:tcBorders>
            <w:vAlign w:val="center"/>
          </w:tcPr>
          <w:p>
            <w:pPr>
              <w:jc w:val="center"/>
              <w:rPr>
                <w:rFonts w:eastAsia="宋体"/>
              </w:rPr>
            </w:pPr>
            <w:r>
              <w:rPr>
                <w:rFonts w:hint="eastAsia" w:eastAsia="宋体"/>
              </w:rPr>
              <w:t>0.9994</w:t>
            </w:r>
          </w:p>
        </w:tc>
        <w:tc>
          <w:tcPr>
            <w:tcW w:w="1382" w:type="dxa"/>
            <w:tcBorders>
              <w:top w:val="nil"/>
              <w:left w:val="nil"/>
              <w:bottom w:val="nil"/>
              <w:right w:val="nil"/>
            </w:tcBorders>
            <w:vAlign w:val="center"/>
          </w:tcPr>
          <w:p>
            <w:pPr>
              <w:jc w:val="center"/>
              <w:rPr>
                <w:rFonts w:eastAsia="宋体"/>
              </w:rPr>
            </w:pPr>
            <w:r>
              <w:rPr>
                <w:rFonts w:hint="eastAsia" w:eastAsia="宋体"/>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tcBorders>
              <w:top w:val="nil"/>
              <w:left w:val="nil"/>
              <w:right w:val="nil"/>
            </w:tcBorders>
            <w:vAlign w:val="center"/>
          </w:tcPr>
          <w:p>
            <w:pPr>
              <w:jc w:val="center"/>
              <w:rPr>
                <w:rFonts w:eastAsia="宋体"/>
              </w:rPr>
            </w:pPr>
            <w:r>
              <w:rPr>
                <w:rFonts w:hint="eastAsia" w:eastAsia="宋体"/>
              </w:rPr>
              <w:t>Ar-N-O</w:t>
            </w:r>
          </w:p>
        </w:tc>
        <w:tc>
          <w:tcPr>
            <w:tcW w:w="1406" w:type="dxa"/>
            <w:tcBorders>
              <w:top w:val="nil"/>
              <w:left w:val="nil"/>
              <w:right w:val="nil"/>
            </w:tcBorders>
            <w:vAlign w:val="center"/>
          </w:tcPr>
          <w:p>
            <w:pPr>
              <w:jc w:val="center"/>
              <w:rPr>
                <w:rFonts w:eastAsia="宋体"/>
              </w:rPr>
            </w:pPr>
            <w:r>
              <w:rPr>
                <w:rFonts w:hint="eastAsia" w:eastAsia="宋体"/>
              </w:rPr>
              <w:t>0.0043</w:t>
            </w:r>
          </w:p>
        </w:tc>
        <w:tc>
          <w:tcPr>
            <w:tcW w:w="1598" w:type="dxa"/>
            <w:tcBorders>
              <w:top w:val="nil"/>
              <w:left w:val="nil"/>
              <w:right w:val="nil"/>
            </w:tcBorders>
            <w:vAlign w:val="center"/>
          </w:tcPr>
          <w:p>
            <w:pPr>
              <w:jc w:val="center"/>
              <w:rPr>
                <w:rFonts w:eastAsia="宋体"/>
              </w:rPr>
            </w:pPr>
            <w:r>
              <w:rPr>
                <w:rFonts w:hint="eastAsia" w:eastAsia="宋体"/>
              </w:rPr>
              <w:t>0.0734</w:t>
            </w:r>
          </w:p>
        </w:tc>
        <w:tc>
          <w:tcPr>
            <w:tcW w:w="1400" w:type="dxa"/>
            <w:tcBorders>
              <w:top w:val="nil"/>
              <w:left w:val="nil"/>
              <w:right w:val="nil"/>
            </w:tcBorders>
            <w:vAlign w:val="center"/>
          </w:tcPr>
          <w:p>
            <w:pPr>
              <w:jc w:val="center"/>
              <w:rPr>
                <w:rFonts w:eastAsia="宋体"/>
              </w:rPr>
            </w:pPr>
            <w:r>
              <w:rPr>
                <w:rFonts w:hint="eastAsia" w:eastAsia="宋体"/>
              </w:rPr>
              <w:t>0.9999</w:t>
            </w:r>
          </w:p>
        </w:tc>
        <w:tc>
          <w:tcPr>
            <w:tcW w:w="1382" w:type="dxa"/>
            <w:tcBorders>
              <w:top w:val="nil"/>
              <w:left w:val="nil"/>
              <w:right w:val="nil"/>
            </w:tcBorders>
            <w:vAlign w:val="center"/>
          </w:tcPr>
          <w:p>
            <w:pPr>
              <w:jc w:val="center"/>
              <w:rPr>
                <w:rFonts w:eastAsia="宋体"/>
              </w:rPr>
            </w:pPr>
            <w:r>
              <w:rPr>
                <w:rFonts w:hint="eastAsia" w:eastAsia="宋体"/>
              </w:rPr>
              <w:t>1.68</w:t>
            </w:r>
          </w:p>
        </w:tc>
      </w:tr>
      <w:bookmarkEnd w:id="65"/>
      <w:bookmarkEnd w:id="66"/>
    </w:tbl>
    <w:p>
      <w:pPr>
        <w:widowControl/>
        <w:jc w:val="left"/>
      </w:pPr>
      <w:bookmarkStart w:id="68" w:name="OLE_LINK122"/>
      <w:r>
        <w:br w:type="page"/>
      </w:r>
    </w:p>
    <w:p>
      <w:pPr>
        <w:rPr>
          <w:rFonts w:eastAsia="宋体"/>
        </w:rPr>
      </w:pPr>
      <w:r>
        <w:rPr>
          <w:rFonts w:eastAsia="宋体"/>
        </w:rPr>
        <w:drawing>
          <wp:inline distT="0" distB="0" distL="0" distR="0">
            <wp:extent cx="5274310" cy="4037965"/>
            <wp:effectExtent l="0" t="0" r="2540" b="635"/>
            <wp:docPr id="130201128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11281" name="图片 15"/>
                    <pic:cNvPicPr>
                      <a:picLocks noChangeAspect="1"/>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rPr>
          <w:b/>
          <w:szCs w:val="24"/>
        </w:rPr>
      </w:pPr>
      <w:bookmarkStart w:id="69" w:name="_Toc150263719"/>
      <w:r>
        <w:rPr>
          <w:rStyle w:val="37"/>
        </w:rPr>
        <w:t>Supplementary Figure 11.</w:t>
      </w:r>
      <w:bookmarkEnd w:id="69"/>
      <w:r>
        <w:t xml:space="preserve"> </w:t>
      </w:r>
      <w:r>
        <w:rPr>
          <w:b/>
          <w:szCs w:val="24"/>
        </w:rPr>
        <w:t>O</w:t>
      </w:r>
      <w:r>
        <w:rPr>
          <w:rFonts w:hint="eastAsia"/>
          <w:b/>
          <w:szCs w:val="24"/>
        </w:rPr>
        <w:t>ptimized</w:t>
      </w:r>
      <w:r>
        <w:rPr>
          <w:b/>
          <w:szCs w:val="24"/>
        </w:rPr>
        <w:t xml:space="preserve"> </w:t>
      </w:r>
      <w:r>
        <w:rPr>
          <w:rFonts w:hint="eastAsia"/>
          <w:b/>
          <w:szCs w:val="24"/>
        </w:rPr>
        <w:t>configuration</w:t>
      </w:r>
      <w:r>
        <w:rPr>
          <w:b/>
          <w:szCs w:val="24"/>
        </w:rPr>
        <w:t xml:space="preserve"> and </w:t>
      </w:r>
      <w:r>
        <w:rPr>
          <w:rFonts w:hint="eastAsia"/>
          <w:b/>
          <w:szCs w:val="24"/>
        </w:rPr>
        <w:t>r</w:t>
      </w:r>
      <w:r>
        <w:rPr>
          <w:b/>
          <w:szCs w:val="24"/>
        </w:rPr>
        <w:t>elative hydrogen bond energies (∆G</w:t>
      </w:r>
      <w:r>
        <w:rPr>
          <w:b/>
          <w:szCs w:val="24"/>
          <w:vertAlign w:val="subscript"/>
        </w:rPr>
        <w:t>H-NO</w:t>
      </w:r>
      <w:r>
        <w:rPr>
          <w:b/>
          <w:szCs w:val="24"/>
        </w:rPr>
        <w:t>, ∆G</w:t>
      </w:r>
      <w:r>
        <w:rPr>
          <w:b/>
          <w:szCs w:val="24"/>
          <w:vertAlign w:val="subscript"/>
        </w:rPr>
        <w:t>H-CO</w:t>
      </w:r>
      <w:r>
        <w:rPr>
          <w:b/>
          <w:szCs w:val="24"/>
        </w:rPr>
        <w:t>, ∆G</w:t>
      </w:r>
      <w:r>
        <w:rPr>
          <w:b/>
          <w:szCs w:val="24"/>
          <w:vertAlign w:val="subscript"/>
        </w:rPr>
        <w:t>H-SO</w:t>
      </w:r>
      <w:r>
        <w:rPr>
          <w:b/>
          <w:szCs w:val="24"/>
        </w:rPr>
        <w:t xml:space="preserve">) </w:t>
      </w:r>
      <w:r>
        <w:rPr>
          <w:rFonts w:hint="eastAsia"/>
          <w:b/>
          <w:szCs w:val="24"/>
        </w:rPr>
        <w:t>for</w:t>
      </w:r>
      <w:r>
        <w:rPr>
          <w:b/>
          <w:szCs w:val="24"/>
        </w:rPr>
        <w:t xml:space="preserve"> the </w:t>
      </w:r>
      <w:r>
        <w:rPr>
          <w:rFonts w:hint="eastAsia"/>
          <w:b/>
          <w:szCs w:val="24"/>
        </w:rPr>
        <w:t>hydrogen</w:t>
      </w:r>
      <w:r>
        <w:rPr>
          <w:b/>
          <w:szCs w:val="24"/>
        </w:rPr>
        <w:t xml:space="preserve"> </w:t>
      </w:r>
      <w:r>
        <w:rPr>
          <w:rFonts w:hint="eastAsia"/>
          <w:b/>
          <w:szCs w:val="24"/>
        </w:rPr>
        <w:t>bond</w:t>
      </w:r>
      <w:r>
        <w:rPr>
          <w:b/>
          <w:szCs w:val="24"/>
        </w:rPr>
        <w:t xml:space="preserve"> </w:t>
      </w:r>
      <w:r>
        <w:rPr>
          <w:rFonts w:hint="eastAsia"/>
          <w:b/>
          <w:szCs w:val="24"/>
        </w:rPr>
        <w:t>donor</w:t>
      </w:r>
      <w:r>
        <w:rPr>
          <w:b/>
          <w:szCs w:val="24"/>
        </w:rPr>
        <w:t xml:space="preserve"> (</w:t>
      </w:r>
      <w:r>
        <w:rPr>
          <w:rFonts w:hint="eastAsia"/>
          <w:b/>
          <w:szCs w:val="24"/>
        </w:rPr>
        <w:t xml:space="preserve">benzyl alcohol) </w:t>
      </w:r>
      <w:r>
        <w:rPr>
          <w:b/>
          <w:szCs w:val="24"/>
        </w:rPr>
        <w:t xml:space="preserve">and </w:t>
      </w:r>
      <w:r>
        <w:rPr>
          <w:rFonts w:hint="eastAsia"/>
          <w:b/>
          <w:szCs w:val="24"/>
        </w:rPr>
        <w:t>acceptor</w:t>
      </w:r>
      <w:r>
        <w:rPr>
          <w:b/>
          <w:szCs w:val="24"/>
        </w:rPr>
        <w:t>.</w:t>
      </w:r>
    </w:p>
    <w:p>
      <w:pPr>
        <w:rPr>
          <w:bCs/>
          <w:szCs w:val="24"/>
        </w:rPr>
      </w:pPr>
      <w:r>
        <w:rPr>
          <w:bCs/>
          <w:szCs w:val="24"/>
        </w:rPr>
        <w:t>Varying number of aromatic rings using DFT calculations. X=C, S, or</w:t>
      </w:r>
      <w:r>
        <w:rPr>
          <w:rFonts w:eastAsia="宋体"/>
          <w:bCs/>
          <w:szCs w:val="24"/>
        </w:rPr>
        <w:t xml:space="preserve"> </w:t>
      </w:r>
      <w:r>
        <w:rPr>
          <w:bCs/>
          <w:szCs w:val="24"/>
        </w:rPr>
        <w:t>N, representing Ar-C=O, Ar-S=O, or Ar-N-O.</w:t>
      </w:r>
    </w:p>
    <w:p>
      <w:pPr>
        <w:rPr>
          <w:b/>
          <w:szCs w:val="24"/>
        </w:rPr>
      </w:pPr>
    </w:p>
    <w:p>
      <w:pPr>
        <w:pStyle w:val="2"/>
      </w:pPr>
      <w:r>
        <w:t xml:space="preserve">Supplementary Table 5. </w:t>
      </w:r>
      <w:r>
        <w:rPr>
          <w:szCs w:val="24"/>
        </w:rPr>
        <w:t>Hydrogen bond energy</w:t>
      </w:r>
      <w:r>
        <w:rPr>
          <w:rFonts w:hint="eastAsia"/>
          <w:szCs w:val="24"/>
        </w:rPr>
        <w:t xml:space="preserve"> and length</w:t>
      </w:r>
      <w:r>
        <w:rPr>
          <w:szCs w:val="24"/>
        </w:rPr>
        <w:t xml:space="preserve"> </w:t>
      </w:r>
      <w:r>
        <w:rPr>
          <w:rFonts w:hint="eastAsia"/>
          <w:szCs w:val="24"/>
        </w:rPr>
        <w:t>for</w:t>
      </w:r>
      <w:r>
        <w:rPr>
          <w:szCs w:val="24"/>
        </w:rPr>
        <w:t xml:space="preserve"> the </w:t>
      </w:r>
      <w:r>
        <w:rPr>
          <w:rFonts w:hint="eastAsia"/>
          <w:szCs w:val="24"/>
        </w:rPr>
        <w:t>hydrogen</w:t>
      </w:r>
      <w:r>
        <w:rPr>
          <w:szCs w:val="24"/>
        </w:rPr>
        <w:t xml:space="preserve"> </w:t>
      </w:r>
      <w:r>
        <w:rPr>
          <w:rFonts w:hint="eastAsia"/>
          <w:szCs w:val="24"/>
        </w:rPr>
        <w:t>bond</w:t>
      </w:r>
      <w:r>
        <w:rPr>
          <w:szCs w:val="24"/>
        </w:rPr>
        <w:t xml:space="preserve"> </w:t>
      </w:r>
      <w:r>
        <w:rPr>
          <w:rFonts w:hint="eastAsia"/>
          <w:szCs w:val="24"/>
        </w:rPr>
        <w:t>donor</w:t>
      </w:r>
      <w:r>
        <w:rPr>
          <w:szCs w:val="24"/>
        </w:rPr>
        <w:t xml:space="preserve"> (</w:t>
      </w:r>
      <w:r>
        <w:rPr>
          <w:rFonts w:hint="eastAsia"/>
          <w:szCs w:val="24"/>
        </w:rPr>
        <w:t>benzyl alcohol)</w:t>
      </w:r>
      <w:r>
        <w:rPr>
          <w:szCs w:val="24"/>
        </w:rPr>
        <w:t>-</w:t>
      </w:r>
      <w:r>
        <w:rPr>
          <w:rFonts w:hint="eastAsia"/>
          <w:szCs w:val="24"/>
        </w:rPr>
        <w:t>acceptor</w:t>
      </w:r>
      <w:r>
        <w:rPr>
          <w:szCs w:val="24"/>
        </w:rPr>
        <w:t xml:space="preserve"> </w:t>
      </w:r>
      <w:r>
        <w:rPr>
          <w:rFonts w:hint="eastAsia"/>
          <w:szCs w:val="24"/>
        </w:rPr>
        <w:t xml:space="preserve">with </w:t>
      </w:r>
      <w:r>
        <w:rPr>
          <w:szCs w:val="24"/>
        </w:rPr>
        <w:t>varying number of aromatic rings</w:t>
      </w:r>
      <w:r>
        <w:rPr>
          <w:rFonts w:hint="eastAsia"/>
          <w:szCs w:val="24"/>
        </w:rPr>
        <w:t xml:space="preserve"> </w:t>
      </w:r>
      <w:r>
        <w:rPr>
          <w:szCs w:val="24"/>
        </w:rPr>
        <w:t xml:space="preserve">using DFT calculations. </w:t>
      </w:r>
    </w:p>
    <w:tbl>
      <w:tblPr>
        <w:tblStyle w:val="22"/>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150"/>
        <w:gridCol w:w="109"/>
        <w:gridCol w:w="1016"/>
        <w:gridCol w:w="1242"/>
        <w:gridCol w:w="1037"/>
        <w:gridCol w:w="1405"/>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tcBorders>
              <w:left w:val="nil"/>
              <w:right w:val="nil"/>
            </w:tcBorders>
            <w:vAlign w:val="center"/>
          </w:tcPr>
          <w:p>
            <w:pPr>
              <w:jc w:val="center"/>
              <w:rPr>
                <w:bCs/>
              </w:rPr>
            </w:pPr>
            <w:r>
              <w:rPr>
                <w:bCs/>
                <w:szCs w:val="24"/>
              </w:rPr>
              <w:t>Number of aromatic rings</w:t>
            </w:r>
          </w:p>
        </w:tc>
        <w:tc>
          <w:tcPr>
            <w:tcW w:w="2275" w:type="dxa"/>
            <w:gridSpan w:val="3"/>
            <w:tcBorders>
              <w:left w:val="nil"/>
              <w:right w:val="nil"/>
            </w:tcBorders>
            <w:vAlign w:val="center"/>
          </w:tcPr>
          <w:p>
            <w:pPr>
              <w:jc w:val="center"/>
              <w:rPr>
                <w:bCs/>
              </w:rPr>
            </w:pPr>
            <w:r>
              <w:rPr>
                <w:rFonts w:hint="eastAsia"/>
                <w:bCs/>
                <w:color w:val="000000"/>
                <w:sz w:val="22"/>
              </w:rPr>
              <w:t>C=O</w:t>
            </w:r>
          </w:p>
        </w:tc>
        <w:tc>
          <w:tcPr>
            <w:tcW w:w="2279" w:type="dxa"/>
            <w:gridSpan w:val="2"/>
            <w:tcBorders>
              <w:left w:val="nil"/>
              <w:right w:val="nil"/>
            </w:tcBorders>
            <w:vAlign w:val="center"/>
          </w:tcPr>
          <w:p>
            <w:pPr>
              <w:jc w:val="center"/>
              <w:rPr>
                <w:bCs/>
                <w:szCs w:val="24"/>
              </w:rPr>
            </w:pPr>
            <w:r>
              <w:rPr>
                <w:rFonts w:hint="eastAsia"/>
                <w:bCs/>
                <w:color w:val="000000"/>
                <w:sz w:val="22"/>
              </w:rPr>
              <w:t>S=O</w:t>
            </w:r>
          </w:p>
        </w:tc>
        <w:tc>
          <w:tcPr>
            <w:tcW w:w="2461" w:type="dxa"/>
            <w:gridSpan w:val="2"/>
            <w:tcBorders>
              <w:left w:val="nil"/>
              <w:right w:val="nil"/>
            </w:tcBorders>
            <w:vAlign w:val="center"/>
          </w:tcPr>
          <w:p>
            <w:pPr>
              <w:jc w:val="center"/>
              <w:rPr>
                <w:bCs/>
                <w:szCs w:val="24"/>
              </w:rPr>
            </w:pPr>
            <w:r>
              <w:rPr>
                <w:rFonts w:hint="eastAsia"/>
                <w:bCs/>
                <w:color w:val="000000"/>
                <w:sz w:val="22"/>
              </w:rPr>
              <w:t>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tcBorders>
              <w:left w:val="nil"/>
              <w:right w:val="nil"/>
            </w:tcBorders>
            <w:vAlign w:val="center"/>
          </w:tcPr>
          <w:p>
            <w:pPr>
              <w:jc w:val="center"/>
              <w:rPr>
                <w:bCs/>
              </w:rPr>
            </w:pPr>
          </w:p>
        </w:tc>
        <w:tc>
          <w:tcPr>
            <w:tcW w:w="1259" w:type="dxa"/>
            <w:gridSpan w:val="2"/>
            <w:tcBorders>
              <w:left w:val="nil"/>
              <w:right w:val="nil"/>
            </w:tcBorders>
            <w:vAlign w:val="center"/>
          </w:tcPr>
          <w:p>
            <w:pPr>
              <w:jc w:val="center"/>
              <w:rPr>
                <w:bCs/>
                <w:color w:val="000000"/>
                <w:sz w:val="22"/>
              </w:rPr>
            </w:pPr>
            <w:r>
              <w:rPr>
                <w:bCs/>
                <w:szCs w:val="24"/>
              </w:rPr>
              <w:t>∆G</w:t>
            </w:r>
            <w:r>
              <w:rPr>
                <w:bCs/>
                <w:szCs w:val="24"/>
                <w:vertAlign w:val="subscript"/>
              </w:rPr>
              <w:t>H-CO</w:t>
            </w:r>
            <w:r>
              <w:rPr>
                <w:bCs/>
                <w:szCs w:val="24"/>
              </w:rPr>
              <w:t xml:space="preserve"> </w:t>
            </w:r>
            <w:r>
              <w:rPr>
                <w:rFonts w:hint="eastAsia"/>
                <w:bCs/>
                <w:szCs w:val="24"/>
              </w:rPr>
              <w:t>(</w:t>
            </w:r>
            <w:r>
              <w:rPr>
                <w:bCs/>
                <w:szCs w:val="24"/>
              </w:rPr>
              <w:t>kcal/mol)</w:t>
            </w:r>
          </w:p>
        </w:tc>
        <w:tc>
          <w:tcPr>
            <w:tcW w:w="1016" w:type="dxa"/>
            <w:tcBorders>
              <w:left w:val="nil"/>
              <w:right w:val="nil"/>
            </w:tcBorders>
            <w:vAlign w:val="center"/>
          </w:tcPr>
          <w:p>
            <w:pPr>
              <w:jc w:val="center"/>
              <w:rPr>
                <w:bCs/>
                <w:color w:val="000000"/>
                <w:sz w:val="22"/>
              </w:rPr>
            </w:pPr>
            <w:r>
              <w:rPr>
                <w:rFonts w:hint="eastAsia" w:eastAsia="宋体"/>
                <w:bCs/>
                <w:szCs w:val="24"/>
              </w:rPr>
              <w:t>Length-</w:t>
            </w:r>
            <w:r>
              <w:rPr>
                <w:bCs/>
                <w:szCs w:val="24"/>
                <w:vertAlign w:val="subscript"/>
              </w:rPr>
              <w:t>H-CO</w:t>
            </w:r>
            <w:r>
              <w:rPr>
                <w:bCs/>
                <w:szCs w:val="24"/>
              </w:rPr>
              <w:t xml:space="preserve"> </w:t>
            </w:r>
            <w:r>
              <w:rPr>
                <w:rFonts w:hint="eastAsia"/>
                <w:bCs/>
                <w:szCs w:val="24"/>
              </w:rPr>
              <w:t>(</w:t>
            </w:r>
            <w:r>
              <w:rPr>
                <w:bCs/>
                <w:szCs w:val="24"/>
              </w:rPr>
              <w:t>Å)</w:t>
            </w:r>
          </w:p>
        </w:tc>
        <w:tc>
          <w:tcPr>
            <w:tcW w:w="1242" w:type="dxa"/>
            <w:tcBorders>
              <w:left w:val="nil"/>
              <w:right w:val="nil"/>
            </w:tcBorders>
            <w:vAlign w:val="center"/>
          </w:tcPr>
          <w:p>
            <w:pPr>
              <w:jc w:val="center"/>
              <w:rPr>
                <w:bCs/>
                <w:szCs w:val="24"/>
                <w:vertAlign w:val="subscript"/>
              </w:rPr>
            </w:pPr>
            <w:r>
              <w:rPr>
                <w:bCs/>
                <w:szCs w:val="24"/>
              </w:rPr>
              <w:t>∆G</w:t>
            </w:r>
            <w:r>
              <w:rPr>
                <w:bCs/>
                <w:szCs w:val="24"/>
                <w:vertAlign w:val="subscript"/>
              </w:rPr>
              <w:t>H-</w:t>
            </w:r>
            <w:r>
              <w:rPr>
                <w:rFonts w:hint="eastAsia" w:eastAsia="宋体"/>
                <w:bCs/>
                <w:szCs w:val="24"/>
                <w:vertAlign w:val="subscript"/>
              </w:rPr>
              <w:t>S</w:t>
            </w:r>
            <w:r>
              <w:rPr>
                <w:bCs/>
                <w:szCs w:val="24"/>
                <w:vertAlign w:val="subscript"/>
              </w:rPr>
              <w:t>O</w:t>
            </w:r>
          </w:p>
          <w:p>
            <w:pPr>
              <w:rPr>
                <w:bCs/>
                <w:color w:val="000000"/>
                <w:sz w:val="22"/>
              </w:rPr>
            </w:pPr>
            <w:r>
              <w:rPr>
                <w:rFonts w:hint="eastAsia"/>
                <w:bCs/>
                <w:szCs w:val="24"/>
              </w:rPr>
              <w:t>(</w:t>
            </w:r>
            <w:r>
              <w:rPr>
                <w:bCs/>
                <w:szCs w:val="24"/>
              </w:rPr>
              <w:t>kcal/mol)</w:t>
            </w:r>
          </w:p>
        </w:tc>
        <w:tc>
          <w:tcPr>
            <w:tcW w:w="1037" w:type="dxa"/>
            <w:tcBorders>
              <w:left w:val="nil"/>
              <w:right w:val="nil"/>
            </w:tcBorders>
            <w:vAlign w:val="center"/>
          </w:tcPr>
          <w:p>
            <w:pPr>
              <w:jc w:val="center"/>
              <w:rPr>
                <w:bCs/>
                <w:color w:val="000000"/>
                <w:sz w:val="22"/>
              </w:rPr>
            </w:pPr>
            <w:r>
              <w:rPr>
                <w:rFonts w:hint="eastAsia" w:eastAsia="宋体"/>
                <w:bCs/>
                <w:szCs w:val="24"/>
              </w:rPr>
              <w:t>Length-</w:t>
            </w:r>
            <w:r>
              <w:rPr>
                <w:bCs/>
                <w:szCs w:val="24"/>
                <w:vertAlign w:val="subscript"/>
              </w:rPr>
              <w:t>H-</w:t>
            </w:r>
            <w:r>
              <w:rPr>
                <w:rFonts w:hint="eastAsia" w:eastAsia="宋体"/>
                <w:bCs/>
                <w:szCs w:val="24"/>
                <w:vertAlign w:val="subscript"/>
              </w:rPr>
              <w:t>S</w:t>
            </w:r>
            <w:r>
              <w:rPr>
                <w:bCs/>
                <w:szCs w:val="24"/>
                <w:vertAlign w:val="subscript"/>
              </w:rPr>
              <w:t>O</w:t>
            </w:r>
            <w:r>
              <w:rPr>
                <w:bCs/>
                <w:szCs w:val="24"/>
              </w:rPr>
              <w:t xml:space="preserve"> </w:t>
            </w:r>
            <w:r>
              <w:rPr>
                <w:rFonts w:hint="eastAsia"/>
                <w:bCs/>
                <w:szCs w:val="24"/>
              </w:rPr>
              <w:t>(</w:t>
            </w:r>
            <w:r>
              <w:rPr>
                <w:bCs/>
                <w:szCs w:val="24"/>
              </w:rPr>
              <w:t>Å)</w:t>
            </w:r>
          </w:p>
        </w:tc>
        <w:tc>
          <w:tcPr>
            <w:tcW w:w="1405" w:type="dxa"/>
            <w:tcBorders>
              <w:left w:val="nil"/>
              <w:right w:val="nil"/>
            </w:tcBorders>
            <w:vAlign w:val="center"/>
          </w:tcPr>
          <w:p>
            <w:pPr>
              <w:jc w:val="center"/>
              <w:rPr>
                <w:bCs/>
                <w:szCs w:val="24"/>
                <w:vertAlign w:val="subscript"/>
              </w:rPr>
            </w:pPr>
            <w:r>
              <w:rPr>
                <w:bCs/>
                <w:szCs w:val="24"/>
              </w:rPr>
              <w:t>∆G</w:t>
            </w:r>
            <w:r>
              <w:rPr>
                <w:bCs/>
                <w:szCs w:val="24"/>
                <w:vertAlign w:val="subscript"/>
              </w:rPr>
              <w:t>H-NO</w:t>
            </w:r>
          </w:p>
          <w:p>
            <w:pPr>
              <w:jc w:val="center"/>
              <w:rPr>
                <w:bCs/>
                <w:color w:val="000000"/>
                <w:sz w:val="22"/>
              </w:rPr>
            </w:pPr>
            <w:r>
              <w:rPr>
                <w:rFonts w:hint="eastAsia"/>
                <w:bCs/>
                <w:szCs w:val="24"/>
              </w:rPr>
              <w:t>(</w:t>
            </w:r>
            <w:r>
              <w:rPr>
                <w:bCs/>
                <w:szCs w:val="24"/>
              </w:rPr>
              <w:t>kcal/mol)</w:t>
            </w:r>
          </w:p>
        </w:tc>
        <w:tc>
          <w:tcPr>
            <w:tcW w:w="1056" w:type="dxa"/>
            <w:tcBorders>
              <w:left w:val="nil"/>
              <w:right w:val="nil"/>
            </w:tcBorders>
            <w:vAlign w:val="center"/>
          </w:tcPr>
          <w:p>
            <w:pPr>
              <w:jc w:val="center"/>
              <w:rPr>
                <w:bCs/>
                <w:color w:val="000000"/>
                <w:sz w:val="22"/>
              </w:rPr>
            </w:pPr>
            <w:r>
              <w:rPr>
                <w:rFonts w:hint="eastAsia" w:eastAsia="宋体"/>
                <w:bCs/>
                <w:szCs w:val="24"/>
              </w:rPr>
              <w:t>Length-</w:t>
            </w:r>
            <w:r>
              <w:rPr>
                <w:bCs/>
                <w:szCs w:val="24"/>
                <w:vertAlign w:val="subscript"/>
              </w:rPr>
              <w:t>H-</w:t>
            </w:r>
            <w:r>
              <w:rPr>
                <w:rFonts w:hint="eastAsia" w:eastAsia="宋体"/>
                <w:bCs/>
                <w:szCs w:val="24"/>
                <w:vertAlign w:val="subscript"/>
              </w:rPr>
              <w:t>N</w:t>
            </w:r>
            <w:r>
              <w:rPr>
                <w:bCs/>
                <w:szCs w:val="24"/>
                <w:vertAlign w:val="subscript"/>
              </w:rPr>
              <w:t>O</w:t>
            </w:r>
            <w:r>
              <w:rPr>
                <w:bCs/>
                <w:szCs w:val="24"/>
              </w:rPr>
              <w:t xml:space="preserve"> </w:t>
            </w:r>
            <w:r>
              <w:rPr>
                <w:rFonts w:hint="eastAsia"/>
                <w:bCs/>
                <w:szCs w:val="24"/>
              </w:rPr>
              <w:t>(</w:t>
            </w:r>
            <w:r>
              <w:rPr>
                <w:bCs/>
                <w:szCs w:val="24"/>
              </w:rPr>
              <w:t>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7" w:type="dxa"/>
            <w:tcBorders>
              <w:left w:val="nil"/>
              <w:bottom w:val="nil"/>
              <w:right w:val="nil"/>
            </w:tcBorders>
            <w:vAlign w:val="center"/>
          </w:tcPr>
          <w:p>
            <w:pPr>
              <w:jc w:val="center"/>
              <w:rPr>
                <w:rFonts w:eastAsia="宋体"/>
                <w:bCs/>
              </w:rPr>
            </w:pPr>
            <w:r>
              <w:rPr>
                <w:rFonts w:hint="eastAsia"/>
                <w:bCs/>
                <w:color w:val="000000"/>
                <w:sz w:val="22"/>
              </w:rPr>
              <w:t>1</w:t>
            </w:r>
          </w:p>
        </w:tc>
        <w:tc>
          <w:tcPr>
            <w:tcW w:w="1150" w:type="dxa"/>
            <w:tcBorders>
              <w:left w:val="nil"/>
              <w:bottom w:val="nil"/>
              <w:right w:val="nil"/>
            </w:tcBorders>
            <w:vAlign w:val="center"/>
          </w:tcPr>
          <w:p>
            <w:pPr>
              <w:jc w:val="center"/>
              <w:rPr>
                <w:rFonts w:eastAsia="宋体"/>
                <w:bCs/>
              </w:rPr>
            </w:pPr>
            <w:r>
              <w:rPr>
                <w:rFonts w:hint="eastAsia"/>
                <w:bCs/>
                <w:color w:val="000000"/>
                <w:sz w:val="22"/>
              </w:rPr>
              <w:t xml:space="preserve">3.09 </w:t>
            </w:r>
          </w:p>
        </w:tc>
        <w:tc>
          <w:tcPr>
            <w:tcW w:w="1125" w:type="dxa"/>
            <w:gridSpan w:val="2"/>
            <w:tcBorders>
              <w:left w:val="nil"/>
              <w:bottom w:val="nil"/>
              <w:right w:val="nil"/>
            </w:tcBorders>
            <w:vAlign w:val="center"/>
          </w:tcPr>
          <w:p>
            <w:pPr>
              <w:jc w:val="center"/>
              <w:rPr>
                <w:bCs/>
                <w:color w:val="000000"/>
                <w:sz w:val="22"/>
              </w:rPr>
            </w:pPr>
            <w:r>
              <w:rPr>
                <w:rFonts w:hint="eastAsia"/>
                <w:bCs/>
                <w:color w:val="000000"/>
                <w:sz w:val="22"/>
              </w:rPr>
              <w:t>2.14</w:t>
            </w:r>
          </w:p>
        </w:tc>
        <w:tc>
          <w:tcPr>
            <w:tcW w:w="1242" w:type="dxa"/>
            <w:tcBorders>
              <w:left w:val="nil"/>
              <w:bottom w:val="nil"/>
              <w:right w:val="nil"/>
            </w:tcBorders>
            <w:vAlign w:val="center"/>
          </w:tcPr>
          <w:p>
            <w:pPr>
              <w:jc w:val="center"/>
              <w:rPr>
                <w:rFonts w:eastAsia="宋体"/>
                <w:bCs/>
              </w:rPr>
            </w:pPr>
            <w:r>
              <w:rPr>
                <w:rFonts w:hint="eastAsia"/>
                <w:bCs/>
                <w:color w:val="000000"/>
                <w:sz w:val="22"/>
              </w:rPr>
              <w:t>3.9</w:t>
            </w:r>
            <w:r>
              <w:rPr>
                <w:rFonts w:hint="eastAsia" w:eastAsia="宋体"/>
                <w:bCs/>
                <w:color w:val="000000"/>
                <w:sz w:val="22"/>
              </w:rPr>
              <w:t>1</w:t>
            </w:r>
            <w:r>
              <w:rPr>
                <w:rFonts w:hint="eastAsia"/>
                <w:bCs/>
                <w:color w:val="000000"/>
                <w:sz w:val="22"/>
              </w:rPr>
              <w:t xml:space="preserve"> </w:t>
            </w:r>
          </w:p>
        </w:tc>
        <w:tc>
          <w:tcPr>
            <w:tcW w:w="1037" w:type="dxa"/>
            <w:tcBorders>
              <w:left w:val="nil"/>
              <w:bottom w:val="nil"/>
              <w:right w:val="nil"/>
            </w:tcBorders>
            <w:vAlign w:val="center"/>
          </w:tcPr>
          <w:p>
            <w:pPr>
              <w:jc w:val="center"/>
              <w:rPr>
                <w:bCs/>
                <w:color w:val="000000"/>
                <w:sz w:val="22"/>
              </w:rPr>
            </w:pPr>
            <w:r>
              <w:rPr>
                <w:rFonts w:hint="eastAsia"/>
                <w:bCs/>
                <w:color w:val="000000"/>
                <w:sz w:val="22"/>
              </w:rPr>
              <w:t>1.99</w:t>
            </w:r>
          </w:p>
        </w:tc>
        <w:tc>
          <w:tcPr>
            <w:tcW w:w="1405" w:type="dxa"/>
            <w:tcBorders>
              <w:left w:val="nil"/>
              <w:bottom w:val="nil"/>
              <w:right w:val="nil"/>
            </w:tcBorders>
            <w:vAlign w:val="center"/>
          </w:tcPr>
          <w:p>
            <w:pPr>
              <w:jc w:val="center"/>
              <w:rPr>
                <w:rFonts w:eastAsia="宋体"/>
                <w:bCs/>
              </w:rPr>
            </w:pPr>
            <w:r>
              <w:rPr>
                <w:rFonts w:hint="eastAsia"/>
                <w:bCs/>
                <w:color w:val="000000"/>
                <w:sz w:val="22"/>
              </w:rPr>
              <w:t xml:space="preserve">4.54 </w:t>
            </w:r>
          </w:p>
        </w:tc>
        <w:tc>
          <w:tcPr>
            <w:tcW w:w="1056" w:type="dxa"/>
            <w:tcBorders>
              <w:left w:val="nil"/>
              <w:bottom w:val="nil"/>
              <w:right w:val="nil"/>
            </w:tcBorders>
            <w:vAlign w:val="center"/>
          </w:tcPr>
          <w:p>
            <w:pPr>
              <w:jc w:val="center"/>
              <w:rPr>
                <w:bCs/>
                <w:color w:val="000000"/>
                <w:sz w:val="22"/>
              </w:rPr>
            </w:pPr>
            <w:r>
              <w:rPr>
                <w:rFonts w:hint="eastAsia"/>
                <w:bCs/>
                <w:color w:val="000000"/>
                <w:sz w:val="22"/>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tcBorders>
              <w:top w:val="nil"/>
              <w:left w:val="nil"/>
              <w:bottom w:val="nil"/>
              <w:right w:val="nil"/>
            </w:tcBorders>
            <w:vAlign w:val="center"/>
          </w:tcPr>
          <w:p>
            <w:pPr>
              <w:jc w:val="center"/>
              <w:rPr>
                <w:bCs/>
              </w:rPr>
            </w:pPr>
            <w:r>
              <w:rPr>
                <w:rFonts w:hint="eastAsia"/>
                <w:bCs/>
                <w:color w:val="000000"/>
                <w:sz w:val="22"/>
              </w:rPr>
              <w:t>2</w:t>
            </w:r>
          </w:p>
        </w:tc>
        <w:tc>
          <w:tcPr>
            <w:tcW w:w="1150" w:type="dxa"/>
            <w:tcBorders>
              <w:top w:val="nil"/>
              <w:left w:val="nil"/>
              <w:bottom w:val="nil"/>
              <w:right w:val="nil"/>
            </w:tcBorders>
            <w:vAlign w:val="center"/>
          </w:tcPr>
          <w:p>
            <w:pPr>
              <w:jc w:val="center"/>
              <w:rPr>
                <w:rFonts w:eastAsia="宋体"/>
                <w:bCs/>
              </w:rPr>
            </w:pPr>
            <w:r>
              <w:rPr>
                <w:rFonts w:hint="eastAsia"/>
                <w:bCs/>
                <w:color w:val="000000"/>
                <w:sz w:val="22"/>
              </w:rPr>
              <w:t xml:space="preserve">6.27 </w:t>
            </w:r>
          </w:p>
        </w:tc>
        <w:tc>
          <w:tcPr>
            <w:tcW w:w="1125" w:type="dxa"/>
            <w:gridSpan w:val="2"/>
            <w:tcBorders>
              <w:top w:val="nil"/>
              <w:left w:val="nil"/>
              <w:bottom w:val="nil"/>
              <w:right w:val="nil"/>
            </w:tcBorders>
            <w:vAlign w:val="center"/>
          </w:tcPr>
          <w:p>
            <w:pPr>
              <w:jc w:val="center"/>
              <w:rPr>
                <w:bCs/>
                <w:color w:val="000000"/>
                <w:sz w:val="22"/>
              </w:rPr>
            </w:pPr>
            <w:r>
              <w:rPr>
                <w:rFonts w:hint="eastAsia"/>
                <w:bCs/>
                <w:color w:val="000000"/>
                <w:sz w:val="22"/>
              </w:rPr>
              <w:t>1.89</w:t>
            </w:r>
          </w:p>
        </w:tc>
        <w:tc>
          <w:tcPr>
            <w:tcW w:w="1242" w:type="dxa"/>
            <w:tcBorders>
              <w:top w:val="nil"/>
              <w:left w:val="nil"/>
              <w:bottom w:val="nil"/>
              <w:right w:val="nil"/>
            </w:tcBorders>
            <w:vAlign w:val="center"/>
          </w:tcPr>
          <w:p>
            <w:pPr>
              <w:jc w:val="center"/>
              <w:rPr>
                <w:rFonts w:eastAsia="宋体"/>
                <w:bCs/>
              </w:rPr>
            </w:pPr>
            <w:r>
              <w:rPr>
                <w:rFonts w:hint="eastAsia"/>
                <w:bCs/>
                <w:color w:val="000000"/>
                <w:sz w:val="22"/>
              </w:rPr>
              <w:t>6.8</w:t>
            </w:r>
            <w:r>
              <w:rPr>
                <w:bCs/>
                <w:color w:val="000000"/>
                <w:sz w:val="22"/>
              </w:rPr>
              <w:t>2</w:t>
            </w:r>
            <w:r>
              <w:rPr>
                <w:rFonts w:hint="eastAsia"/>
                <w:bCs/>
                <w:color w:val="000000"/>
                <w:sz w:val="22"/>
              </w:rPr>
              <w:t xml:space="preserve"> </w:t>
            </w:r>
          </w:p>
        </w:tc>
        <w:tc>
          <w:tcPr>
            <w:tcW w:w="1037" w:type="dxa"/>
            <w:tcBorders>
              <w:top w:val="nil"/>
              <w:left w:val="nil"/>
              <w:bottom w:val="nil"/>
              <w:right w:val="nil"/>
            </w:tcBorders>
            <w:vAlign w:val="center"/>
          </w:tcPr>
          <w:p>
            <w:pPr>
              <w:jc w:val="center"/>
              <w:rPr>
                <w:bCs/>
                <w:color w:val="000000"/>
                <w:sz w:val="22"/>
              </w:rPr>
            </w:pPr>
            <w:r>
              <w:rPr>
                <w:rFonts w:hint="eastAsia"/>
                <w:bCs/>
                <w:color w:val="000000"/>
                <w:sz w:val="22"/>
              </w:rPr>
              <w:t>1.88</w:t>
            </w:r>
          </w:p>
        </w:tc>
        <w:tc>
          <w:tcPr>
            <w:tcW w:w="1405" w:type="dxa"/>
            <w:tcBorders>
              <w:top w:val="nil"/>
              <w:left w:val="nil"/>
              <w:bottom w:val="nil"/>
              <w:right w:val="nil"/>
            </w:tcBorders>
            <w:vAlign w:val="center"/>
          </w:tcPr>
          <w:p>
            <w:pPr>
              <w:jc w:val="center"/>
              <w:rPr>
                <w:rFonts w:eastAsia="宋体"/>
                <w:bCs/>
              </w:rPr>
            </w:pPr>
            <w:r>
              <w:rPr>
                <w:rFonts w:hint="eastAsia"/>
                <w:bCs/>
                <w:color w:val="000000"/>
                <w:sz w:val="22"/>
              </w:rPr>
              <w:t>7.7</w:t>
            </w:r>
            <w:r>
              <w:rPr>
                <w:bCs/>
                <w:color w:val="000000"/>
                <w:sz w:val="22"/>
              </w:rPr>
              <w:t>4</w:t>
            </w:r>
            <w:r>
              <w:rPr>
                <w:rFonts w:hint="eastAsia"/>
                <w:bCs/>
                <w:color w:val="000000"/>
                <w:sz w:val="22"/>
              </w:rPr>
              <w:t xml:space="preserve"> </w:t>
            </w:r>
          </w:p>
        </w:tc>
        <w:tc>
          <w:tcPr>
            <w:tcW w:w="1056" w:type="dxa"/>
            <w:tcBorders>
              <w:top w:val="nil"/>
              <w:left w:val="nil"/>
              <w:bottom w:val="nil"/>
              <w:right w:val="nil"/>
            </w:tcBorders>
            <w:vAlign w:val="center"/>
          </w:tcPr>
          <w:p>
            <w:pPr>
              <w:jc w:val="center"/>
              <w:rPr>
                <w:bCs/>
                <w:color w:val="000000"/>
                <w:sz w:val="22"/>
              </w:rPr>
            </w:pPr>
            <w:r>
              <w:rPr>
                <w:rFonts w:hint="eastAsia"/>
                <w:bCs/>
                <w:color w:val="000000"/>
                <w:sz w:val="22"/>
              </w:rPr>
              <w:t>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tcBorders>
              <w:top w:val="nil"/>
              <w:left w:val="nil"/>
              <w:bottom w:val="nil"/>
              <w:right w:val="nil"/>
            </w:tcBorders>
            <w:vAlign w:val="center"/>
          </w:tcPr>
          <w:p>
            <w:pPr>
              <w:jc w:val="center"/>
              <w:rPr>
                <w:rFonts w:eastAsia="宋体"/>
                <w:bCs/>
              </w:rPr>
            </w:pPr>
            <w:r>
              <w:rPr>
                <w:rFonts w:hint="eastAsia"/>
                <w:bCs/>
                <w:color w:val="000000"/>
                <w:sz w:val="22"/>
              </w:rPr>
              <w:t>4</w:t>
            </w:r>
          </w:p>
        </w:tc>
        <w:tc>
          <w:tcPr>
            <w:tcW w:w="1150" w:type="dxa"/>
            <w:tcBorders>
              <w:top w:val="nil"/>
              <w:left w:val="nil"/>
              <w:bottom w:val="nil"/>
              <w:right w:val="nil"/>
            </w:tcBorders>
            <w:vAlign w:val="center"/>
          </w:tcPr>
          <w:p>
            <w:pPr>
              <w:jc w:val="center"/>
              <w:rPr>
                <w:rFonts w:eastAsia="宋体"/>
                <w:bCs/>
              </w:rPr>
            </w:pPr>
            <w:r>
              <w:rPr>
                <w:rFonts w:hint="eastAsia"/>
                <w:bCs/>
                <w:color w:val="000000"/>
                <w:sz w:val="22"/>
              </w:rPr>
              <w:t>7.9</w:t>
            </w:r>
            <w:r>
              <w:rPr>
                <w:bCs/>
                <w:color w:val="000000"/>
                <w:sz w:val="22"/>
              </w:rPr>
              <w:t>7</w:t>
            </w:r>
            <w:r>
              <w:rPr>
                <w:rFonts w:hint="eastAsia"/>
                <w:bCs/>
                <w:color w:val="000000"/>
                <w:sz w:val="22"/>
              </w:rPr>
              <w:t xml:space="preserve"> </w:t>
            </w:r>
          </w:p>
        </w:tc>
        <w:tc>
          <w:tcPr>
            <w:tcW w:w="1125" w:type="dxa"/>
            <w:gridSpan w:val="2"/>
            <w:tcBorders>
              <w:top w:val="nil"/>
              <w:left w:val="nil"/>
              <w:bottom w:val="nil"/>
              <w:right w:val="nil"/>
            </w:tcBorders>
            <w:vAlign w:val="center"/>
          </w:tcPr>
          <w:p>
            <w:pPr>
              <w:jc w:val="center"/>
              <w:rPr>
                <w:bCs/>
                <w:color w:val="000000"/>
                <w:sz w:val="22"/>
              </w:rPr>
            </w:pPr>
            <w:r>
              <w:rPr>
                <w:rFonts w:hint="eastAsia"/>
                <w:bCs/>
                <w:color w:val="000000"/>
                <w:sz w:val="22"/>
              </w:rPr>
              <w:t>1.76</w:t>
            </w:r>
          </w:p>
        </w:tc>
        <w:tc>
          <w:tcPr>
            <w:tcW w:w="1242" w:type="dxa"/>
            <w:tcBorders>
              <w:top w:val="nil"/>
              <w:left w:val="nil"/>
              <w:bottom w:val="nil"/>
              <w:right w:val="nil"/>
            </w:tcBorders>
            <w:vAlign w:val="center"/>
          </w:tcPr>
          <w:p>
            <w:pPr>
              <w:jc w:val="center"/>
              <w:rPr>
                <w:rFonts w:eastAsia="宋体"/>
                <w:bCs/>
              </w:rPr>
            </w:pPr>
            <w:r>
              <w:rPr>
                <w:rFonts w:hint="eastAsia"/>
                <w:bCs/>
                <w:color w:val="000000"/>
                <w:sz w:val="22"/>
              </w:rPr>
              <w:t>8.5</w:t>
            </w:r>
            <w:r>
              <w:rPr>
                <w:bCs/>
                <w:color w:val="000000"/>
                <w:sz w:val="22"/>
              </w:rPr>
              <w:t>7</w:t>
            </w:r>
            <w:r>
              <w:rPr>
                <w:rFonts w:hint="eastAsia"/>
                <w:bCs/>
                <w:color w:val="000000"/>
                <w:sz w:val="22"/>
              </w:rPr>
              <w:t xml:space="preserve"> </w:t>
            </w:r>
          </w:p>
        </w:tc>
        <w:tc>
          <w:tcPr>
            <w:tcW w:w="1037" w:type="dxa"/>
            <w:tcBorders>
              <w:top w:val="nil"/>
              <w:left w:val="nil"/>
              <w:bottom w:val="nil"/>
              <w:right w:val="nil"/>
            </w:tcBorders>
            <w:vAlign w:val="center"/>
          </w:tcPr>
          <w:p>
            <w:pPr>
              <w:jc w:val="center"/>
              <w:rPr>
                <w:bCs/>
                <w:color w:val="000000"/>
                <w:sz w:val="22"/>
              </w:rPr>
            </w:pPr>
            <w:r>
              <w:rPr>
                <w:rFonts w:hint="eastAsia"/>
                <w:bCs/>
                <w:color w:val="000000"/>
                <w:sz w:val="22"/>
              </w:rPr>
              <w:t>1.75</w:t>
            </w:r>
          </w:p>
        </w:tc>
        <w:tc>
          <w:tcPr>
            <w:tcW w:w="1405" w:type="dxa"/>
            <w:tcBorders>
              <w:top w:val="nil"/>
              <w:left w:val="nil"/>
              <w:bottom w:val="nil"/>
              <w:right w:val="nil"/>
            </w:tcBorders>
            <w:vAlign w:val="center"/>
          </w:tcPr>
          <w:p>
            <w:pPr>
              <w:jc w:val="center"/>
              <w:rPr>
                <w:rFonts w:eastAsia="宋体"/>
                <w:bCs/>
              </w:rPr>
            </w:pPr>
            <w:r>
              <w:rPr>
                <w:rFonts w:hint="eastAsia"/>
                <w:bCs/>
                <w:color w:val="000000"/>
                <w:sz w:val="22"/>
              </w:rPr>
              <w:t>9.5</w:t>
            </w:r>
            <w:r>
              <w:rPr>
                <w:bCs/>
                <w:color w:val="000000"/>
                <w:sz w:val="22"/>
              </w:rPr>
              <w:t>4</w:t>
            </w:r>
            <w:r>
              <w:rPr>
                <w:rFonts w:hint="eastAsia"/>
                <w:bCs/>
                <w:color w:val="000000"/>
                <w:sz w:val="22"/>
              </w:rPr>
              <w:t xml:space="preserve"> </w:t>
            </w:r>
          </w:p>
        </w:tc>
        <w:tc>
          <w:tcPr>
            <w:tcW w:w="1056" w:type="dxa"/>
            <w:tcBorders>
              <w:top w:val="nil"/>
              <w:left w:val="nil"/>
              <w:bottom w:val="nil"/>
              <w:right w:val="nil"/>
            </w:tcBorders>
            <w:vAlign w:val="center"/>
          </w:tcPr>
          <w:p>
            <w:pPr>
              <w:jc w:val="center"/>
              <w:rPr>
                <w:bCs/>
                <w:color w:val="000000"/>
                <w:sz w:val="22"/>
              </w:rPr>
            </w:pPr>
            <w:r>
              <w:rPr>
                <w:rFonts w:hint="eastAsia"/>
                <w:bCs/>
                <w:color w:val="000000"/>
                <w:sz w:val="22"/>
              </w:rPr>
              <w:t>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tcBorders>
              <w:top w:val="nil"/>
              <w:left w:val="nil"/>
              <w:right w:val="nil"/>
            </w:tcBorders>
            <w:vAlign w:val="center"/>
          </w:tcPr>
          <w:p>
            <w:pPr>
              <w:jc w:val="center"/>
              <w:rPr>
                <w:rFonts w:eastAsia="宋体"/>
                <w:bCs/>
              </w:rPr>
            </w:pPr>
            <w:r>
              <w:rPr>
                <w:rFonts w:hint="eastAsia"/>
                <w:bCs/>
                <w:color w:val="000000"/>
                <w:sz w:val="22"/>
              </w:rPr>
              <w:t>5</w:t>
            </w:r>
          </w:p>
        </w:tc>
        <w:tc>
          <w:tcPr>
            <w:tcW w:w="1150" w:type="dxa"/>
            <w:tcBorders>
              <w:top w:val="nil"/>
              <w:left w:val="nil"/>
              <w:right w:val="nil"/>
            </w:tcBorders>
            <w:vAlign w:val="center"/>
          </w:tcPr>
          <w:p>
            <w:pPr>
              <w:jc w:val="center"/>
              <w:rPr>
                <w:rFonts w:eastAsia="宋体"/>
                <w:bCs/>
              </w:rPr>
            </w:pPr>
            <w:r>
              <w:rPr>
                <w:rFonts w:hint="eastAsia"/>
                <w:bCs/>
                <w:color w:val="000000"/>
                <w:sz w:val="22"/>
              </w:rPr>
              <w:t>8.7</w:t>
            </w:r>
            <w:r>
              <w:rPr>
                <w:bCs/>
                <w:color w:val="000000"/>
                <w:sz w:val="22"/>
              </w:rPr>
              <w:t>1</w:t>
            </w:r>
            <w:r>
              <w:rPr>
                <w:rFonts w:hint="eastAsia"/>
                <w:bCs/>
                <w:color w:val="000000"/>
                <w:sz w:val="22"/>
              </w:rPr>
              <w:t xml:space="preserve"> </w:t>
            </w:r>
          </w:p>
        </w:tc>
        <w:tc>
          <w:tcPr>
            <w:tcW w:w="1125" w:type="dxa"/>
            <w:gridSpan w:val="2"/>
            <w:tcBorders>
              <w:top w:val="nil"/>
              <w:left w:val="nil"/>
              <w:right w:val="nil"/>
            </w:tcBorders>
            <w:vAlign w:val="center"/>
          </w:tcPr>
          <w:p>
            <w:pPr>
              <w:jc w:val="center"/>
              <w:rPr>
                <w:bCs/>
                <w:color w:val="000000"/>
                <w:sz w:val="22"/>
              </w:rPr>
            </w:pPr>
            <w:r>
              <w:rPr>
                <w:rFonts w:hint="eastAsia"/>
                <w:bCs/>
                <w:color w:val="000000"/>
                <w:sz w:val="22"/>
              </w:rPr>
              <w:t>1.74</w:t>
            </w:r>
          </w:p>
        </w:tc>
        <w:tc>
          <w:tcPr>
            <w:tcW w:w="1242" w:type="dxa"/>
            <w:tcBorders>
              <w:top w:val="nil"/>
              <w:left w:val="nil"/>
              <w:right w:val="nil"/>
            </w:tcBorders>
            <w:vAlign w:val="center"/>
          </w:tcPr>
          <w:p>
            <w:pPr>
              <w:jc w:val="center"/>
              <w:rPr>
                <w:rFonts w:eastAsia="宋体"/>
                <w:bCs/>
              </w:rPr>
            </w:pPr>
            <w:r>
              <w:rPr>
                <w:rFonts w:hint="eastAsia"/>
                <w:bCs/>
                <w:color w:val="000000"/>
                <w:sz w:val="22"/>
              </w:rPr>
              <w:t>9.4</w:t>
            </w:r>
            <w:r>
              <w:rPr>
                <w:bCs/>
                <w:color w:val="000000"/>
                <w:sz w:val="22"/>
              </w:rPr>
              <w:t>5</w:t>
            </w:r>
            <w:r>
              <w:rPr>
                <w:rFonts w:hint="eastAsia"/>
                <w:bCs/>
                <w:color w:val="000000"/>
                <w:sz w:val="22"/>
              </w:rPr>
              <w:t xml:space="preserve"> </w:t>
            </w:r>
          </w:p>
        </w:tc>
        <w:tc>
          <w:tcPr>
            <w:tcW w:w="1037" w:type="dxa"/>
            <w:tcBorders>
              <w:top w:val="nil"/>
              <w:left w:val="nil"/>
              <w:right w:val="nil"/>
            </w:tcBorders>
            <w:vAlign w:val="center"/>
          </w:tcPr>
          <w:p>
            <w:pPr>
              <w:jc w:val="center"/>
              <w:rPr>
                <w:bCs/>
                <w:color w:val="000000"/>
                <w:sz w:val="22"/>
              </w:rPr>
            </w:pPr>
            <w:r>
              <w:rPr>
                <w:rFonts w:hint="eastAsia"/>
                <w:bCs/>
                <w:color w:val="000000"/>
                <w:sz w:val="22"/>
              </w:rPr>
              <w:t>1.71</w:t>
            </w:r>
          </w:p>
        </w:tc>
        <w:tc>
          <w:tcPr>
            <w:tcW w:w="1405" w:type="dxa"/>
            <w:tcBorders>
              <w:top w:val="nil"/>
              <w:left w:val="nil"/>
              <w:right w:val="nil"/>
            </w:tcBorders>
            <w:vAlign w:val="center"/>
          </w:tcPr>
          <w:p>
            <w:pPr>
              <w:jc w:val="center"/>
              <w:rPr>
                <w:rFonts w:eastAsia="宋体"/>
                <w:bCs/>
              </w:rPr>
            </w:pPr>
            <w:r>
              <w:rPr>
                <w:rFonts w:hint="eastAsia"/>
                <w:bCs/>
                <w:color w:val="000000"/>
                <w:sz w:val="22"/>
              </w:rPr>
              <w:t>10.4</w:t>
            </w:r>
          </w:p>
        </w:tc>
        <w:tc>
          <w:tcPr>
            <w:tcW w:w="1056" w:type="dxa"/>
            <w:tcBorders>
              <w:top w:val="nil"/>
              <w:left w:val="nil"/>
              <w:right w:val="nil"/>
            </w:tcBorders>
            <w:vAlign w:val="center"/>
          </w:tcPr>
          <w:p>
            <w:pPr>
              <w:jc w:val="center"/>
              <w:rPr>
                <w:bCs/>
                <w:color w:val="000000"/>
                <w:sz w:val="22"/>
              </w:rPr>
            </w:pPr>
            <w:r>
              <w:rPr>
                <w:rFonts w:hint="eastAsia"/>
                <w:bCs/>
                <w:color w:val="000000"/>
                <w:sz w:val="22"/>
              </w:rPr>
              <w:t>1.64</w:t>
            </w:r>
          </w:p>
        </w:tc>
      </w:tr>
    </w:tbl>
    <w:p>
      <w:pPr>
        <w:rPr>
          <w:rStyle w:val="37"/>
        </w:rPr>
      </w:pPr>
    </w:p>
    <w:p>
      <w:pPr>
        <w:widowControl/>
        <w:rPr>
          <w:rStyle w:val="37"/>
        </w:rPr>
      </w:pPr>
      <w:r>
        <w:rPr>
          <w:rFonts w:eastAsiaTheme="minorEastAsia"/>
        </w:rPr>
        <w:br w:type="page"/>
      </w:r>
    </w:p>
    <w:p>
      <w:pPr>
        <w:jc w:val="center"/>
        <w:rPr>
          <w:rStyle w:val="37"/>
        </w:rPr>
      </w:pPr>
      <w:r>
        <w:rPr>
          <w:rFonts w:eastAsiaTheme="minorEastAsia"/>
          <w:b/>
          <w:bCs/>
          <w:szCs w:val="40"/>
        </w:rPr>
        <w:drawing>
          <wp:inline distT="0" distB="0" distL="0" distR="0">
            <wp:extent cx="5274310" cy="4037965"/>
            <wp:effectExtent l="0" t="0" r="2540" b="635"/>
            <wp:docPr id="54543675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36755" name="图片 16"/>
                    <pic:cNvPicPr>
                      <a:picLocks noChangeAspect="1"/>
                    </pic:cNvPicPr>
                  </pic:nvPicPr>
                  <pic:blipFill>
                    <a:blip r:embed="rId16"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rPr>
          <w:rStyle w:val="37"/>
        </w:rPr>
      </w:pPr>
      <w:bookmarkStart w:id="70" w:name="_Toc150263720"/>
      <w:r>
        <w:rPr>
          <w:rStyle w:val="37"/>
        </w:rPr>
        <w:t>Supplementary Figure 12.</w:t>
      </w:r>
      <w:bookmarkEnd w:id="70"/>
      <w:r>
        <w:t xml:space="preserve"> </w:t>
      </w:r>
      <w:r>
        <w:rPr>
          <w:rStyle w:val="37"/>
        </w:rPr>
        <w:t>Optimized configuration and relative hydrogen bond energ</w:t>
      </w:r>
      <w:r>
        <w:rPr>
          <w:rStyle w:val="37"/>
          <w:rFonts w:hint="eastAsia"/>
        </w:rPr>
        <w:t>y</w:t>
      </w:r>
      <w:r>
        <w:rPr>
          <w:rStyle w:val="37"/>
        </w:rPr>
        <w:t xml:space="preserve"> gap (∆G</w:t>
      </w:r>
      <w:r>
        <w:rPr>
          <w:rStyle w:val="37"/>
          <w:vertAlign w:val="subscript"/>
        </w:rPr>
        <w:t>H-NO</w:t>
      </w:r>
      <w:r>
        <w:rPr>
          <w:rStyle w:val="37"/>
        </w:rPr>
        <w:t>-∆G</w:t>
      </w:r>
      <w:r>
        <w:rPr>
          <w:rStyle w:val="37"/>
          <w:vertAlign w:val="subscript"/>
        </w:rPr>
        <w:t>H-CO</w:t>
      </w:r>
      <w:r>
        <w:rPr>
          <w:rStyle w:val="37"/>
        </w:rPr>
        <w:t>, ∆G</w:t>
      </w:r>
      <w:r>
        <w:rPr>
          <w:rStyle w:val="37"/>
          <w:vertAlign w:val="subscript"/>
        </w:rPr>
        <w:t>H-NO</w:t>
      </w:r>
      <w:r>
        <w:rPr>
          <w:rStyle w:val="37"/>
        </w:rPr>
        <w:t>-∆G</w:t>
      </w:r>
      <w:r>
        <w:rPr>
          <w:rStyle w:val="37"/>
          <w:vertAlign w:val="subscript"/>
        </w:rPr>
        <w:t>H-SO</w:t>
      </w:r>
      <w:r>
        <w:rPr>
          <w:rStyle w:val="37"/>
        </w:rPr>
        <w:t>) for the hydrogen bond donor (benzyl alcohol)-acceptor with varying number of aromatic rings.</w:t>
      </w:r>
    </w:p>
    <w:p>
      <w:pPr>
        <w:widowControl/>
        <w:jc w:val="left"/>
        <w:rPr>
          <w:rStyle w:val="37"/>
        </w:rPr>
      </w:pPr>
      <w:r>
        <w:rPr>
          <w:rStyle w:val="37"/>
        </w:rPr>
        <w:br w:type="page"/>
      </w:r>
    </w:p>
    <w:p>
      <w:pPr>
        <w:widowControl/>
        <w:jc w:val="left"/>
        <w:rPr>
          <w:rFonts w:eastAsiaTheme="minorEastAsia"/>
        </w:rPr>
      </w:pPr>
    </w:p>
    <w:p>
      <w:pPr>
        <w:jc w:val="center"/>
      </w:pPr>
      <w:r>
        <w:drawing>
          <wp:inline distT="0" distB="0" distL="0" distR="0">
            <wp:extent cx="5274310" cy="3959860"/>
            <wp:effectExtent l="0" t="0" r="2540" b="2540"/>
            <wp:docPr id="11343593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359325" name="图片 17"/>
                    <pic:cNvPicPr>
                      <a:picLocks noChangeAspect="1"/>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5274310" cy="3959860"/>
                    </a:xfrm>
                    <a:prstGeom prst="rect">
                      <a:avLst/>
                    </a:prstGeom>
                  </pic:spPr>
                </pic:pic>
              </a:graphicData>
            </a:graphic>
          </wp:inline>
        </w:drawing>
      </w:r>
    </w:p>
    <w:p>
      <w:pPr>
        <w:rPr>
          <w:rFonts w:eastAsia="宋体"/>
        </w:rPr>
      </w:pPr>
      <w:bookmarkStart w:id="71" w:name="_Toc150263721"/>
      <w:bookmarkStart w:id="72" w:name="OLE_LINK18"/>
      <w:r>
        <w:rPr>
          <w:rStyle w:val="37"/>
        </w:rPr>
        <w:t>Supplementary Figure 13.</w:t>
      </w:r>
      <w:bookmarkEnd w:id="71"/>
      <w:r>
        <w:rPr>
          <w:rStyle w:val="37"/>
          <w:rFonts w:hint="eastAsia"/>
        </w:rPr>
        <w:t xml:space="preserve"> </w:t>
      </w:r>
      <w:r>
        <w:rPr>
          <w:rFonts w:hint="eastAsia" w:eastAsiaTheme="minorEastAsia"/>
          <w:b/>
          <w:bCs/>
        </w:rPr>
        <w:t>IGC plot</w:t>
      </w:r>
      <w:r>
        <w:rPr>
          <w:rFonts w:eastAsiaTheme="minorEastAsia"/>
          <w:b/>
          <w:bCs/>
        </w:rPr>
        <w:t>s</w:t>
      </w:r>
      <w:r>
        <w:rPr>
          <w:rFonts w:hint="eastAsia" w:eastAsiaTheme="minorEastAsia"/>
          <w:b/>
          <w:bCs/>
        </w:rPr>
        <w:t xml:space="preserve"> of</w:t>
      </w:r>
      <w:r>
        <w:rPr>
          <w:rFonts w:eastAsiaTheme="minorEastAsia"/>
          <w:b/>
          <w:bCs/>
        </w:rPr>
        <w:t xml:space="preserve"> different POFs.</w:t>
      </w:r>
      <w:r>
        <w:rPr>
          <w:rFonts w:hint="eastAsia" w:eastAsiaTheme="minorEastAsia"/>
        </w:rPr>
        <w:t xml:space="preserve"> (a)</w:t>
      </w:r>
      <w:r>
        <w:rPr>
          <w:rFonts w:eastAsiaTheme="minorEastAsia"/>
        </w:rPr>
        <w:t xml:space="preserve"> </w:t>
      </w:r>
      <w:r>
        <w:rPr>
          <w:rFonts w:hint="eastAsia" w:eastAsiaTheme="minorEastAsia"/>
        </w:rPr>
        <w:t>POF</w:t>
      </w:r>
      <w:r>
        <w:rPr>
          <w:rFonts w:eastAsiaTheme="minorEastAsia"/>
        </w:rPr>
        <w:t>-E</w:t>
      </w:r>
      <w:r>
        <w:rPr>
          <w:rFonts w:hint="eastAsia" w:eastAsiaTheme="minorEastAsia"/>
        </w:rPr>
        <w:t>T</w:t>
      </w:r>
      <w:r>
        <w:rPr>
          <w:rFonts w:eastAsiaTheme="minorEastAsia"/>
        </w:rPr>
        <w:t>,</w:t>
      </w:r>
      <w:r>
        <w:rPr>
          <w:rFonts w:hint="eastAsia" w:eastAsiaTheme="minorEastAsia"/>
        </w:rPr>
        <w:t xml:space="preserve"> </w:t>
      </w:r>
      <w:r>
        <w:rPr>
          <w:rFonts w:eastAsiaTheme="minorEastAsia"/>
        </w:rPr>
        <w:t>(</w:t>
      </w:r>
      <w:r>
        <w:rPr>
          <w:rFonts w:hint="eastAsia" w:eastAsiaTheme="minorEastAsia"/>
        </w:rPr>
        <w:t>b</w:t>
      </w:r>
      <w:r>
        <w:rPr>
          <w:rFonts w:eastAsiaTheme="minorEastAsia"/>
        </w:rPr>
        <w:t xml:space="preserve">) </w:t>
      </w:r>
      <w:r>
        <w:rPr>
          <w:rFonts w:hint="eastAsia" w:eastAsiaTheme="minorEastAsia"/>
        </w:rPr>
        <w:t>POF</w:t>
      </w:r>
      <w:r>
        <w:rPr>
          <w:rFonts w:eastAsiaTheme="minorEastAsia"/>
        </w:rPr>
        <w:t>-</w:t>
      </w:r>
      <w:r>
        <w:rPr>
          <w:rFonts w:hint="eastAsia" w:eastAsiaTheme="minorEastAsia"/>
        </w:rPr>
        <w:t>C</w:t>
      </w:r>
      <w:r>
        <w:rPr>
          <w:rFonts w:eastAsiaTheme="minorEastAsia"/>
        </w:rPr>
        <w:t>=O,</w:t>
      </w:r>
      <w:r>
        <w:rPr>
          <w:rFonts w:hint="eastAsia" w:eastAsiaTheme="minorEastAsia"/>
        </w:rPr>
        <w:t xml:space="preserve"> </w:t>
      </w:r>
      <w:r>
        <w:rPr>
          <w:rFonts w:eastAsiaTheme="minorEastAsia"/>
        </w:rPr>
        <w:t>(</w:t>
      </w:r>
      <w:r>
        <w:rPr>
          <w:rFonts w:hint="eastAsia" w:eastAsiaTheme="minorEastAsia"/>
        </w:rPr>
        <w:t>c</w:t>
      </w:r>
      <w:r>
        <w:rPr>
          <w:rFonts w:eastAsiaTheme="minorEastAsia"/>
        </w:rPr>
        <w:t xml:space="preserve">) </w:t>
      </w:r>
      <w:r>
        <w:rPr>
          <w:rFonts w:hint="eastAsia" w:eastAsiaTheme="minorEastAsia"/>
        </w:rPr>
        <w:t>POF</w:t>
      </w:r>
      <w:r>
        <w:rPr>
          <w:rFonts w:eastAsiaTheme="minorEastAsia"/>
        </w:rPr>
        <w:t>-</w:t>
      </w:r>
      <w:r>
        <w:rPr>
          <w:rFonts w:hint="eastAsia" w:eastAsiaTheme="minorEastAsia"/>
        </w:rPr>
        <w:t>S</w:t>
      </w:r>
      <w:r>
        <w:rPr>
          <w:rFonts w:eastAsiaTheme="minorEastAsia"/>
        </w:rPr>
        <w:t>=O,</w:t>
      </w:r>
      <w:r>
        <w:rPr>
          <w:rFonts w:hint="eastAsia" w:eastAsiaTheme="minorEastAsia"/>
        </w:rPr>
        <w:t xml:space="preserve"> </w:t>
      </w:r>
      <w:r>
        <w:rPr>
          <w:rFonts w:eastAsiaTheme="minorEastAsia"/>
        </w:rPr>
        <w:t>(</w:t>
      </w:r>
      <w:r>
        <w:rPr>
          <w:rFonts w:hint="eastAsia" w:eastAsiaTheme="minorEastAsia"/>
        </w:rPr>
        <w:t>d</w:t>
      </w:r>
      <w:r>
        <w:rPr>
          <w:rFonts w:eastAsiaTheme="minorEastAsia"/>
        </w:rPr>
        <w:t xml:space="preserve">) </w:t>
      </w:r>
      <w:r>
        <w:rPr>
          <w:rFonts w:hint="eastAsia" w:eastAsiaTheme="minorEastAsia"/>
        </w:rPr>
        <w:t>POF</w:t>
      </w:r>
      <w:r>
        <w:rPr>
          <w:rFonts w:eastAsiaTheme="minorEastAsia"/>
        </w:rPr>
        <w:t>-</w:t>
      </w:r>
      <w:r>
        <w:rPr>
          <w:rFonts w:hint="eastAsia" w:eastAsiaTheme="minorEastAsia"/>
        </w:rPr>
        <w:t>N-</w:t>
      </w:r>
      <w:r>
        <w:rPr>
          <w:rFonts w:eastAsiaTheme="minorEastAsia"/>
        </w:rPr>
        <w:t>O.</w:t>
      </w:r>
      <w:r>
        <w:rPr>
          <w:rFonts w:hint="eastAsia" w:eastAsiaTheme="minorEastAsia"/>
        </w:rPr>
        <w:t xml:space="preserve"> Detail</w:t>
      </w:r>
      <w:r>
        <w:rPr>
          <w:rFonts w:eastAsiaTheme="minorEastAsia"/>
        </w:rPr>
        <w:t>ed</w:t>
      </w:r>
      <w:r>
        <w:rPr>
          <w:rFonts w:hint="eastAsia" w:eastAsiaTheme="minorEastAsia"/>
        </w:rPr>
        <w:t xml:space="preserve"> parameters </w:t>
      </w:r>
      <w:r>
        <w:rPr>
          <w:rFonts w:eastAsiaTheme="minorEastAsia"/>
        </w:rPr>
        <w:t xml:space="preserve">are </w:t>
      </w:r>
      <w:r>
        <w:rPr>
          <w:rFonts w:hint="eastAsia" w:eastAsiaTheme="minorEastAsia"/>
        </w:rPr>
        <w:t xml:space="preserve">in </w:t>
      </w:r>
      <w:r>
        <w:t xml:space="preserve">Supplementary Table </w:t>
      </w:r>
      <w:r>
        <w:rPr>
          <w:rFonts w:hint="eastAsia" w:eastAsia="宋体"/>
        </w:rPr>
        <w:t>6 and 7.</w:t>
      </w:r>
    </w:p>
    <w:bookmarkEnd w:id="72"/>
    <w:p>
      <w:pPr>
        <w:rPr>
          <w:rFonts w:cs="Times New Roman"/>
          <w:szCs w:val="24"/>
        </w:rPr>
      </w:pPr>
      <w:r>
        <w:rPr>
          <w:rFonts w:cs="Times New Roman"/>
          <w:szCs w:val="24"/>
        </w:rPr>
        <w:br w:type="page"/>
      </w:r>
    </w:p>
    <w:p>
      <w:pPr>
        <w:rPr>
          <w:rFonts w:eastAsiaTheme="minorEastAsia"/>
        </w:rPr>
      </w:pPr>
      <w:r>
        <w:rPr>
          <w:rFonts w:eastAsiaTheme="minorEastAsia"/>
        </w:rPr>
        <w:drawing>
          <wp:inline distT="0" distB="0" distL="0" distR="0">
            <wp:extent cx="5274310" cy="4037965"/>
            <wp:effectExtent l="0" t="0" r="2540" b="635"/>
            <wp:docPr id="11125268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26824" name="图片 18"/>
                    <pic:cNvPicPr>
                      <a:picLocks noChangeAspect="1"/>
                    </pic:cNvPicPr>
                  </pic:nvPicPr>
                  <pic:blipFill>
                    <a:blip r:embed="rId18"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rPr>
          <w:rStyle w:val="37"/>
          <w:rFonts w:cs="Times New Roman"/>
        </w:rPr>
      </w:pPr>
      <w:bookmarkStart w:id="73" w:name="_Toc150263722"/>
      <w:bookmarkStart w:id="74" w:name="OLE_LINK60"/>
      <w:r>
        <w:rPr>
          <w:rStyle w:val="37"/>
        </w:rPr>
        <w:t>Supplementary Figure 14.</w:t>
      </w:r>
      <w:r>
        <w:rPr>
          <w:rStyle w:val="37"/>
          <w:rFonts w:hint="eastAsia"/>
        </w:rPr>
        <w:t xml:space="preserve"> </w:t>
      </w:r>
      <w:r>
        <w:rPr>
          <w:rStyle w:val="37"/>
          <w:rFonts w:hint="eastAsia" w:cs="Times New Roman"/>
        </w:rPr>
        <w:t xml:space="preserve">Linear relationship between </w:t>
      </w:r>
      <w:bookmarkEnd w:id="73"/>
      <w:r>
        <w:rPr>
          <w:b/>
          <w:bCs/>
          <w:szCs w:val="24"/>
        </w:rPr>
        <w:t>∆G</w:t>
      </w:r>
      <w:r>
        <w:rPr>
          <w:rFonts w:hint="eastAsia"/>
          <w:b/>
          <w:bCs/>
          <w:szCs w:val="24"/>
          <w:vertAlign w:val="subscript"/>
        </w:rPr>
        <w:t xml:space="preserve">1 </w:t>
      </w:r>
      <w:r>
        <w:rPr>
          <w:rStyle w:val="37"/>
          <w:rFonts w:hint="eastAsia" w:cs="Times New Roman"/>
        </w:rPr>
        <w:t>from</w:t>
      </w:r>
      <w:r>
        <w:rPr>
          <w:rFonts w:hint="eastAsia"/>
        </w:rPr>
        <w:t xml:space="preserve"> </w:t>
      </w:r>
      <w:r>
        <w:rPr>
          <w:rFonts w:hint="eastAsia"/>
          <w:b/>
          <w:bCs/>
          <w:vertAlign w:val="superscript"/>
        </w:rPr>
        <w:t>1</w:t>
      </w:r>
      <w:r>
        <w:rPr>
          <w:rStyle w:val="37"/>
          <w:rFonts w:hint="eastAsia" w:cs="Times New Roman"/>
        </w:rPr>
        <w:t>H-NMR tests</w:t>
      </w:r>
      <w:r>
        <w:rPr>
          <w:rFonts w:hint="eastAsia"/>
          <w:b/>
          <w:bCs/>
          <w:szCs w:val="24"/>
        </w:rPr>
        <w:t xml:space="preserve"> </w:t>
      </w:r>
      <w:r>
        <w:rPr>
          <w:rStyle w:val="37"/>
          <w:rFonts w:hint="eastAsia" w:cs="Times New Roman"/>
        </w:rPr>
        <w:t>and</w:t>
      </w:r>
      <w:r>
        <w:rPr>
          <w:b/>
          <w:bCs/>
          <w:szCs w:val="24"/>
        </w:rPr>
        <w:t xml:space="preserve"> ∆G</w:t>
      </w:r>
      <w:r>
        <w:rPr>
          <w:b/>
          <w:bCs/>
          <w:szCs w:val="24"/>
          <w:vertAlign w:val="subscript"/>
        </w:rPr>
        <w:t>2</w:t>
      </w:r>
      <w:r>
        <w:rPr>
          <w:rFonts w:hint="eastAsia"/>
          <w:b/>
          <w:bCs/>
          <w:szCs w:val="24"/>
          <w:vertAlign w:val="subscript"/>
        </w:rPr>
        <w:t xml:space="preserve"> </w:t>
      </w:r>
      <w:r>
        <w:rPr>
          <w:rFonts w:hint="eastAsia"/>
          <w:b/>
          <w:bCs/>
          <w:szCs w:val="24"/>
        </w:rPr>
        <w:t>from IGC tests</w:t>
      </w:r>
      <w:r>
        <w:rPr>
          <w:rStyle w:val="37"/>
          <w:rFonts w:hint="eastAsia" w:cs="Times New Roman"/>
        </w:rPr>
        <w:t xml:space="preserve"> </w:t>
      </w:r>
      <w:r>
        <w:rPr>
          <w:rFonts w:hint="eastAsia"/>
          <w:b/>
          <w:bCs/>
          <w:szCs w:val="24"/>
        </w:rPr>
        <w:t>(</w:t>
      </w:r>
      <w:r>
        <w:rPr>
          <w:b/>
          <w:bCs/>
          <w:szCs w:val="24"/>
        </w:rPr>
        <w:t>∆G</w:t>
      </w:r>
      <w:r>
        <w:rPr>
          <w:b/>
          <w:bCs/>
          <w:szCs w:val="24"/>
          <w:vertAlign w:val="superscript"/>
        </w:rPr>
        <w:t>Sp</w:t>
      </w:r>
      <w:r>
        <w:rPr>
          <w:b/>
          <w:bCs/>
          <w:szCs w:val="24"/>
          <w:vertAlign w:val="subscript"/>
        </w:rPr>
        <w:t>methanol</w:t>
      </w:r>
      <w:r>
        <w:rPr>
          <w:rFonts w:hint="eastAsia"/>
          <w:b/>
          <w:bCs/>
          <w:szCs w:val="24"/>
          <w:vertAlign w:val="subscript"/>
        </w:rPr>
        <w:t xml:space="preserve"> </w:t>
      </w:r>
      <w:r>
        <w:rPr>
          <w:rFonts w:hint="eastAsia"/>
          <w:b/>
          <w:bCs/>
          <w:szCs w:val="24"/>
        </w:rPr>
        <w:t>)</w:t>
      </w:r>
      <w:r>
        <w:rPr>
          <w:rStyle w:val="37"/>
          <w:rFonts w:hint="eastAsia" w:cs="Times New Roman"/>
        </w:rPr>
        <w:t>.</w:t>
      </w:r>
      <w:bookmarkEnd w:id="74"/>
    </w:p>
    <w:p>
      <w:pPr>
        <w:rPr>
          <w:rFonts w:eastAsiaTheme="minorEastAsia"/>
        </w:rPr>
      </w:pPr>
      <w:r>
        <w:rPr>
          <w:szCs w:val="24"/>
        </w:rPr>
        <w:t>∆G</w:t>
      </w:r>
      <w:r>
        <w:rPr>
          <w:szCs w:val="24"/>
          <w:vertAlign w:val="subscript"/>
        </w:rPr>
        <w:t xml:space="preserve">2 </w:t>
      </w:r>
      <w:r>
        <w:rPr>
          <w:rFonts w:hint="eastAsia" w:cs="Times New Roman" w:eastAsiaTheme="minorEastAsia"/>
          <w:szCs w:val="24"/>
        </w:rPr>
        <w:t>represents</w:t>
      </w:r>
      <w:r>
        <w:rPr>
          <w:rFonts w:cs="Times New Roman" w:eastAsiaTheme="minorEastAsia"/>
          <w:szCs w:val="24"/>
        </w:rPr>
        <w:t xml:space="preserve"> </w:t>
      </w:r>
      <w:r>
        <w:rPr>
          <w:rFonts w:hint="eastAsia" w:cs="Times New Roman" w:eastAsiaTheme="minorEastAsia"/>
          <w:szCs w:val="24"/>
        </w:rPr>
        <w:t>the</w:t>
      </w:r>
      <w:r>
        <w:rPr>
          <w:szCs w:val="24"/>
        </w:rPr>
        <w:t xml:space="preserve"> </w:t>
      </w:r>
      <w:r>
        <w:rPr>
          <w:rFonts w:hint="eastAsia" w:eastAsiaTheme="minorEastAsia"/>
        </w:rPr>
        <w:t>difference</w:t>
      </w:r>
      <w:r>
        <w:rPr>
          <w:rFonts w:eastAsiaTheme="minorEastAsia"/>
        </w:rPr>
        <w:t xml:space="preserve"> of </w:t>
      </w:r>
      <w:r>
        <w:rPr>
          <w:szCs w:val="24"/>
        </w:rPr>
        <w:t>∆G</w:t>
      </w:r>
      <w:r>
        <w:rPr>
          <w:szCs w:val="24"/>
          <w:vertAlign w:val="superscript"/>
        </w:rPr>
        <w:t>Sp</w:t>
      </w:r>
      <w:r>
        <w:rPr>
          <w:szCs w:val="24"/>
          <w:vertAlign w:val="subscript"/>
        </w:rPr>
        <w:t>methanol</w:t>
      </w:r>
      <w:r>
        <w:rPr>
          <w:rFonts w:hint="eastAsia"/>
          <w:szCs w:val="24"/>
        </w:rPr>
        <w:t xml:space="preserve"> </w:t>
      </w:r>
      <w:r>
        <w:rPr>
          <w:rFonts w:hint="eastAsia" w:eastAsiaTheme="minorEastAsia"/>
        </w:rPr>
        <w:t>between</w:t>
      </w:r>
      <w:r>
        <w:rPr>
          <w:rFonts w:eastAsiaTheme="minorEastAsia"/>
        </w:rPr>
        <w:t xml:space="preserve"> POFs </w:t>
      </w:r>
      <w:r>
        <w:rPr>
          <w:rFonts w:hint="eastAsia" w:eastAsiaTheme="minorEastAsia"/>
        </w:rPr>
        <w:t>modified</w:t>
      </w:r>
      <w:r>
        <w:rPr>
          <w:rFonts w:eastAsiaTheme="minorEastAsia"/>
        </w:rPr>
        <w:t xml:space="preserve"> </w:t>
      </w:r>
      <w:r>
        <w:rPr>
          <w:rFonts w:hint="eastAsia" w:eastAsiaTheme="minorEastAsia"/>
        </w:rPr>
        <w:t>w</w:t>
      </w:r>
      <w:r>
        <w:rPr>
          <w:rFonts w:eastAsiaTheme="minorEastAsia"/>
        </w:rPr>
        <w:t xml:space="preserve">ith </w:t>
      </w:r>
      <w:r>
        <w:rPr>
          <w:rFonts w:hint="eastAsia" w:eastAsiaTheme="minorEastAsia"/>
        </w:rPr>
        <w:t>different</w:t>
      </w:r>
      <w:r>
        <w:rPr>
          <w:rFonts w:eastAsiaTheme="minorEastAsia"/>
        </w:rPr>
        <w:t xml:space="preserve"> </w:t>
      </w:r>
      <w:r>
        <w:rPr>
          <w:rFonts w:hint="eastAsia" w:eastAsiaTheme="minorEastAsia"/>
        </w:rPr>
        <w:t>hydrogen</w:t>
      </w:r>
      <w:r>
        <w:rPr>
          <w:rFonts w:eastAsiaTheme="minorEastAsia"/>
        </w:rPr>
        <w:t xml:space="preserve"> </w:t>
      </w:r>
      <w:r>
        <w:rPr>
          <w:rFonts w:hint="eastAsia" w:eastAsiaTheme="minorEastAsia"/>
        </w:rPr>
        <w:t>bond</w:t>
      </w:r>
      <w:r>
        <w:rPr>
          <w:rFonts w:eastAsiaTheme="minorEastAsia"/>
        </w:rPr>
        <w:t xml:space="preserve"> </w:t>
      </w:r>
      <w:r>
        <w:rPr>
          <w:rFonts w:hint="eastAsia" w:eastAsiaTheme="minorEastAsia"/>
        </w:rPr>
        <w:t>acceptors</w:t>
      </w:r>
      <w:r>
        <w:rPr>
          <w:rFonts w:eastAsiaTheme="minorEastAsia"/>
        </w:rPr>
        <w:t xml:space="preserve"> </w:t>
      </w:r>
      <w:r>
        <w:rPr>
          <w:rFonts w:hint="eastAsia" w:eastAsiaTheme="minorEastAsia"/>
        </w:rPr>
        <w:t>vs</w:t>
      </w:r>
      <w:r>
        <w:rPr>
          <w:rFonts w:eastAsiaTheme="minorEastAsia"/>
        </w:rPr>
        <w:t>. POF-ET</w:t>
      </w:r>
      <w:r>
        <w:rPr>
          <w:rFonts w:hint="eastAsia" w:eastAsiaTheme="minorEastAsia"/>
        </w:rPr>
        <w:t>.</w:t>
      </w:r>
    </w:p>
    <w:p>
      <w:r>
        <w:br w:type="page"/>
      </w:r>
    </w:p>
    <w:p>
      <w:pPr>
        <w:jc w:val="center"/>
        <w:rPr>
          <w:rFonts w:cs="Times New Roman" w:eastAsiaTheme="minorEastAsia"/>
          <w:szCs w:val="24"/>
        </w:rPr>
      </w:pPr>
      <w:r>
        <w:rPr>
          <w:rFonts w:cs="Times New Roman" w:eastAsiaTheme="minorEastAsia"/>
          <w:szCs w:val="24"/>
        </w:rPr>
        <w:drawing>
          <wp:inline distT="0" distB="0" distL="0" distR="0">
            <wp:extent cx="5274310" cy="4037965"/>
            <wp:effectExtent l="0" t="0" r="2540" b="635"/>
            <wp:docPr id="119617520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75207" name="图片 19"/>
                    <pic:cNvPicPr>
                      <a:picLocks noChangeAspect="1"/>
                    </pic:cNvPicPr>
                  </pic:nvPicPr>
                  <pic:blipFill>
                    <a:blip r:embed="rId19" cstate="hqprint">
                      <a:extLst>
                        <a:ext uri="{28A0092B-C50C-407E-A947-70E740481C1C}">
                          <a14:useLocalDpi xmlns:a14="http://schemas.microsoft.com/office/drawing/2010/main" val="0"/>
                        </a:ext>
                      </a:extLst>
                    </a:blip>
                    <a:stretch>
                      <a:fillRect/>
                    </a:stretch>
                  </pic:blipFill>
                  <pic:spPr>
                    <a:xfrm>
                      <a:off x="0" y="0"/>
                      <a:ext cx="5274310" cy="4037965"/>
                    </a:xfrm>
                    <a:prstGeom prst="rect">
                      <a:avLst/>
                    </a:prstGeom>
                  </pic:spPr>
                </pic:pic>
              </a:graphicData>
            </a:graphic>
          </wp:inline>
        </w:drawing>
      </w:r>
    </w:p>
    <w:p>
      <w:pPr>
        <w:pStyle w:val="2"/>
      </w:pPr>
      <w:bookmarkStart w:id="75" w:name="_Toc127887789"/>
      <w:bookmarkStart w:id="76" w:name="_Toc150263724"/>
      <w:r>
        <w:rPr>
          <w:rStyle w:val="37"/>
          <w:b/>
          <w:bCs/>
        </w:rPr>
        <w:t>Supplementary Figure 15.</w:t>
      </w:r>
      <w:bookmarkEnd w:id="75"/>
      <w:r>
        <w:rPr>
          <w:rStyle w:val="37"/>
          <w:b/>
          <w:bCs/>
        </w:rPr>
        <w:t xml:space="preserve"> M</w:t>
      </w:r>
      <w:r>
        <w:rPr>
          <w:rStyle w:val="37"/>
          <w:rFonts w:hint="eastAsia"/>
          <w:b/>
          <w:bCs/>
        </w:rPr>
        <w:t>eth</w:t>
      </w:r>
      <w:r>
        <w:rPr>
          <w:rStyle w:val="37"/>
          <w:b/>
          <w:bCs/>
        </w:rPr>
        <w:t>a</w:t>
      </w:r>
      <w:r>
        <w:rPr>
          <w:rStyle w:val="37"/>
          <w:rFonts w:hint="eastAsia"/>
          <w:b/>
          <w:bCs/>
        </w:rPr>
        <w:t>n</w:t>
      </w:r>
      <w:r>
        <w:rPr>
          <w:rStyle w:val="37"/>
          <w:b/>
          <w:bCs/>
        </w:rPr>
        <w:t>o</w:t>
      </w:r>
      <w:r>
        <w:rPr>
          <w:rStyle w:val="37"/>
          <w:rFonts w:hint="eastAsia"/>
          <w:b/>
          <w:bCs/>
        </w:rPr>
        <w:t>l</w:t>
      </w:r>
      <w:r>
        <w:rPr>
          <w:rStyle w:val="37"/>
          <w:b/>
          <w:bCs/>
        </w:rPr>
        <w:t xml:space="preserve"> </w:t>
      </w:r>
      <w:bookmarkStart w:id="77" w:name="OLE_LINK72"/>
      <w:r>
        <w:t>ad</w:t>
      </w:r>
      <w:r>
        <w:rPr>
          <w:rFonts w:hint="eastAsia"/>
        </w:rPr>
        <w:t xml:space="preserve">sorption isotherms on </w:t>
      </w:r>
      <w:r>
        <w:rPr>
          <w:rStyle w:val="37"/>
          <w:b/>
          <w:bCs/>
        </w:rPr>
        <w:t>different polymers</w:t>
      </w:r>
      <w:r>
        <w:rPr>
          <w:rFonts w:hint="eastAsia"/>
        </w:rPr>
        <w:t xml:space="preserve"> at 25 </w:t>
      </w:r>
      <w:r>
        <w:t>°</w:t>
      </w:r>
      <w:r>
        <w:rPr>
          <w:rFonts w:hint="eastAsia"/>
        </w:rPr>
        <w:t>C</w:t>
      </w:r>
      <w:bookmarkEnd w:id="77"/>
      <w:r>
        <w:rPr>
          <w:rFonts w:hint="eastAsia"/>
        </w:rPr>
        <w:t>.</w:t>
      </w:r>
      <w:bookmarkEnd w:id="76"/>
    </w:p>
    <w:p>
      <w:pPr>
        <w:rPr>
          <w:rStyle w:val="37"/>
          <w:b w:val="0"/>
          <w:bCs w:val="0"/>
        </w:rPr>
      </w:pPr>
      <w:bookmarkStart w:id="78" w:name="OLE_LINK12"/>
      <w:bookmarkStart w:id="79" w:name="_Toc150263725"/>
      <w:bookmarkStart w:id="80" w:name="_Toc127887792"/>
      <w:r>
        <w:rPr>
          <w:rStyle w:val="37"/>
          <w:b w:val="0"/>
          <w:bCs w:val="0"/>
        </w:rPr>
        <w:t>POF-E</w:t>
      </w:r>
      <w:r>
        <w:rPr>
          <w:rStyle w:val="37"/>
          <w:rFonts w:hint="eastAsia"/>
          <w:b w:val="0"/>
          <w:bCs w:val="0"/>
        </w:rPr>
        <w:t>T</w:t>
      </w:r>
      <w:r>
        <w:rPr>
          <w:rStyle w:val="37"/>
          <w:b w:val="0"/>
          <w:bCs w:val="0"/>
        </w:rPr>
        <w:t xml:space="preserve"> (</w:t>
      </w:r>
      <w:r>
        <w:rPr>
          <w:rStyle w:val="37"/>
          <w:rFonts w:hint="eastAsia"/>
          <w:b w:val="0"/>
          <w:bCs w:val="0"/>
        </w:rPr>
        <w:t>black</w:t>
      </w:r>
      <w:r>
        <w:rPr>
          <w:rStyle w:val="37"/>
          <w:b w:val="0"/>
          <w:bCs w:val="0"/>
        </w:rPr>
        <w:t>)</w:t>
      </w:r>
      <w:r>
        <w:rPr>
          <w:rStyle w:val="37"/>
          <w:rFonts w:hint="eastAsia"/>
          <w:b w:val="0"/>
          <w:bCs w:val="0"/>
        </w:rPr>
        <w:t>,</w:t>
      </w:r>
      <w:r>
        <w:rPr>
          <w:rStyle w:val="37"/>
          <w:b w:val="0"/>
          <w:bCs w:val="0"/>
        </w:rPr>
        <w:t xml:space="preserve"> </w:t>
      </w:r>
      <w:bookmarkEnd w:id="78"/>
      <w:r>
        <w:rPr>
          <w:rStyle w:val="37"/>
          <w:b w:val="0"/>
          <w:bCs w:val="0"/>
        </w:rPr>
        <w:t>POF-</w:t>
      </w:r>
      <w:r>
        <w:rPr>
          <w:rStyle w:val="37"/>
          <w:rFonts w:hint="eastAsia"/>
          <w:b w:val="0"/>
          <w:bCs w:val="0"/>
        </w:rPr>
        <w:t>C=O</w:t>
      </w:r>
      <w:r>
        <w:rPr>
          <w:rStyle w:val="37"/>
          <w:b w:val="0"/>
          <w:bCs w:val="0"/>
        </w:rPr>
        <w:t xml:space="preserve"> (</w:t>
      </w:r>
      <w:r>
        <w:rPr>
          <w:rStyle w:val="37"/>
          <w:rFonts w:hint="eastAsia"/>
          <w:b w:val="0"/>
          <w:bCs w:val="0"/>
        </w:rPr>
        <w:t>red</w:t>
      </w:r>
      <w:r>
        <w:rPr>
          <w:rStyle w:val="37"/>
          <w:b w:val="0"/>
          <w:bCs w:val="0"/>
        </w:rPr>
        <w:t>)</w:t>
      </w:r>
      <w:r>
        <w:rPr>
          <w:rStyle w:val="37"/>
          <w:rFonts w:hint="eastAsia"/>
          <w:b w:val="0"/>
          <w:bCs w:val="0"/>
        </w:rPr>
        <w:t>,</w:t>
      </w:r>
      <w:r>
        <w:rPr>
          <w:rStyle w:val="37"/>
          <w:b w:val="0"/>
          <w:bCs w:val="0"/>
        </w:rPr>
        <w:t xml:space="preserve"> POF-S=O (</w:t>
      </w:r>
      <w:r>
        <w:rPr>
          <w:rStyle w:val="37"/>
          <w:rFonts w:hint="eastAsia"/>
          <w:b w:val="0"/>
          <w:bCs w:val="0"/>
        </w:rPr>
        <w:t>blue</w:t>
      </w:r>
      <w:r>
        <w:rPr>
          <w:rStyle w:val="37"/>
          <w:b w:val="0"/>
          <w:bCs w:val="0"/>
        </w:rPr>
        <w:t>)</w:t>
      </w:r>
      <w:r>
        <w:rPr>
          <w:rStyle w:val="37"/>
          <w:rFonts w:hint="eastAsia"/>
          <w:b w:val="0"/>
          <w:bCs w:val="0"/>
        </w:rPr>
        <w:t xml:space="preserve"> </w:t>
      </w:r>
      <w:r>
        <w:rPr>
          <w:rStyle w:val="37"/>
          <w:b w:val="0"/>
          <w:bCs w:val="0"/>
        </w:rPr>
        <w:t>and</w:t>
      </w:r>
      <w:r>
        <w:rPr>
          <w:rStyle w:val="37"/>
          <w:rFonts w:hint="eastAsia"/>
          <w:b w:val="0"/>
          <w:bCs w:val="0"/>
        </w:rPr>
        <w:t xml:space="preserve"> </w:t>
      </w:r>
      <w:r>
        <w:rPr>
          <w:rStyle w:val="37"/>
          <w:b w:val="0"/>
          <w:bCs w:val="0"/>
        </w:rPr>
        <w:t>POF-</w:t>
      </w:r>
      <w:r>
        <w:rPr>
          <w:rStyle w:val="37"/>
          <w:rFonts w:hint="eastAsia"/>
          <w:b w:val="0"/>
          <w:bCs w:val="0"/>
        </w:rPr>
        <w:t>N-O</w:t>
      </w:r>
      <w:r>
        <w:rPr>
          <w:rStyle w:val="37"/>
          <w:b w:val="0"/>
          <w:bCs w:val="0"/>
        </w:rPr>
        <w:t xml:space="preserve"> (</w:t>
      </w:r>
      <w:r>
        <w:rPr>
          <w:rStyle w:val="37"/>
          <w:rFonts w:hint="eastAsia"/>
          <w:b w:val="0"/>
          <w:bCs w:val="0"/>
        </w:rPr>
        <w:t>green</w:t>
      </w:r>
      <w:r>
        <w:rPr>
          <w:rStyle w:val="37"/>
          <w:b w:val="0"/>
          <w:bCs w:val="0"/>
        </w:rPr>
        <w:t>)</w:t>
      </w:r>
      <w:r>
        <w:rPr>
          <w:rStyle w:val="37"/>
          <w:rFonts w:hint="eastAsia"/>
          <w:b w:val="0"/>
          <w:bCs w:val="0"/>
        </w:rPr>
        <w:t>.</w:t>
      </w:r>
      <w:bookmarkEnd w:id="79"/>
      <w:bookmarkEnd w:id="80"/>
    </w:p>
    <w:p>
      <w:pPr>
        <w:rPr>
          <w:rStyle w:val="37"/>
          <w:b w:val="0"/>
          <w:bCs w:val="0"/>
        </w:rPr>
      </w:pPr>
      <w:bookmarkStart w:id="81" w:name="OLE_LINK70"/>
      <w:bookmarkStart w:id="82" w:name="_Toc150263726"/>
      <w:r>
        <w:rPr>
          <w:rStyle w:val="37"/>
          <w:rFonts w:hint="eastAsia"/>
          <w:b w:val="0"/>
          <w:bCs w:val="0"/>
        </w:rPr>
        <w:t>Uptake normali</w:t>
      </w:r>
      <w:r>
        <w:rPr>
          <w:rStyle w:val="37"/>
          <w:b w:val="0"/>
          <w:bCs w:val="0"/>
        </w:rPr>
        <w:t>z</w:t>
      </w:r>
      <w:r>
        <w:rPr>
          <w:rStyle w:val="37"/>
          <w:rFonts w:hint="eastAsia"/>
          <w:b w:val="0"/>
          <w:bCs w:val="0"/>
        </w:rPr>
        <w:t>ed</w:t>
      </w:r>
      <w:bookmarkEnd w:id="81"/>
      <w:r>
        <w:rPr>
          <w:rStyle w:val="37"/>
          <w:rFonts w:hint="eastAsia"/>
          <w:b w:val="0"/>
          <w:bCs w:val="0"/>
        </w:rPr>
        <w:t xml:space="preserve"> by dividing molar uptake by S</w:t>
      </w:r>
      <w:r>
        <w:rPr>
          <w:rStyle w:val="37"/>
          <w:rFonts w:hint="eastAsia"/>
          <w:b w:val="0"/>
          <w:bCs w:val="0"/>
          <w:vertAlign w:val="subscript"/>
        </w:rPr>
        <w:t>BET</w:t>
      </w:r>
      <w:r>
        <w:rPr>
          <w:rStyle w:val="37"/>
          <w:rFonts w:hint="eastAsia"/>
          <w:b w:val="0"/>
          <w:bCs w:val="0"/>
        </w:rPr>
        <w:t>.</w:t>
      </w:r>
      <w:bookmarkEnd w:id="82"/>
      <w:r>
        <w:rPr>
          <w:rStyle w:val="37"/>
          <w:rFonts w:hint="eastAsia"/>
          <w:b w:val="0"/>
          <w:bCs w:val="0"/>
        </w:rPr>
        <w:t xml:space="preserve"> </w:t>
      </w:r>
    </w:p>
    <w:p>
      <w:pPr>
        <w:numPr>
          <w:ilvl w:val="0"/>
          <w:numId w:val="2"/>
        </w:numPr>
        <w:rPr>
          <w:rFonts w:cs="Times New Roman"/>
        </w:rPr>
      </w:pPr>
      <w:r>
        <w:rPr>
          <w:rStyle w:val="37"/>
        </w:rPr>
        <w:br w:type="page"/>
      </w:r>
    </w:p>
    <w:p>
      <w:pPr>
        <w:widowControl/>
        <w:jc w:val="center"/>
        <w:rPr>
          <w:rFonts w:eastAsiaTheme="minorEastAsia"/>
        </w:rPr>
      </w:pPr>
      <w:r>
        <w:rPr>
          <w:rFonts w:eastAsiaTheme="minorEastAsia"/>
        </w:rPr>
        <w:drawing>
          <wp:inline distT="0" distB="0" distL="0" distR="0">
            <wp:extent cx="5274310" cy="3952240"/>
            <wp:effectExtent l="0" t="0" r="2540" b="0"/>
            <wp:docPr id="213875618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56183" name="图片 2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274310" cy="3952240"/>
                    </a:xfrm>
                    <a:prstGeom prst="rect">
                      <a:avLst/>
                    </a:prstGeom>
                  </pic:spPr>
                </pic:pic>
              </a:graphicData>
            </a:graphic>
          </wp:inline>
        </w:drawing>
      </w:r>
    </w:p>
    <w:p>
      <w:pPr>
        <w:widowControl/>
        <w:rPr>
          <w:rFonts w:eastAsiaTheme="minorEastAsia"/>
        </w:rPr>
      </w:pPr>
      <w:bookmarkStart w:id="83" w:name="_Toc150263728"/>
      <w:r>
        <w:rPr>
          <w:rStyle w:val="37"/>
        </w:rPr>
        <w:t>Supplementary Figure 16.</w:t>
      </w:r>
      <w:bookmarkEnd w:id="83"/>
      <w:r>
        <w:t xml:space="preserve"> </w:t>
      </w:r>
      <w:r>
        <w:rPr>
          <w:rStyle w:val="37"/>
        </w:rPr>
        <w:t>TOF of aromatic alcohol catalytic oxidation vs. hydrogen bond</w:t>
      </w:r>
      <w:r>
        <w:rPr>
          <w:rStyle w:val="37"/>
          <w:rFonts w:hint="eastAsia"/>
        </w:rPr>
        <w:t>ing</w:t>
      </w:r>
      <w:r>
        <w:rPr>
          <w:rStyle w:val="37"/>
        </w:rPr>
        <w:t xml:space="preserve"> energies with varying number of aromatic rings obtained from </w:t>
      </w:r>
      <w:bookmarkStart w:id="84" w:name="_Hlk150173629"/>
      <w:r>
        <w:rPr>
          <w:rStyle w:val="37"/>
        </w:rPr>
        <w:t>DFT calculations.</w:t>
      </w:r>
      <w:bookmarkEnd w:id="84"/>
      <w:r>
        <w:rPr>
          <w:rFonts w:eastAsiaTheme="minorEastAsia"/>
        </w:rPr>
        <w:br w:type="page"/>
      </w:r>
      <w:bookmarkEnd w:id="68"/>
      <w:bookmarkStart w:id="85" w:name="OLE_LINK6"/>
    </w:p>
    <w:bookmarkEnd w:id="85"/>
    <w:p>
      <w:pPr>
        <w:jc w:val="center"/>
      </w:pPr>
      <w:r>
        <w:drawing>
          <wp:inline distT="0" distB="0" distL="0" distR="0">
            <wp:extent cx="5274310" cy="3744595"/>
            <wp:effectExtent l="0" t="0" r="2540" b="8255"/>
            <wp:docPr id="7946644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6441" name="图片 21"/>
                    <pic:cNvPicPr>
                      <a:picLocks noChangeAspect="1"/>
                    </pic:cNvPicPr>
                  </pic:nvPicPr>
                  <pic:blipFill>
                    <a:blip r:embed="rId21" cstate="hqprint">
                      <a:extLst>
                        <a:ext uri="{28A0092B-C50C-407E-A947-70E740481C1C}">
                          <a14:useLocalDpi xmlns:a14="http://schemas.microsoft.com/office/drawing/2010/main" val="0"/>
                        </a:ext>
                      </a:extLst>
                    </a:blip>
                    <a:stretch>
                      <a:fillRect/>
                    </a:stretch>
                  </pic:blipFill>
                  <pic:spPr>
                    <a:xfrm>
                      <a:off x="0" y="0"/>
                      <a:ext cx="5274310" cy="3744595"/>
                    </a:xfrm>
                    <a:prstGeom prst="rect">
                      <a:avLst/>
                    </a:prstGeom>
                  </pic:spPr>
                </pic:pic>
              </a:graphicData>
            </a:graphic>
          </wp:inline>
        </w:drawing>
      </w:r>
    </w:p>
    <w:p>
      <w:pPr>
        <w:rPr>
          <w:rStyle w:val="37"/>
          <w:rFonts w:cs="Times New Roman"/>
        </w:rPr>
      </w:pPr>
      <w:bookmarkStart w:id="86" w:name="_Toc150263729"/>
      <w:r>
        <w:rPr>
          <w:rStyle w:val="37"/>
        </w:rPr>
        <w:t xml:space="preserve">Supplementary Figure </w:t>
      </w:r>
      <w:r>
        <w:rPr>
          <w:rStyle w:val="37"/>
          <w:rFonts w:hint="eastAsia"/>
        </w:rPr>
        <w:t>1</w:t>
      </w:r>
      <w:r>
        <w:rPr>
          <w:rStyle w:val="37"/>
        </w:rPr>
        <w:t>7.</w:t>
      </w:r>
      <w:r>
        <w:rPr>
          <w:rStyle w:val="37"/>
          <w:rFonts w:hint="eastAsia"/>
        </w:rPr>
        <w:t xml:space="preserve"> Hammett plot</w:t>
      </w:r>
      <w:r>
        <w:rPr>
          <w:rStyle w:val="37"/>
          <w:rFonts w:cs="Times New Roman"/>
        </w:rPr>
        <w:t xml:space="preserve">s for </w:t>
      </w:r>
      <w:bookmarkStart w:id="87" w:name="OLE_LINK64"/>
      <w:r>
        <w:rPr>
          <w:rStyle w:val="37"/>
          <w:rFonts w:hint="eastAsia" w:cs="Times New Roman"/>
        </w:rPr>
        <w:t>different</w:t>
      </w:r>
      <w:r>
        <w:rPr>
          <w:rStyle w:val="37"/>
          <w:rFonts w:cs="Times New Roman"/>
        </w:rPr>
        <w:t xml:space="preserve"> </w:t>
      </w:r>
      <w:r>
        <w:rPr>
          <w:rStyle w:val="37"/>
          <w:rFonts w:hint="eastAsia" w:cs="Times New Roman"/>
        </w:rPr>
        <w:t>catalysts</w:t>
      </w:r>
      <w:r>
        <w:rPr>
          <w:rStyle w:val="37"/>
          <w:rFonts w:cs="Times New Roman"/>
        </w:rPr>
        <w:t xml:space="preserve">. </w:t>
      </w:r>
      <w:bookmarkStart w:id="88" w:name="OLE_LINK63"/>
    </w:p>
    <w:p>
      <w:pPr>
        <w:rPr>
          <w:rFonts w:eastAsiaTheme="minorEastAsia"/>
          <w:b/>
        </w:rPr>
      </w:pPr>
      <w:r>
        <w:rPr>
          <w:rStyle w:val="37"/>
          <w:rFonts w:cs="Times New Roman"/>
          <w:b w:val="0"/>
          <w:bCs w:val="0"/>
        </w:rPr>
        <w:t>(a)</w:t>
      </w:r>
      <w:bookmarkEnd w:id="88"/>
      <w:r>
        <w:rPr>
          <w:rStyle w:val="37"/>
          <w:rFonts w:cs="Times New Roman"/>
          <w:b w:val="0"/>
          <w:bCs w:val="0"/>
        </w:rPr>
        <w:t xml:space="preserve"> Encap-ET, (b) Encap-C=O, (c) Encap-S=O, and (d) Encap-N-O.</w:t>
      </w:r>
      <w:bookmarkEnd w:id="86"/>
      <w:bookmarkEnd w:id="87"/>
    </w:p>
    <w:p>
      <w:r>
        <w:br w:type="page"/>
      </w:r>
    </w:p>
    <w:p>
      <w:pPr>
        <w:jc w:val="center"/>
        <w:rPr>
          <w:rFonts w:hint="eastAsia" w:cs="Times New Roman" w:eastAsiaTheme="minorEastAsia"/>
          <w:szCs w:val="24"/>
        </w:rPr>
      </w:pPr>
      <w:r>
        <w:rPr>
          <w:rFonts w:hint="eastAsia" w:cs="Times New Roman" w:eastAsiaTheme="minorEastAsia"/>
          <w:szCs w:val="24"/>
        </w:rPr>
        <w:drawing>
          <wp:inline distT="0" distB="0" distL="0" distR="0">
            <wp:extent cx="4274820" cy="3272790"/>
            <wp:effectExtent l="0" t="0" r="0" b="3810"/>
            <wp:docPr id="13215531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53127" name="图片 3"/>
                    <pic:cNvPicPr>
                      <a:picLocks noChangeAspect="1"/>
                    </pic:cNvPicPr>
                  </pic:nvPicPr>
                  <pic:blipFill>
                    <a:blip r:embed="rId22" cstate="hqprint">
                      <a:extLst>
                        <a:ext uri="{28A0092B-C50C-407E-A947-70E740481C1C}">
                          <a14:useLocalDpi xmlns:a14="http://schemas.microsoft.com/office/drawing/2010/main" val="0"/>
                        </a:ext>
                      </a:extLst>
                    </a:blip>
                    <a:stretch>
                      <a:fillRect/>
                    </a:stretch>
                  </pic:blipFill>
                  <pic:spPr>
                    <a:xfrm>
                      <a:off x="0" y="0"/>
                      <a:ext cx="4276119" cy="3273759"/>
                    </a:xfrm>
                    <a:prstGeom prst="rect">
                      <a:avLst/>
                    </a:prstGeom>
                  </pic:spPr>
                </pic:pic>
              </a:graphicData>
            </a:graphic>
          </wp:inline>
        </w:drawing>
      </w:r>
    </w:p>
    <w:p>
      <w:pPr>
        <w:rPr>
          <w:rFonts w:eastAsia="宋体"/>
          <w:b/>
          <w:bCs/>
        </w:rPr>
      </w:pPr>
      <w:bookmarkStart w:id="89" w:name="_Toc150263730"/>
      <w:bookmarkStart w:id="90" w:name="_Toc127887794"/>
      <w:r>
        <w:rPr>
          <w:rStyle w:val="37"/>
        </w:rPr>
        <w:t>Supplementary Fi</w:t>
      </w:r>
      <w:r>
        <w:rPr>
          <w:rStyle w:val="37"/>
          <w:b w:val="0"/>
          <w:bCs w:val="0"/>
        </w:rPr>
        <w:t>g</w:t>
      </w:r>
      <w:bookmarkEnd w:id="89"/>
      <w:r>
        <w:rPr>
          <w:b/>
          <w:bCs/>
        </w:rPr>
        <w:t>ure 1</w:t>
      </w:r>
      <w:r>
        <w:rPr>
          <w:rFonts w:eastAsia="宋体"/>
          <w:b/>
          <w:bCs/>
        </w:rPr>
        <w:t>8</w:t>
      </w:r>
      <w:r>
        <w:rPr>
          <w:b/>
          <w:bCs/>
        </w:rPr>
        <w:t xml:space="preserve">. </w:t>
      </w:r>
      <w:r>
        <w:rPr>
          <w:b/>
          <w:bCs/>
          <w:vertAlign w:val="superscript"/>
        </w:rPr>
        <w:t>1</w:t>
      </w:r>
      <w:r>
        <w:rPr>
          <w:b/>
          <w:bCs/>
        </w:rPr>
        <w:t>H-NMR</w:t>
      </w:r>
      <w:r>
        <w:rPr>
          <w:rFonts w:eastAsia="宋体"/>
          <w:b/>
          <w:bCs/>
        </w:rPr>
        <w:t xml:space="preserve"> of (i) PhCD</w:t>
      </w:r>
      <w:r>
        <w:rPr>
          <w:rFonts w:eastAsia="宋体"/>
          <w:b/>
          <w:bCs/>
          <w:vertAlign w:val="subscript"/>
        </w:rPr>
        <w:t>2</w:t>
      </w:r>
      <w:r>
        <w:rPr>
          <w:rFonts w:eastAsia="宋体"/>
          <w:b/>
          <w:bCs/>
        </w:rPr>
        <w:t>OD and (ii) PhCH</w:t>
      </w:r>
      <w:r>
        <w:rPr>
          <w:rFonts w:eastAsia="宋体"/>
          <w:b/>
          <w:bCs/>
          <w:vertAlign w:val="subscript"/>
        </w:rPr>
        <w:t>2</w:t>
      </w:r>
      <w:r>
        <w:rPr>
          <w:rFonts w:eastAsia="宋体"/>
          <w:b/>
          <w:bCs/>
        </w:rPr>
        <w:t>OH.</w:t>
      </w:r>
    </w:p>
    <w:p>
      <w:pPr>
        <w:rPr>
          <w:rStyle w:val="37"/>
          <w:rFonts w:cs="Times New Roman"/>
        </w:rPr>
      </w:pPr>
    </w:p>
    <w:p>
      <w:bookmarkStart w:id="91" w:name="_Toc150263731"/>
      <w:r>
        <w:rPr>
          <w:rStyle w:val="37"/>
          <w:rFonts w:hint="eastAsia" w:cs="Times New Roman"/>
        </w:rPr>
        <w:t xml:space="preserve">Equations of kinetic isotope effect (KIE) experiment on </w:t>
      </w:r>
      <w:r>
        <w:rPr>
          <w:rStyle w:val="37"/>
          <w:rFonts w:cs="Times New Roman"/>
        </w:rPr>
        <w:t>Encap-ET</w:t>
      </w:r>
      <w:r>
        <w:rPr>
          <w:rStyle w:val="37"/>
          <w:rFonts w:hint="eastAsia" w:cs="Times New Roman"/>
        </w:rPr>
        <w:t xml:space="preserve">, </w:t>
      </w:r>
      <w:r>
        <w:rPr>
          <w:rStyle w:val="37"/>
          <w:rFonts w:cs="Times New Roman"/>
        </w:rPr>
        <w:t>Encap-S=O</w:t>
      </w:r>
      <w:r>
        <w:rPr>
          <w:rStyle w:val="37"/>
          <w:rFonts w:hint="eastAsia" w:cs="Times New Roman"/>
        </w:rPr>
        <w:t xml:space="preserve">, </w:t>
      </w:r>
      <w:r>
        <w:rPr>
          <w:rStyle w:val="37"/>
          <w:rFonts w:cs="Times New Roman"/>
        </w:rPr>
        <w:t>Encap-C=O and Encap-</w:t>
      </w:r>
      <w:r>
        <w:rPr>
          <w:rStyle w:val="37"/>
          <w:rFonts w:hint="eastAsia" w:cs="Times New Roman"/>
        </w:rPr>
        <w:t>N-</w:t>
      </w:r>
      <w:r>
        <w:rPr>
          <w:rStyle w:val="37"/>
          <w:rFonts w:cs="Times New Roman"/>
        </w:rPr>
        <w:t>O:</w:t>
      </w:r>
      <w:bookmarkEnd w:id="91"/>
    </w:p>
    <w:bookmarkEnd w:id="90"/>
    <w:p>
      <w:pPr>
        <w:jc w:val="center"/>
        <w:rPr>
          <w:rFonts w:eastAsiaTheme="minorEastAsia"/>
        </w:rPr>
      </w:pPr>
      <w:r>
        <w:rPr>
          <w:rFonts w:eastAsiaTheme="minorEastAsia"/>
        </w:rPr>
        <w:drawing>
          <wp:inline distT="0" distB="0" distL="0" distR="0">
            <wp:extent cx="3856355" cy="2451100"/>
            <wp:effectExtent l="0" t="0" r="0" b="6350"/>
            <wp:docPr id="7609299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29994" name="图片 23"/>
                    <pic:cNvPicPr>
                      <a:picLocks noChangeAspect="1"/>
                    </pic:cNvPicPr>
                  </pic:nvPicPr>
                  <pic:blipFill>
                    <a:blip r:embed="rId23" cstate="hqprint">
                      <a:extLst>
                        <a:ext uri="{28A0092B-C50C-407E-A947-70E740481C1C}">
                          <a14:useLocalDpi xmlns:a14="http://schemas.microsoft.com/office/drawing/2010/main" val="0"/>
                        </a:ext>
                      </a:extLst>
                    </a:blip>
                    <a:stretch>
                      <a:fillRect/>
                    </a:stretch>
                  </pic:blipFill>
                  <pic:spPr>
                    <a:xfrm>
                      <a:off x="0" y="0"/>
                      <a:ext cx="3868325" cy="2459037"/>
                    </a:xfrm>
                    <a:prstGeom prst="rect">
                      <a:avLst/>
                    </a:prstGeom>
                  </pic:spPr>
                </pic:pic>
              </a:graphicData>
            </a:graphic>
          </wp:inline>
        </w:drawing>
      </w:r>
    </w:p>
    <w:p>
      <w:pPr>
        <w:rPr>
          <w:rFonts w:cs="Times New Roman" w:eastAsiaTheme="minorEastAsia"/>
          <w:sz w:val="20"/>
          <w:szCs w:val="20"/>
        </w:rPr>
      </w:pPr>
      <w:r>
        <w:br w:type="page"/>
      </w:r>
    </w:p>
    <w:p>
      <w:pPr>
        <w:jc w:val="center"/>
        <w:rPr>
          <w:rFonts w:cs="Times New Roman"/>
        </w:rPr>
      </w:pPr>
      <w:r>
        <w:rPr>
          <w:rFonts w:cs="Times New Roman"/>
        </w:rPr>
        <w:drawing>
          <wp:inline distT="0" distB="0" distL="0" distR="0">
            <wp:extent cx="5274310" cy="2208530"/>
            <wp:effectExtent l="0" t="0" r="2540" b="1270"/>
            <wp:docPr id="4656536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5367" name="图片 2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274310" cy="2208530"/>
                    </a:xfrm>
                    <a:prstGeom prst="rect">
                      <a:avLst/>
                    </a:prstGeom>
                  </pic:spPr>
                </pic:pic>
              </a:graphicData>
            </a:graphic>
          </wp:inline>
        </w:drawing>
      </w:r>
    </w:p>
    <w:p>
      <w:pPr>
        <w:pStyle w:val="2"/>
        <w:rPr>
          <w:rFonts w:eastAsia="宋体"/>
        </w:rPr>
      </w:pPr>
      <w:bookmarkStart w:id="92" w:name="OLE_LINK16"/>
      <w:bookmarkStart w:id="93" w:name="_Toc150263732"/>
      <w:bookmarkStart w:id="94" w:name="_Toc127887793"/>
      <w:r>
        <w:t xml:space="preserve">Supplementary Figure </w:t>
      </w:r>
      <w:r>
        <w:rPr>
          <w:rFonts w:hint="eastAsia" w:eastAsia="宋体"/>
        </w:rPr>
        <w:t>1</w:t>
      </w:r>
      <w:r>
        <w:rPr>
          <w:rFonts w:eastAsia="宋体"/>
        </w:rPr>
        <w:t>9</w:t>
      </w:r>
      <w:r>
        <w:t>.</w:t>
      </w:r>
      <w:bookmarkEnd w:id="92"/>
      <w:r>
        <w:t xml:space="preserve"> TOF values of </w:t>
      </w:r>
      <w:r>
        <w:rPr>
          <w:rFonts w:eastAsia="宋体"/>
        </w:rPr>
        <w:t>Encap</w:t>
      </w:r>
      <w:r>
        <w:t>-</w:t>
      </w:r>
      <w:r>
        <w:rPr>
          <w:rFonts w:hint="eastAsia"/>
        </w:rPr>
        <w:t>C=O and E</w:t>
      </w:r>
      <w:r>
        <w:t>ncap</w:t>
      </w:r>
      <w:r>
        <w:rPr>
          <w:rFonts w:hint="eastAsia"/>
        </w:rPr>
        <w:t>-N-O</w:t>
      </w:r>
      <w:r>
        <w:rPr>
          <w:rFonts w:eastAsia="宋体"/>
        </w:rPr>
        <w:t xml:space="preserve"> </w:t>
      </w:r>
      <w:r>
        <w:t>with different oxygen pressures</w:t>
      </w:r>
      <w:r>
        <w:rPr>
          <w:rFonts w:eastAsia="宋体"/>
        </w:rPr>
        <w:t>.</w:t>
      </w:r>
      <w:bookmarkEnd w:id="93"/>
      <w:bookmarkEnd w:id="94"/>
    </w:p>
    <w:p>
      <w:pPr>
        <w:rPr>
          <w:rFonts w:cs="Times New Roman" w:eastAsiaTheme="minorEastAsia"/>
          <w:szCs w:val="24"/>
        </w:rPr>
      </w:pPr>
      <w:r>
        <w:rPr>
          <w:rFonts w:cs="Times New Roman"/>
          <w:szCs w:val="24"/>
        </w:rPr>
        <w:br w:type="page"/>
      </w:r>
    </w:p>
    <w:p>
      <w:pPr>
        <w:pStyle w:val="2"/>
      </w:pPr>
      <w:bookmarkStart w:id="95" w:name="_Toc150263733"/>
      <w:bookmarkStart w:id="96" w:name="_Toc127887798"/>
      <w:bookmarkStart w:id="97" w:name="OLE_LINK15"/>
      <w:r>
        <w:t xml:space="preserve">Supplementary Table </w:t>
      </w:r>
      <w:r>
        <w:rPr>
          <w:rFonts w:hint="eastAsia" w:eastAsia="宋体"/>
        </w:rPr>
        <w:t>6</w:t>
      </w:r>
      <w:r>
        <w:t>. Surface free energy for different materials.</w:t>
      </w:r>
      <w:bookmarkEnd w:id="95"/>
      <w:bookmarkEnd w:id="96"/>
    </w:p>
    <w:p/>
    <w:bookmarkEnd w:id="97"/>
    <w:tbl>
      <w:tblPr>
        <w:tblStyle w:val="22"/>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1754"/>
        <w:gridCol w:w="1250"/>
        <w:gridCol w:w="1400"/>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tcBorders>
              <w:left w:val="nil"/>
              <w:right w:val="nil"/>
            </w:tcBorders>
            <w:vAlign w:val="center"/>
          </w:tcPr>
          <w:p>
            <w:pPr>
              <w:jc w:val="center"/>
            </w:pPr>
            <w:bookmarkStart w:id="98" w:name="_Toc127887799"/>
            <w:bookmarkStart w:id="99" w:name="_Toc7392"/>
            <w:bookmarkStart w:id="100" w:name="_Toc4208"/>
            <w:bookmarkStart w:id="101" w:name="_Toc16912"/>
            <w:bookmarkStart w:id="102" w:name="_Toc13862"/>
            <w:bookmarkStart w:id="103" w:name="OLE_LINK24"/>
            <w:r>
              <w:t>Samples</w:t>
            </w:r>
            <w:bookmarkEnd w:id="98"/>
            <w:bookmarkEnd w:id="99"/>
            <w:bookmarkEnd w:id="100"/>
            <w:bookmarkEnd w:id="101"/>
            <w:bookmarkEnd w:id="102"/>
          </w:p>
        </w:tc>
        <w:tc>
          <w:tcPr>
            <w:tcW w:w="1754" w:type="dxa"/>
            <w:tcBorders>
              <w:left w:val="nil"/>
              <w:right w:val="nil"/>
            </w:tcBorders>
            <w:vAlign w:val="center"/>
          </w:tcPr>
          <w:p>
            <w:pPr>
              <w:jc w:val="center"/>
            </w:pPr>
            <w:bookmarkStart w:id="104" w:name="_Toc127887800"/>
            <w:bookmarkStart w:id="105" w:name="_Toc18951"/>
            <w:bookmarkStart w:id="106" w:name="_Toc19859"/>
            <w:bookmarkStart w:id="107" w:name="_Toc28604"/>
            <w:bookmarkStart w:id="108" w:name="_Toc13840"/>
            <w:r>
              <w:t>Slope</w:t>
            </w:r>
            <w:r>
              <w:rPr>
                <w:rFonts w:hint="eastAsia" w:eastAsia="宋体"/>
              </w:rPr>
              <w:t xml:space="preserve"> </w:t>
            </w:r>
            <w:r>
              <w:t>(J*m/</w:t>
            </w:r>
            <w:bookmarkEnd w:id="104"/>
          </w:p>
          <w:p>
            <w:pPr>
              <w:jc w:val="center"/>
            </w:pPr>
            <w:bookmarkStart w:id="109" w:name="_Toc127887801"/>
            <w:r>
              <w:t>(m</w:t>
            </w:r>
            <w:r>
              <w:rPr>
                <w:vertAlign w:val="superscript"/>
              </w:rPr>
              <w:t>2</w:t>
            </w:r>
            <w:r>
              <w:t>* </w:t>
            </w:r>
            <w:r>
              <w:rPr>
                <w:rFonts w:hint="eastAsia" w:eastAsia="宋体"/>
              </w:rPr>
              <w:t>m</w:t>
            </w:r>
            <w:r>
              <w:t>ol*J</w:t>
            </w:r>
            <w:r>
              <w:rPr>
                <w:vertAlign w:val="superscript"/>
              </w:rPr>
              <w:t>1/2</w:t>
            </w:r>
            <w:r>
              <w:t>))</w:t>
            </w:r>
            <w:bookmarkEnd w:id="105"/>
            <w:bookmarkEnd w:id="106"/>
            <w:bookmarkEnd w:id="107"/>
            <w:bookmarkEnd w:id="108"/>
            <w:bookmarkEnd w:id="109"/>
          </w:p>
        </w:tc>
        <w:tc>
          <w:tcPr>
            <w:tcW w:w="1250" w:type="dxa"/>
            <w:tcBorders>
              <w:left w:val="nil"/>
              <w:right w:val="nil"/>
            </w:tcBorders>
            <w:vAlign w:val="center"/>
          </w:tcPr>
          <w:p>
            <w:pPr>
              <w:jc w:val="center"/>
            </w:pPr>
            <w:bookmarkStart w:id="110" w:name="_Toc7772"/>
            <w:bookmarkStart w:id="111" w:name="_Toc9306"/>
            <w:bookmarkStart w:id="112" w:name="_Toc32067"/>
            <w:bookmarkStart w:id="113" w:name="_Toc32686"/>
            <w:bookmarkStart w:id="114" w:name="_Toc127887802"/>
            <w:r>
              <w:t>Intercept</w:t>
            </w:r>
            <w:r>
              <w:rPr>
                <w:rFonts w:hint="eastAsia" w:eastAsia="宋体"/>
              </w:rPr>
              <w:t xml:space="preserve"> </w:t>
            </w:r>
            <w:r>
              <w:t>(J/mol)</w:t>
            </w:r>
            <w:bookmarkEnd w:id="110"/>
            <w:bookmarkEnd w:id="111"/>
            <w:bookmarkEnd w:id="112"/>
            <w:bookmarkEnd w:id="113"/>
            <w:bookmarkEnd w:id="114"/>
          </w:p>
        </w:tc>
        <w:tc>
          <w:tcPr>
            <w:tcW w:w="1400" w:type="dxa"/>
            <w:tcBorders>
              <w:left w:val="nil"/>
              <w:right w:val="nil"/>
            </w:tcBorders>
            <w:vAlign w:val="center"/>
          </w:tcPr>
          <w:p>
            <w:pPr>
              <w:jc w:val="center"/>
            </w:pPr>
            <w:bookmarkStart w:id="115" w:name="_Toc127887803"/>
            <w:bookmarkStart w:id="116" w:name="_Toc6922"/>
            <w:bookmarkStart w:id="117" w:name="_Toc10407"/>
            <w:bookmarkStart w:id="118" w:name="_Toc31267"/>
            <w:bookmarkStart w:id="119" w:name="_Toc12207"/>
            <w:r>
              <w:t xml:space="preserve">Correlation </w:t>
            </w:r>
            <w:bookmarkEnd w:id="115"/>
            <w:bookmarkEnd w:id="116"/>
            <w:bookmarkEnd w:id="117"/>
            <w:bookmarkEnd w:id="118"/>
            <w:bookmarkEnd w:id="119"/>
            <w:r>
              <w:t>coefficient</w:t>
            </w:r>
          </w:p>
        </w:tc>
        <w:tc>
          <w:tcPr>
            <w:tcW w:w="1690" w:type="dxa"/>
            <w:tcBorders>
              <w:left w:val="nil"/>
              <w:right w:val="nil"/>
            </w:tcBorders>
            <w:vAlign w:val="center"/>
          </w:tcPr>
          <w:p>
            <w:pPr>
              <w:jc w:val="center"/>
            </w:pPr>
            <w:bookmarkStart w:id="120" w:name="OLE_LINK13"/>
            <w:bookmarkStart w:id="121" w:name="_Toc6461"/>
            <w:bookmarkStart w:id="122" w:name="_Toc27442"/>
            <w:bookmarkStart w:id="123" w:name="_Toc127887805"/>
            <w:bookmarkStart w:id="124" w:name="_Toc306"/>
            <w:bookmarkStart w:id="125" w:name="_Toc18050"/>
            <w:r>
              <w:rPr>
                <w:rFonts w:hint="eastAsia" w:eastAsia="宋体"/>
              </w:rPr>
              <w:t>-</w:t>
            </w:r>
            <w:r>
              <w:t>∆G</w:t>
            </w:r>
            <w:r>
              <w:rPr>
                <w:rFonts w:hint="eastAsia" w:eastAsia="宋体"/>
                <w:vertAlign w:val="superscript"/>
              </w:rPr>
              <w:t>S</w:t>
            </w:r>
            <w:r>
              <w:rPr>
                <w:vertAlign w:val="superscript"/>
              </w:rPr>
              <w:t>p</w:t>
            </w:r>
            <w:bookmarkEnd w:id="120"/>
            <w:r>
              <w:rPr>
                <w:vertAlign w:val="subscript"/>
              </w:rPr>
              <w:t xml:space="preserve">methanol </w:t>
            </w:r>
            <w:r>
              <w:t>(</w:t>
            </w:r>
            <w:r>
              <w:rPr>
                <w:szCs w:val="24"/>
              </w:rPr>
              <w:t>kcal/mol</w:t>
            </w:r>
            <w:r>
              <w:t>)</w:t>
            </w:r>
            <w:bookmarkEnd w:id="121"/>
            <w:bookmarkEnd w:id="122"/>
            <w:bookmarkEnd w:id="123"/>
            <w:bookmarkEnd w:id="124"/>
            <w:bookmarkEnd w:id="1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44" w:type="dxa"/>
            <w:tcBorders>
              <w:left w:val="nil"/>
              <w:bottom w:val="nil"/>
              <w:right w:val="nil"/>
            </w:tcBorders>
            <w:vAlign w:val="center"/>
          </w:tcPr>
          <w:p>
            <w:pPr>
              <w:jc w:val="center"/>
              <w:rPr>
                <w:rFonts w:eastAsia="宋体"/>
              </w:rPr>
            </w:pPr>
            <w:bookmarkStart w:id="126" w:name="_Toc27043"/>
            <w:bookmarkStart w:id="127" w:name="_Toc12795"/>
            <w:bookmarkStart w:id="128" w:name="_Toc15199"/>
            <w:bookmarkStart w:id="129" w:name="_Toc27481"/>
            <w:bookmarkStart w:id="130" w:name="_Toc127887806"/>
            <w:r>
              <w:rPr>
                <w:rFonts w:eastAsia="宋体"/>
              </w:rPr>
              <w:t>POF</w:t>
            </w:r>
            <w:r>
              <w:t>-E</w:t>
            </w:r>
            <w:bookmarkEnd w:id="126"/>
            <w:bookmarkEnd w:id="127"/>
            <w:bookmarkEnd w:id="128"/>
            <w:bookmarkEnd w:id="129"/>
            <w:r>
              <w:rPr>
                <w:rFonts w:hint="eastAsia" w:eastAsia="宋体"/>
              </w:rPr>
              <w:t>T</w:t>
            </w:r>
            <w:bookmarkEnd w:id="130"/>
          </w:p>
        </w:tc>
        <w:tc>
          <w:tcPr>
            <w:tcW w:w="1754" w:type="dxa"/>
            <w:tcBorders>
              <w:left w:val="nil"/>
              <w:bottom w:val="nil"/>
              <w:right w:val="nil"/>
            </w:tcBorders>
            <w:vAlign w:val="center"/>
          </w:tcPr>
          <w:p>
            <w:pPr>
              <w:jc w:val="center"/>
              <w:rPr>
                <w:rFonts w:eastAsia="宋体"/>
              </w:rPr>
            </w:pPr>
            <w:bookmarkStart w:id="131" w:name="_Toc13063"/>
            <w:bookmarkStart w:id="132" w:name="_Toc9825"/>
            <w:bookmarkStart w:id="133" w:name="_Toc127887807"/>
            <w:r>
              <w:rPr>
                <w:rFonts w:eastAsia="宋体"/>
              </w:rPr>
              <w:t>2.03*10</w:t>
            </w:r>
            <w:r>
              <w:rPr>
                <w:rFonts w:eastAsia="宋体"/>
                <w:vertAlign w:val="superscript"/>
              </w:rPr>
              <w:t>23</w:t>
            </w:r>
            <w:bookmarkEnd w:id="131"/>
            <w:bookmarkEnd w:id="132"/>
            <w:bookmarkEnd w:id="133"/>
          </w:p>
        </w:tc>
        <w:tc>
          <w:tcPr>
            <w:tcW w:w="1250" w:type="dxa"/>
            <w:tcBorders>
              <w:left w:val="nil"/>
              <w:bottom w:val="nil"/>
              <w:right w:val="nil"/>
            </w:tcBorders>
            <w:vAlign w:val="center"/>
          </w:tcPr>
          <w:p>
            <w:pPr>
              <w:jc w:val="center"/>
              <w:rPr>
                <w:rFonts w:eastAsia="宋体"/>
              </w:rPr>
            </w:pPr>
            <w:bookmarkStart w:id="134" w:name="_Toc20775"/>
            <w:bookmarkStart w:id="135" w:name="_Toc127887808"/>
            <w:bookmarkStart w:id="136" w:name="_Toc26788"/>
            <w:r>
              <w:rPr>
                <w:rFonts w:eastAsia="宋体"/>
              </w:rPr>
              <w:t>-55235</w:t>
            </w:r>
            <w:bookmarkEnd w:id="134"/>
            <w:bookmarkEnd w:id="135"/>
            <w:bookmarkEnd w:id="136"/>
          </w:p>
        </w:tc>
        <w:tc>
          <w:tcPr>
            <w:tcW w:w="1400" w:type="dxa"/>
            <w:tcBorders>
              <w:left w:val="nil"/>
              <w:bottom w:val="nil"/>
              <w:right w:val="nil"/>
            </w:tcBorders>
            <w:vAlign w:val="center"/>
          </w:tcPr>
          <w:p>
            <w:pPr>
              <w:jc w:val="center"/>
              <w:rPr>
                <w:rFonts w:eastAsia="宋体"/>
              </w:rPr>
            </w:pPr>
            <w:bookmarkStart w:id="137" w:name="_Toc127887809"/>
            <w:bookmarkStart w:id="138" w:name="_Toc11625"/>
            <w:bookmarkStart w:id="139" w:name="_Toc12958"/>
            <w:r>
              <w:rPr>
                <w:rFonts w:eastAsia="宋体"/>
              </w:rPr>
              <w:t>0.9872</w:t>
            </w:r>
            <w:bookmarkEnd w:id="137"/>
            <w:bookmarkEnd w:id="138"/>
            <w:bookmarkEnd w:id="139"/>
          </w:p>
        </w:tc>
        <w:tc>
          <w:tcPr>
            <w:tcW w:w="1690" w:type="dxa"/>
            <w:tcBorders>
              <w:left w:val="nil"/>
              <w:bottom w:val="nil"/>
              <w:right w:val="nil"/>
            </w:tcBorders>
            <w:vAlign w:val="center"/>
          </w:tcPr>
          <w:p>
            <w:pPr>
              <w:jc w:val="center"/>
              <w:rPr>
                <w:rFonts w:eastAsia="宋体"/>
              </w:rPr>
            </w:pPr>
            <w:r>
              <w:rPr>
                <w:rFonts w:eastAsia="宋体"/>
              </w:rPr>
              <w:t>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tcBorders>
              <w:top w:val="nil"/>
              <w:left w:val="nil"/>
              <w:bottom w:val="nil"/>
              <w:right w:val="nil"/>
            </w:tcBorders>
            <w:vAlign w:val="center"/>
          </w:tcPr>
          <w:p>
            <w:pPr>
              <w:jc w:val="center"/>
              <w:rPr>
                <w:rFonts w:eastAsia="宋体"/>
              </w:rPr>
            </w:pPr>
            <w:r>
              <w:rPr>
                <w:rFonts w:hint="eastAsia" w:eastAsia="宋体"/>
              </w:rPr>
              <w:t>POF-C=O</w:t>
            </w:r>
          </w:p>
        </w:tc>
        <w:tc>
          <w:tcPr>
            <w:tcW w:w="1754" w:type="dxa"/>
            <w:tcBorders>
              <w:top w:val="nil"/>
              <w:left w:val="nil"/>
              <w:bottom w:val="nil"/>
              <w:right w:val="nil"/>
            </w:tcBorders>
            <w:vAlign w:val="center"/>
          </w:tcPr>
          <w:p>
            <w:pPr>
              <w:jc w:val="center"/>
              <w:rPr>
                <w:rFonts w:eastAsia="宋体"/>
              </w:rPr>
            </w:pPr>
            <w:r>
              <w:rPr>
                <w:rFonts w:eastAsia="宋体"/>
              </w:rPr>
              <w:t>1.74*10</w:t>
            </w:r>
            <w:r>
              <w:rPr>
                <w:rFonts w:eastAsia="宋体"/>
                <w:vertAlign w:val="superscript"/>
              </w:rPr>
              <w:t>23</w:t>
            </w:r>
          </w:p>
        </w:tc>
        <w:tc>
          <w:tcPr>
            <w:tcW w:w="1250" w:type="dxa"/>
            <w:tcBorders>
              <w:top w:val="nil"/>
              <w:left w:val="nil"/>
              <w:bottom w:val="nil"/>
              <w:right w:val="nil"/>
            </w:tcBorders>
            <w:vAlign w:val="center"/>
          </w:tcPr>
          <w:p>
            <w:pPr>
              <w:jc w:val="center"/>
              <w:rPr>
                <w:rFonts w:eastAsia="宋体"/>
              </w:rPr>
            </w:pPr>
            <w:r>
              <w:rPr>
                <w:rFonts w:eastAsia="宋体"/>
              </w:rPr>
              <w:t>-63980</w:t>
            </w:r>
          </w:p>
        </w:tc>
        <w:tc>
          <w:tcPr>
            <w:tcW w:w="1400" w:type="dxa"/>
            <w:tcBorders>
              <w:top w:val="nil"/>
              <w:left w:val="nil"/>
              <w:bottom w:val="nil"/>
              <w:right w:val="nil"/>
            </w:tcBorders>
            <w:vAlign w:val="center"/>
          </w:tcPr>
          <w:p>
            <w:pPr>
              <w:jc w:val="center"/>
              <w:rPr>
                <w:rFonts w:eastAsia="宋体"/>
              </w:rPr>
            </w:pPr>
            <w:r>
              <w:rPr>
                <w:rFonts w:eastAsia="宋体"/>
              </w:rPr>
              <w:t>0.9844</w:t>
            </w:r>
          </w:p>
        </w:tc>
        <w:tc>
          <w:tcPr>
            <w:tcW w:w="1690" w:type="dxa"/>
            <w:tcBorders>
              <w:top w:val="nil"/>
              <w:left w:val="nil"/>
              <w:bottom w:val="nil"/>
              <w:right w:val="nil"/>
            </w:tcBorders>
            <w:vAlign w:val="center"/>
          </w:tcPr>
          <w:p>
            <w:pPr>
              <w:jc w:val="center"/>
              <w:rPr>
                <w:rFonts w:eastAsia="宋体"/>
              </w:rPr>
            </w:pPr>
            <w:r>
              <w:rPr>
                <w:rFonts w:eastAsia="宋体"/>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tcBorders>
              <w:top w:val="nil"/>
              <w:left w:val="nil"/>
              <w:bottom w:val="nil"/>
              <w:right w:val="nil"/>
            </w:tcBorders>
            <w:vAlign w:val="center"/>
          </w:tcPr>
          <w:p>
            <w:pPr>
              <w:jc w:val="center"/>
            </w:pPr>
            <w:r>
              <w:rPr>
                <w:rFonts w:eastAsia="宋体"/>
              </w:rPr>
              <w:t>POF</w:t>
            </w:r>
            <w:r>
              <w:t>-S</w:t>
            </w:r>
            <w:r>
              <w:rPr>
                <w:rFonts w:eastAsia="宋体"/>
              </w:rPr>
              <w:t>=</w:t>
            </w:r>
            <w:r>
              <w:t>O</w:t>
            </w:r>
          </w:p>
        </w:tc>
        <w:tc>
          <w:tcPr>
            <w:tcW w:w="1754" w:type="dxa"/>
            <w:tcBorders>
              <w:top w:val="nil"/>
              <w:left w:val="nil"/>
              <w:bottom w:val="nil"/>
              <w:right w:val="nil"/>
            </w:tcBorders>
            <w:vAlign w:val="center"/>
          </w:tcPr>
          <w:p>
            <w:pPr>
              <w:jc w:val="center"/>
              <w:rPr>
                <w:rFonts w:eastAsia="宋体"/>
              </w:rPr>
            </w:pPr>
            <w:r>
              <w:rPr>
                <w:rFonts w:eastAsia="宋体"/>
              </w:rPr>
              <w:t>1.57*10</w:t>
            </w:r>
            <w:r>
              <w:rPr>
                <w:rFonts w:eastAsia="宋体"/>
                <w:vertAlign w:val="superscript"/>
              </w:rPr>
              <w:t>23</w:t>
            </w:r>
          </w:p>
        </w:tc>
        <w:tc>
          <w:tcPr>
            <w:tcW w:w="1250" w:type="dxa"/>
            <w:tcBorders>
              <w:top w:val="nil"/>
              <w:left w:val="nil"/>
              <w:bottom w:val="nil"/>
              <w:right w:val="nil"/>
            </w:tcBorders>
            <w:vAlign w:val="center"/>
          </w:tcPr>
          <w:p>
            <w:pPr>
              <w:jc w:val="center"/>
              <w:rPr>
                <w:rFonts w:eastAsia="宋体"/>
              </w:rPr>
            </w:pPr>
            <w:r>
              <w:rPr>
                <w:rFonts w:eastAsia="宋体"/>
              </w:rPr>
              <w:t>-56736</w:t>
            </w:r>
          </w:p>
        </w:tc>
        <w:tc>
          <w:tcPr>
            <w:tcW w:w="1400" w:type="dxa"/>
            <w:tcBorders>
              <w:top w:val="nil"/>
              <w:left w:val="nil"/>
              <w:bottom w:val="nil"/>
              <w:right w:val="nil"/>
            </w:tcBorders>
            <w:vAlign w:val="center"/>
          </w:tcPr>
          <w:p>
            <w:pPr>
              <w:jc w:val="center"/>
              <w:rPr>
                <w:rFonts w:eastAsia="宋体"/>
              </w:rPr>
            </w:pPr>
            <w:r>
              <w:rPr>
                <w:rFonts w:eastAsia="宋体"/>
              </w:rPr>
              <w:t>0.9964</w:t>
            </w:r>
          </w:p>
        </w:tc>
        <w:tc>
          <w:tcPr>
            <w:tcW w:w="1690" w:type="dxa"/>
            <w:tcBorders>
              <w:top w:val="nil"/>
              <w:left w:val="nil"/>
              <w:bottom w:val="nil"/>
              <w:right w:val="nil"/>
            </w:tcBorders>
            <w:vAlign w:val="center"/>
          </w:tcPr>
          <w:p>
            <w:pPr>
              <w:jc w:val="center"/>
              <w:rPr>
                <w:rFonts w:eastAsia="宋体"/>
              </w:rPr>
            </w:pPr>
            <w:r>
              <w:rPr>
                <w:rFonts w:eastAsia="宋体"/>
              </w:rP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tcBorders>
              <w:top w:val="nil"/>
              <w:left w:val="nil"/>
              <w:right w:val="nil"/>
            </w:tcBorders>
            <w:vAlign w:val="center"/>
          </w:tcPr>
          <w:p>
            <w:pPr>
              <w:jc w:val="center"/>
              <w:rPr>
                <w:rFonts w:eastAsia="宋体"/>
              </w:rPr>
            </w:pPr>
            <w:r>
              <w:t>POF-</w:t>
            </w:r>
            <w:r>
              <w:rPr>
                <w:rFonts w:hint="eastAsia"/>
              </w:rPr>
              <w:t>N-</w:t>
            </w:r>
            <w:r>
              <w:t>O</w:t>
            </w:r>
          </w:p>
        </w:tc>
        <w:tc>
          <w:tcPr>
            <w:tcW w:w="1754" w:type="dxa"/>
            <w:tcBorders>
              <w:top w:val="nil"/>
              <w:left w:val="nil"/>
              <w:right w:val="nil"/>
            </w:tcBorders>
            <w:vAlign w:val="center"/>
          </w:tcPr>
          <w:p>
            <w:pPr>
              <w:jc w:val="center"/>
              <w:rPr>
                <w:rFonts w:eastAsia="宋体"/>
              </w:rPr>
            </w:pPr>
            <w:r>
              <w:rPr>
                <w:rFonts w:eastAsia="宋体"/>
              </w:rPr>
              <w:t>2.01*10</w:t>
            </w:r>
            <w:r>
              <w:rPr>
                <w:rFonts w:eastAsia="宋体"/>
                <w:vertAlign w:val="superscript"/>
              </w:rPr>
              <w:t>23</w:t>
            </w:r>
          </w:p>
        </w:tc>
        <w:tc>
          <w:tcPr>
            <w:tcW w:w="1250" w:type="dxa"/>
            <w:tcBorders>
              <w:top w:val="nil"/>
              <w:left w:val="nil"/>
              <w:right w:val="nil"/>
            </w:tcBorders>
            <w:vAlign w:val="center"/>
          </w:tcPr>
          <w:p>
            <w:pPr>
              <w:jc w:val="center"/>
              <w:rPr>
                <w:rFonts w:eastAsia="宋体"/>
              </w:rPr>
            </w:pPr>
            <w:r>
              <w:rPr>
                <w:rFonts w:eastAsia="宋体"/>
              </w:rPr>
              <w:t>-62335</w:t>
            </w:r>
          </w:p>
        </w:tc>
        <w:tc>
          <w:tcPr>
            <w:tcW w:w="1400" w:type="dxa"/>
            <w:tcBorders>
              <w:top w:val="nil"/>
              <w:left w:val="nil"/>
              <w:right w:val="nil"/>
            </w:tcBorders>
            <w:vAlign w:val="center"/>
          </w:tcPr>
          <w:p>
            <w:pPr>
              <w:jc w:val="center"/>
              <w:rPr>
                <w:rFonts w:eastAsia="宋体"/>
              </w:rPr>
            </w:pPr>
            <w:r>
              <w:rPr>
                <w:rFonts w:eastAsia="宋体"/>
              </w:rPr>
              <w:t>0.9992</w:t>
            </w:r>
          </w:p>
        </w:tc>
        <w:tc>
          <w:tcPr>
            <w:tcW w:w="1690" w:type="dxa"/>
            <w:tcBorders>
              <w:top w:val="nil"/>
              <w:left w:val="nil"/>
              <w:right w:val="nil"/>
            </w:tcBorders>
            <w:vAlign w:val="center"/>
          </w:tcPr>
          <w:p>
            <w:pPr>
              <w:jc w:val="center"/>
              <w:rPr>
                <w:rFonts w:eastAsia="宋体"/>
              </w:rPr>
            </w:pPr>
            <w:r>
              <w:rPr>
                <w:rFonts w:eastAsia="宋体"/>
              </w:rPr>
              <w:t>2.26</w:t>
            </w:r>
          </w:p>
        </w:tc>
      </w:tr>
      <w:bookmarkEnd w:id="103"/>
    </w:tbl>
    <w:p>
      <w:pPr>
        <w:rPr>
          <w:rFonts w:cs="Times New Roman"/>
        </w:rPr>
      </w:pPr>
    </w:p>
    <w:p>
      <w:pPr>
        <w:pStyle w:val="2"/>
      </w:pPr>
      <w:bookmarkStart w:id="140" w:name="OLE_LINK36"/>
    </w:p>
    <w:p/>
    <w:p>
      <w:pPr>
        <w:pStyle w:val="2"/>
      </w:pPr>
      <w:bookmarkStart w:id="141" w:name="_Toc127887818"/>
      <w:bookmarkStart w:id="142" w:name="_Toc150263734"/>
      <w:r>
        <w:t xml:space="preserve">Supplementary Table </w:t>
      </w:r>
      <w:r>
        <w:rPr>
          <w:rFonts w:hint="eastAsia" w:eastAsia="宋体"/>
        </w:rPr>
        <w:t>7</w:t>
      </w:r>
      <w:r>
        <w:t>. Parameters of different materials in the packed columns.</w:t>
      </w:r>
      <w:bookmarkEnd w:id="141"/>
      <w:bookmarkEnd w:id="142"/>
    </w:p>
    <w:p/>
    <w:tbl>
      <w:tblPr>
        <w:tblStyle w:val="22"/>
        <w:tblpPr w:leftFromText="180" w:rightFromText="180" w:vertAnchor="text" w:horzAnchor="margin" w:tblpX="53" w:tblpY="130"/>
        <w:tblOverlap w:val="never"/>
        <w:tblW w:w="8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92"/>
        <w:gridCol w:w="993"/>
        <w:gridCol w:w="850"/>
        <w:gridCol w:w="142"/>
        <w:gridCol w:w="850"/>
        <w:gridCol w:w="709"/>
        <w:gridCol w:w="142"/>
        <w:gridCol w:w="1134"/>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09" w:type="dxa"/>
            <w:tcBorders>
              <w:top w:val="single" w:color="auto" w:sz="4" w:space="0"/>
              <w:left w:val="nil"/>
              <w:bottom w:val="nil"/>
              <w:right w:val="nil"/>
            </w:tcBorders>
            <w:vAlign w:val="center"/>
          </w:tcPr>
          <w:p>
            <w:pPr>
              <w:pStyle w:val="2"/>
              <w:jc w:val="center"/>
              <w:rPr>
                <w:b w:val="0"/>
                <w:bCs w:val="0"/>
                <w:sz w:val="21"/>
                <w:szCs w:val="21"/>
              </w:rPr>
            </w:pPr>
            <w:bookmarkStart w:id="143" w:name="_Toc4533"/>
            <w:bookmarkStart w:id="144" w:name="_Toc10625"/>
            <w:bookmarkStart w:id="145" w:name="_Toc127887819"/>
            <w:bookmarkStart w:id="146" w:name="_Toc15354"/>
            <w:bookmarkStart w:id="147" w:name="_Toc150263735"/>
            <w:bookmarkStart w:id="148" w:name="_Toc14617"/>
            <w:r>
              <w:rPr>
                <w:b w:val="0"/>
                <w:bCs w:val="0"/>
                <w:sz w:val="21"/>
                <w:szCs w:val="21"/>
              </w:rPr>
              <w:t>Samples</w:t>
            </w:r>
            <w:bookmarkEnd w:id="143"/>
            <w:bookmarkEnd w:id="144"/>
            <w:bookmarkEnd w:id="145"/>
            <w:bookmarkEnd w:id="146"/>
            <w:bookmarkEnd w:id="147"/>
            <w:bookmarkEnd w:id="148"/>
          </w:p>
        </w:tc>
        <w:tc>
          <w:tcPr>
            <w:tcW w:w="5812" w:type="dxa"/>
            <w:gridSpan w:val="8"/>
            <w:tcBorders>
              <w:top w:val="single" w:color="auto" w:sz="4" w:space="0"/>
              <w:left w:val="nil"/>
              <w:bottom w:val="single" w:color="auto" w:sz="4" w:space="0"/>
              <w:right w:val="nil"/>
            </w:tcBorders>
            <w:vAlign w:val="center"/>
          </w:tcPr>
          <w:p>
            <w:pPr>
              <w:pStyle w:val="2"/>
              <w:jc w:val="center"/>
              <w:rPr>
                <w:b w:val="0"/>
                <w:bCs w:val="0"/>
                <w:sz w:val="21"/>
                <w:szCs w:val="21"/>
              </w:rPr>
            </w:pPr>
            <w:bookmarkStart w:id="149" w:name="_Toc5583"/>
            <w:bookmarkStart w:id="150" w:name="_Toc23243"/>
            <w:bookmarkStart w:id="151" w:name="_Toc127887820"/>
            <w:bookmarkStart w:id="152" w:name="_Toc150263736"/>
            <w:bookmarkStart w:id="153" w:name="_Toc7814"/>
            <w:bookmarkStart w:id="154" w:name="_Toc22575"/>
            <w:r>
              <w:rPr>
                <w:rFonts w:eastAsia="宋体"/>
                <w:b w:val="0"/>
                <w:bCs w:val="0"/>
                <w:sz w:val="21"/>
                <w:szCs w:val="21"/>
              </w:rPr>
              <w:t>R</w:t>
            </w:r>
            <w:r>
              <w:rPr>
                <w:b w:val="0"/>
                <w:bCs w:val="0"/>
                <w:sz w:val="21"/>
                <w:szCs w:val="21"/>
              </w:rPr>
              <w:t xml:space="preserve">etention </w:t>
            </w:r>
            <w:r>
              <w:rPr>
                <w:rFonts w:eastAsia="宋体"/>
                <w:b w:val="0"/>
                <w:bCs w:val="0"/>
                <w:sz w:val="21"/>
                <w:szCs w:val="21"/>
              </w:rPr>
              <w:t>T</w:t>
            </w:r>
            <w:r>
              <w:rPr>
                <w:b w:val="0"/>
                <w:bCs w:val="0"/>
                <w:sz w:val="21"/>
                <w:szCs w:val="21"/>
              </w:rPr>
              <w:t>ime</w:t>
            </w:r>
            <w:r>
              <w:rPr>
                <w:rFonts w:eastAsia="宋体"/>
                <w:b w:val="0"/>
                <w:bCs w:val="0"/>
                <w:sz w:val="21"/>
                <w:szCs w:val="21"/>
              </w:rPr>
              <w:t xml:space="preserve"> </w:t>
            </w:r>
            <w:r>
              <w:rPr>
                <w:b w:val="0"/>
                <w:bCs w:val="0"/>
                <w:sz w:val="21"/>
                <w:szCs w:val="21"/>
              </w:rPr>
              <w:t>(min)</w:t>
            </w:r>
            <w:bookmarkEnd w:id="149"/>
            <w:bookmarkEnd w:id="150"/>
            <w:bookmarkEnd w:id="151"/>
            <w:bookmarkEnd w:id="152"/>
            <w:bookmarkEnd w:id="153"/>
            <w:bookmarkEnd w:id="154"/>
          </w:p>
        </w:tc>
        <w:tc>
          <w:tcPr>
            <w:tcW w:w="850" w:type="dxa"/>
            <w:vMerge w:val="restart"/>
            <w:tcBorders>
              <w:top w:val="single" w:color="auto" w:sz="4" w:space="0"/>
              <w:left w:val="nil"/>
              <w:bottom w:val="single" w:color="auto" w:sz="4" w:space="0"/>
              <w:right w:val="nil"/>
            </w:tcBorders>
            <w:vAlign w:val="center"/>
          </w:tcPr>
          <w:p>
            <w:pPr>
              <w:pStyle w:val="2"/>
              <w:jc w:val="center"/>
              <w:rPr>
                <w:rFonts w:eastAsia="宋体"/>
                <w:b w:val="0"/>
                <w:bCs w:val="0"/>
                <w:sz w:val="21"/>
                <w:szCs w:val="21"/>
                <w:vertAlign w:val="subscript"/>
              </w:rPr>
            </w:pPr>
            <w:bookmarkStart w:id="155" w:name="_Toc150263737"/>
            <w:bookmarkStart w:id="156" w:name="_Toc127887821"/>
            <w:bookmarkStart w:id="157" w:name="_Toc23230"/>
            <w:bookmarkStart w:id="158" w:name="_Toc24299"/>
            <w:bookmarkStart w:id="159" w:name="_Toc8649"/>
            <w:bookmarkStart w:id="160" w:name="_Toc9117"/>
            <w:r>
              <w:rPr>
                <w:b w:val="0"/>
                <w:bCs w:val="0"/>
                <w:sz w:val="21"/>
                <w:szCs w:val="21"/>
              </w:rPr>
              <w:t>P</w:t>
            </w:r>
            <w:r>
              <w:rPr>
                <w:b w:val="0"/>
                <w:bCs w:val="0"/>
                <w:sz w:val="21"/>
                <w:szCs w:val="21"/>
                <w:vertAlign w:val="subscript"/>
              </w:rPr>
              <w:t>1</w:t>
            </w:r>
            <w:bookmarkEnd w:id="155"/>
            <w:bookmarkEnd w:id="156"/>
          </w:p>
          <w:p>
            <w:pPr>
              <w:pStyle w:val="2"/>
              <w:jc w:val="center"/>
              <w:rPr>
                <w:b w:val="0"/>
                <w:bCs w:val="0"/>
                <w:sz w:val="21"/>
                <w:szCs w:val="21"/>
              </w:rPr>
            </w:pPr>
            <w:bookmarkStart w:id="161" w:name="_Toc127887822"/>
            <w:bookmarkStart w:id="162" w:name="_Toc150263738"/>
            <w:r>
              <w:rPr>
                <w:b w:val="0"/>
                <w:bCs w:val="0"/>
                <w:sz w:val="21"/>
                <w:szCs w:val="21"/>
              </w:rPr>
              <w:t>(KPa)</w:t>
            </w:r>
            <w:bookmarkEnd w:id="157"/>
            <w:bookmarkEnd w:id="158"/>
            <w:bookmarkEnd w:id="159"/>
            <w:bookmarkEnd w:id="160"/>
            <w:bookmarkEnd w:id="161"/>
            <w:bookmarkEnd w:id="162"/>
          </w:p>
        </w:tc>
        <w:tc>
          <w:tcPr>
            <w:tcW w:w="851" w:type="dxa"/>
            <w:vMerge w:val="restart"/>
            <w:tcBorders>
              <w:top w:val="single" w:color="auto" w:sz="4" w:space="0"/>
              <w:left w:val="nil"/>
              <w:bottom w:val="single" w:color="auto" w:sz="4" w:space="0"/>
              <w:right w:val="nil"/>
            </w:tcBorders>
            <w:vAlign w:val="center"/>
          </w:tcPr>
          <w:p>
            <w:pPr>
              <w:pStyle w:val="2"/>
              <w:jc w:val="center"/>
              <w:rPr>
                <w:b w:val="0"/>
                <w:bCs w:val="0"/>
                <w:sz w:val="21"/>
                <w:szCs w:val="21"/>
              </w:rPr>
            </w:pPr>
            <w:bookmarkStart w:id="163" w:name="_Toc150263739"/>
            <w:bookmarkStart w:id="164" w:name="_Toc127887823"/>
            <w:bookmarkStart w:id="165" w:name="_Toc15021"/>
            <w:bookmarkStart w:id="166" w:name="_Toc9010"/>
            <w:bookmarkStart w:id="167" w:name="_Toc26944"/>
            <w:bookmarkStart w:id="168" w:name="_Toc23933"/>
            <w:r>
              <w:rPr>
                <w:b w:val="0"/>
                <w:bCs w:val="0"/>
                <w:sz w:val="21"/>
                <w:szCs w:val="21"/>
              </w:rPr>
              <w:t>P</w:t>
            </w:r>
            <w:r>
              <w:rPr>
                <w:b w:val="0"/>
                <w:bCs w:val="0"/>
                <w:sz w:val="21"/>
                <w:szCs w:val="21"/>
                <w:vertAlign w:val="subscript"/>
              </w:rPr>
              <w:t>2</w:t>
            </w:r>
            <w:r>
              <w:rPr>
                <w:rFonts w:eastAsia="宋体"/>
                <w:b w:val="0"/>
                <w:bCs w:val="0"/>
                <w:sz w:val="21"/>
                <w:szCs w:val="21"/>
                <w:vertAlign w:val="subscript"/>
              </w:rPr>
              <w:t xml:space="preserve"> </w:t>
            </w:r>
            <w:r>
              <w:rPr>
                <w:b w:val="0"/>
                <w:bCs w:val="0"/>
                <w:sz w:val="21"/>
                <w:szCs w:val="21"/>
              </w:rPr>
              <w:t>(KPa)</w:t>
            </w:r>
            <w:bookmarkEnd w:id="163"/>
            <w:bookmarkEnd w:id="164"/>
            <w:bookmarkEnd w:id="165"/>
            <w:bookmarkEnd w:id="166"/>
            <w:bookmarkEnd w:id="167"/>
            <w:bookmarkEnd w:id="16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709" w:type="dxa"/>
            <w:vMerge w:val="restart"/>
            <w:tcBorders>
              <w:top w:val="nil"/>
              <w:left w:val="nil"/>
              <w:bottom w:val="nil"/>
              <w:right w:val="nil"/>
            </w:tcBorders>
            <w:vAlign w:val="center"/>
          </w:tcPr>
          <w:p>
            <w:pPr>
              <w:pStyle w:val="2"/>
              <w:jc w:val="center"/>
              <w:rPr>
                <w:sz w:val="21"/>
                <w:szCs w:val="21"/>
              </w:rPr>
            </w:pPr>
            <w:bookmarkStart w:id="169" w:name="_Toc6733"/>
            <w:bookmarkStart w:id="170" w:name="_Toc17726"/>
            <w:bookmarkStart w:id="171" w:name="_Toc7489"/>
            <w:bookmarkStart w:id="172" w:name="_Toc24787"/>
            <w:bookmarkStart w:id="173" w:name="_Toc127887830"/>
            <w:bookmarkStart w:id="174" w:name="_Toc150263740"/>
            <w:r>
              <w:rPr>
                <w:b w:val="0"/>
                <w:bCs w:val="0"/>
                <w:sz w:val="21"/>
                <w:szCs w:val="21"/>
              </w:rPr>
              <w:t>POF-E</w:t>
            </w:r>
            <w:bookmarkEnd w:id="169"/>
            <w:bookmarkEnd w:id="170"/>
            <w:bookmarkEnd w:id="171"/>
            <w:bookmarkEnd w:id="172"/>
            <w:r>
              <w:rPr>
                <w:b w:val="0"/>
                <w:bCs w:val="0"/>
                <w:sz w:val="21"/>
                <w:szCs w:val="21"/>
              </w:rPr>
              <w:t>T</w:t>
            </w:r>
            <w:bookmarkEnd w:id="173"/>
            <w:bookmarkEnd w:id="174"/>
          </w:p>
        </w:tc>
        <w:tc>
          <w:tcPr>
            <w:tcW w:w="992" w:type="dxa"/>
            <w:tcBorders>
              <w:top w:val="single" w:color="auto" w:sz="4" w:space="0"/>
              <w:left w:val="nil"/>
              <w:bottom w:val="nil"/>
              <w:right w:val="nil"/>
            </w:tcBorders>
            <w:vAlign w:val="center"/>
          </w:tcPr>
          <w:p>
            <w:pPr>
              <w:pStyle w:val="2"/>
              <w:jc w:val="center"/>
              <w:rPr>
                <w:b w:val="0"/>
                <w:bCs w:val="0"/>
                <w:sz w:val="21"/>
                <w:szCs w:val="21"/>
              </w:rPr>
            </w:pPr>
            <w:bookmarkStart w:id="175" w:name="_Toc150263741"/>
            <w:r>
              <w:rPr>
                <w:b w:val="0"/>
                <w:bCs w:val="0"/>
                <w:sz w:val="21"/>
                <w:szCs w:val="21"/>
              </w:rPr>
              <w:t>Hexane</w:t>
            </w:r>
            <w:bookmarkEnd w:id="175"/>
          </w:p>
        </w:tc>
        <w:tc>
          <w:tcPr>
            <w:tcW w:w="993" w:type="dxa"/>
            <w:tcBorders>
              <w:top w:val="single" w:color="auto" w:sz="4" w:space="0"/>
              <w:left w:val="nil"/>
              <w:bottom w:val="nil"/>
              <w:right w:val="nil"/>
            </w:tcBorders>
            <w:vAlign w:val="center"/>
          </w:tcPr>
          <w:p>
            <w:pPr>
              <w:pStyle w:val="2"/>
              <w:jc w:val="center"/>
              <w:rPr>
                <w:b w:val="0"/>
                <w:bCs w:val="0"/>
                <w:sz w:val="21"/>
                <w:szCs w:val="21"/>
              </w:rPr>
            </w:pPr>
            <w:bookmarkStart w:id="176" w:name="_Toc150263742"/>
            <w:r>
              <w:rPr>
                <w:b w:val="0"/>
                <w:bCs w:val="0"/>
                <w:sz w:val="21"/>
                <w:szCs w:val="21"/>
              </w:rPr>
              <w:t>Heptane</w:t>
            </w:r>
            <w:bookmarkEnd w:id="176"/>
          </w:p>
        </w:tc>
        <w:tc>
          <w:tcPr>
            <w:tcW w:w="992" w:type="dxa"/>
            <w:gridSpan w:val="2"/>
            <w:tcBorders>
              <w:top w:val="single" w:color="auto" w:sz="4" w:space="0"/>
              <w:left w:val="nil"/>
              <w:bottom w:val="nil"/>
              <w:right w:val="nil"/>
            </w:tcBorders>
            <w:vAlign w:val="center"/>
          </w:tcPr>
          <w:p>
            <w:pPr>
              <w:pStyle w:val="2"/>
              <w:jc w:val="center"/>
              <w:rPr>
                <w:b w:val="0"/>
                <w:bCs w:val="0"/>
                <w:sz w:val="21"/>
                <w:szCs w:val="21"/>
              </w:rPr>
            </w:pPr>
            <w:bookmarkStart w:id="177" w:name="_Toc150263743"/>
            <w:r>
              <w:rPr>
                <w:b w:val="0"/>
                <w:bCs w:val="0"/>
                <w:sz w:val="21"/>
                <w:szCs w:val="21"/>
              </w:rPr>
              <w:t>Octane</w:t>
            </w:r>
            <w:bookmarkEnd w:id="177"/>
          </w:p>
        </w:tc>
        <w:tc>
          <w:tcPr>
            <w:tcW w:w="1559" w:type="dxa"/>
            <w:gridSpan w:val="2"/>
            <w:tcBorders>
              <w:top w:val="single" w:color="auto" w:sz="4" w:space="0"/>
              <w:left w:val="nil"/>
              <w:bottom w:val="nil"/>
              <w:right w:val="nil"/>
            </w:tcBorders>
            <w:vAlign w:val="center"/>
          </w:tcPr>
          <w:p>
            <w:pPr>
              <w:pStyle w:val="2"/>
              <w:jc w:val="center"/>
              <w:rPr>
                <w:b w:val="0"/>
                <w:bCs w:val="0"/>
                <w:sz w:val="21"/>
                <w:szCs w:val="21"/>
              </w:rPr>
            </w:pPr>
            <w:bookmarkStart w:id="178" w:name="_Toc150263744"/>
            <w:r>
              <w:rPr>
                <w:b w:val="0"/>
                <w:bCs w:val="0"/>
                <w:sz w:val="21"/>
                <w:szCs w:val="21"/>
              </w:rPr>
              <w:t>Nonane</w:t>
            </w:r>
            <w:bookmarkEnd w:id="178"/>
          </w:p>
        </w:tc>
        <w:tc>
          <w:tcPr>
            <w:tcW w:w="1276" w:type="dxa"/>
            <w:gridSpan w:val="2"/>
            <w:tcBorders>
              <w:top w:val="single" w:color="auto" w:sz="4" w:space="0"/>
              <w:left w:val="nil"/>
              <w:bottom w:val="nil"/>
              <w:right w:val="nil"/>
            </w:tcBorders>
            <w:vAlign w:val="center"/>
          </w:tcPr>
          <w:p>
            <w:pPr>
              <w:pStyle w:val="2"/>
              <w:jc w:val="center"/>
              <w:rPr>
                <w:b w:val="0"/>
                <w:bCs w:val="0"/>
                <w:sz w:val="21"/>
                <w:szCs w:val="21"/>
              </w:rPr>
            </w:pPr>
            <w:bookmarkStart w:id="179" w:name="_Toc150263745"/>
            <w:r>
              <w:rPr>
                <w:b w:val="0"/>
                <w:bCs w:val="0"/>
                <w:sz w:val="21"/>
                <w:szCs w:val="21"/>
              </w:rPr>
              <w:t>CH</w:t>
            </w:r>
            <w:r>
              <w:rPr>
                <w:b w:val="0"/>
                <w:bCs w:val="0"/>
                <w:sz w:val="21"/>
                <w:szCs w:val="21"/>
                <w:vertAlign w:val="subscript"/>
              </w:rPr>
              <w:t>3</w:t>
            </w:r>
            <w:r>
              <w:rPr>
                <w:b w:val="0"/>
                <w:bCs w:val="0"/>
                <w:sz w:val="21"/>
                <w:szCs w:val="21"/>
              </w:rPr>
              <w:t>OH</w:t>
            </w:r>
            <w:bookmarkEnd w:id="179"/>
          </w:p>
        </w:tc>
        <w:tc>
          <w:tcPr>
            <w:tcW w:w="850" w:type="dxa"/>
            <w:vMerge w:val="continue"/>
            <w:tcBorders>
              <w:top w:val="single" w:color="auto" w:sz="4" w:space="0"/>
              <w:left w:val="nil"/>
              <w:bottom w:val="nil"/>
              <w:right w:val="nil"/>
            </w:tcBorders>
            <w:vAlign w:val="center"/>
          </w:tcPr>
          <w:p>
            <w:pPr>
              <w:pStyle w:val="2"/>
              <w:jc w:val="center"/>
              <w:rPr>
                <w:b w:val="0"/>
                <w:bCs w:val="0"/>
                <w:sz w:val="21"/>
                <w:szCs w:val="21"/>
              </w:rPr>
            </w:pPr>
          </w:p>
        </w:tc>
        <w:tc>
          <w:tcPr>
            <w:tcW w:w="851" w:type="dxa"/>
            <w:vMerge w:val="continue"/>
            <w:tcBorders>
              <w:top w:val="single" w:color="auto" w:sz="4" w:space="0"/>
              <w:left w:val="nil"/>
              <w:bottom w:val="nil"/>
              <w:right w:val="nil"/>
            </w:tcBorders>
            <w:vAlign w:val="center"/>
          </w:tcPr>
          <w:p>
            <w:pPr>
              <w:pStyle w:val="2"/>
              <w:jc w:val="center"/>
              <w:rPr>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09" w:type="dxa"/>
            <w:vMerge w:val="continue"/>
            <w:tcBorders>
              <w:top w:val="nil"/>
              <w:left w:val="nil"/>
              <w:bottom w:val="single" w:color="auto" w:sz="4" w:space="0"/>
              <w:right w:val="nil"/>
            </w:tcBorders>
            <w:vAlign w:val="center"/>
          </w:tcPr>
          <w:p>
            <w:pPr>
              <w:pStyle w:val="2"/>
              <w:jc w:val="center"/>
              <w:rPr>
                <w:b w:val="0"/>
                <w:bCs w:val="0"/>
                <w:sz w:val="21"/>
                <w:szCs w:val="21"/>
              </w:rPr>
            </w:pPr>
          </w:p>
        </w:tc>
        <w:tc>
          <w:tcPr>
            <w:tcW w:w="992" w:type="dxa"/>
            <w:tcBorders>
              <w:top w:val="nil"/>
              <w:left w:val="nil"/>
              <w:bottom w:val="single" w:color="auto" w:sz="4" w:space="0"/>
              <w:right w:val="nil"/>
            </w:tcBorders>
            <w:vAlign w:val="center"/>
          </w:tcPr>
          <w:p>
            <w:pPr>
              <w:pStyle w:val="2"/>
              <w:jc w:val="center"/>
              <w:rPr>
                <w:b w:val="0"/>
                <w:bCs w:val="0"/>
                <w:sz w:val="21"/>
                <w:szCs w:val="21"/>
              </w:rPr>
            </w:pPr>
            <w:bookmarkStart w:id="180" w:name="_Toc150263746"/>
            <w:bookmarkStart w:id="181" w:name="_Toc127887831"/>
            <w:bookmarkStart w:id="182" w:name="_Toc22361"/>
            <w:bookmarkStart w:id="183" w:name="_Toc28503"/>
            <w:r>
              <w:rPr>
                <w:b w:val="0"/>
                <w:bCs w:val="0"/>
                <w:sz w:val="21"/>
                <w:szCs w:val="21"/>
              </w:rPr>
              <w:t>0.082</w:t>
            </w:r>
            <w:bookmarkEnd w:id="180"/>
            <w:bookmarkEnd w:id="181"/>
            <w:bookmarkEnd w:id="182"/>
            <w:bookmarkEnd w:id="183"/>
          </w:p>
        </w:tc>
        <w:tc>
          <w:tcPr>
            <w:tcW w:w="993" w:type="dxa"/>
            <w:tcBorders>
              <w:top w:val="nil"/>
              <w:left w:val="nil"/>
              <w:bottom w:val="single" w:color="auto" w:sz="4" w:space="0"/>
              <w:right w:val="nil"/>
            </w:tcBorders>
            <w:vAlign w:val="center"/>
          </w:tcPr>
          <w:p>
            <w:pPr>
              <w:pStyle w:val="2"/>
              <w:jc w:val="center"/>
              <w:rPr>
                <w:b w:val="0"/>
                <w:bCs w:val="0"/>
                <w:sz w:val="21"/>
                <w:szCs w:val="21"/>
              </w:rPr>
            </w:pPr>
            <w:bookmarkStart w:id="184" w:name="_Toc16828"/>
            <w:bookmarkStart w:id="185" w:name="_Toc26076"/>
            <w:bookmarkStart w:id="186" w:name="_Toc127887832"/>
            <w:bookmarkStart w:id="187" w:name="_Toc150263747"/>
            <w:r>
              <w:rPr>
                <w:b w:val="0"/>
                <w:bCs w:val="0"/>
                <w:sz w:val="21"/>
                <w:szCs w:val="21"/>
              </w:rPr>
              <w:t>0.095</w:t>
            </w:r>
            <w:bookmarkEnd w:id="184"/>
            <w:bookmarkEnd w:id="185"/>
            <w:bookmarkEnd w:id="186"/>
            <w:bookmarkEnd w:id="187"/>
          </w:p>
        </w:tc>
        <w:tc>
          <w:tcPr>
            <w:tcW w:w="992" w:type="dxa"/>
            <w:gridSpan w:val="2"/>
            <w:tcBorders>
              <w:top w:val="nil"/>
              <w:left w:val="nil"/>
              <w:bottom w:val="single" w:color="auto" w:sz="4" w:space="0"/>
              <w:right w:val="nil"/>
            </w:tcBorders>
            <w:vAlign w:val="center"/>
          </w:tcPr>
          <w:p>
            <w:pPr>
              <w:pStyle w:val="2"/>
              <w:jc w:val="center"/>
              <w:rPr>
                <w:b w:val="0"/>
                <w:bCs w:val="0"/>
                <w:sz w:val="21"/>
                <w:szCs w:val="21"/>
              </w:rPr>
            </w:pPr>
            <w:bookmarkStart w:id="188" w:name="_Toc1487"/>
            <w:bookmarkStart w:id="189" w:name="_Toc127887833"/>
            <w:bookmarkStart w:id="190" w:name="_Toc2689"/>
            <w:bookmarkStart w:id="191" w:name="_Toc150263748"/>
            <w:r>
              <w:rPr>
                <w:b w:val="0"/>
                <w:bCs w:val="0"/>
                <w:sz w:val="21"/>
                <w:szCs w:val="21"/>
              </w:rPr>
              <w:t>0.122</w:t>
            </w:r>
            <w:bookmarkEnd w:id="188"/>
            <w:bookmarkEnd w:id="189"/>
            <w:bookmarkEnd w:id="190"/>
            <w:bookmarkEnd w:id="191"/>
          </w:p>
        </w:tc>
        <w:tc>
          <w:tcPr>
            <w:tcW w:w="1559" w:type="dxa"/>
            <w:gridSpan w:val="2"/>
            <w:tcBorders>
              <w:top w:val="nil"/>
              <w:left w:val="nil"/>
              <w:bottom w:val="single" w:color="auto" w:sz="4" w:space="0"/>
              <w:right w:val="nil"/>
            </w:tcBorders>
            <w:vAlign w:val="center"/>
          </w:tcPr>
          <w:p>
            <w:pPr>
              <w:pStyle w:val="2"/>
              <w:jc w:val="center"/>
              <w:rPr>
                <w:b w:val="0"/>
                <w:bCs w:val="0"/>
                <w:sz w:val="21"/>
                <w:szCs w:val="21"/>
              </w:rPr>
            </w:pPr>
            <w:bookmarkStart w:id="192" w:name="_Toc127887834"/>
            <w:bookmarkStart w:id="193" w:name="_Toc150263749"/>
            <w:bookmarkStart w:id="194" w:name="_Toc13730"/>
            <w:bookmarkStart w:id="195" w:name="_Toc25243"/>
            <w:r>
              <w:rPr>
                <w:b w:val="0"/>
                <w:bCs w:val="0"/>
                <w:sz w:val="21"/>
                <w:szCs w:val="21"/>
              </w:rPr>
              <w:t>0.161</w:t>
            </w:r>
            <w:bookmarkEnd w:id="192"/>
            <w:bookmarkEnd w:id="193"/>
            <w:bookmarkEnd w:id="194"/>
            <w:bookmarkEnd w:id="195"/>
            <w:bookmarkStart w:id="196" w:name="_Toc127887836"/>
            <w:bookmarkStart w:id="197" w:name="_Toc29762"/>
            <w:bookmarkStart w:id="198" w:name="_Toc7148"/>
          </w:p>
        </w:tc>
        <w:tc>
          <w:tcPr>
            <w:tcW w:w="1276" w:type="dxa"/>
            <w:gridSpan w:val="2"/>
            <w:tcBorders>
              <w:top w:val="nil"/>
              <w:left w:val="nil"/>
              <w:bottom w:val="single" w:color="auto" w:sz="4" w:space="0"/>
              <w:right w:val="nil"/>
            </w:tcBorders>
            <w:vAlign w:val="center"/>
          </w:tcPr>
          <w:p>
            <w:pPr>
              <w:pStyle w:val="2"/>
              <w:jc w:val="center"/>
              <w:rPr>
                <w:b w:val="0"/>
                <w:bCs w:val="0"/>
                <w:sz w:val="21"/>
                <w:szCs w:val="21"/>
              </w:rPr>
            </w:pPr>
            <w:bookmarkStart w:id="199" w:name="_Toc150263750"/>
            <w:r>
              <w:rPr>
                <w:b w:val="0"/>
                <w:bCs w:val="0"/>
                <w:sz w:val="21"/>
                <w:szCs w:val="21"/>
              </w:rPr>
              <w:t>0.074</w:t>
            </w:r>
            <w:bookmarkEnd w:id="196"/>
            <w:bookmarkEnd w:id="197"/>
            <w:bookmarkEnd w:id="198"/>
            <w:bookmarkEnd w:id="199"/>
          </w:p>
        </w:tc>
        <w:tc>
          <w:tcPr>
            <w:tcW w:w="850" w:type="dxa"/>
            <w:tcBorders>
              <w:top w:val="nil"/>
              <w:left w:val="nil"/>
              <w:bottom w:val="single" w:color="auto" w:sz="4" w:space="0"/>
              <w:right w:val="nil"/>
            </w:tcBorders>
            <w:vAlign w:val="center"/>
          </w:tcPr>
          <w:p>
            <w:pPr>
              <w:pStyle w:val="2"/>
              <w:jc w:val="center"/>
              <w:rPr>
                <w:b w:val="0"/>
                <w:bCs w:val="0"/>
                <w:sz w:val="21"/>
                <w:szCs w:val="21"/>
              </w:rPr>
            </w:pPr>
            <w:bookmarkStart w:id="200" w:name="_Toc127887837"/>
            <w:bookmarkStart w:id="201" w:name="_Toc150263751"/>
            <w:bookmarkStart w:id="202" w:name="_Toc27472"/>
            <w:bookmarkStart w:id="203" w:name="_Toc24749"/>
            <w:r>
              <w:rPr>
                <w:b w:val="0"/>
                <w:bCs w:val="0"/>
                <w:sz w:val="21"/>
                <w:szCs w:val="21"/>
              </w:rPr>
              <w:t>41.6</w:t>
            </w:r>
            <w:bookmarkEnd w:id="200"/>
            <w:bookmarkEnd w:id="201"/>
            <w:bookmarkEnd w:id="202"/>
            <w:bookmarkEnd w:id="203"/>
          </w:p>
        </w:tc>
        <w:tc>
          <w:tcPr>
            <w:tcW w:w="851" w:type="dxa"/>
            <w:tcBorders>
              <w:top w:val="nil"/>
              <w:left w:val="nil"/>
              <w:bottom w:val="single" w:color="auto" w:sz="4" w:space="0"/>
              <w:right w:val="nil"/>
            </w:tcBorders>
            <w:vAlign w:val="center"/>
          </w:tcPr>
          <w:p>
            <w:pPr>
              <w:pStyle w:val="2"/>
              <w:jc w:val="center"/>
              <w:rPr>
                <w:b w:val="0"/>
                <w:bCs w:val="0"/>
                <w:sz w:val="21"/>
                <w:szCs w:val="21"/>
              </w:rPr>
            </w:pPr>
            <w:bookmarkStart w:id="204" w:name="_Toc150263752"/>
            <w:bookmarkStart w:id="205" w:name="_Toc21838"/>
            <w:bookmarkStart w:id="206" w:name="_Toc13851"/>
            <w:bookmarkStart w:id="207" w:name="_Toc127887838"/>
            <w:r>
              <w:rPr>
                <w:b w:val="0"/>
                <w:bCs w:val="0"/>
                <w:sz w:val="21"/>
                <w:szCs w:val="21"/>
              </w:rPr>
              <w:t>27.4</w:t>
            </w:r>
            <w:bookmarkEnd w:id="204"/>
            <w:bookmarkEnd w:id="205"/>
            <w:bookmarkEnd w:id="206"/>
            <w:bookmarkEnd w:id="20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09" w:type="dxa"/>
            <w:vMerge w:val="restart"/>
            <w:tcBorders>
              <w:top w:val="single" w:color="auto" w:sz="4" w:space="0"/>
              <w:left w:val="nil"/>
              <w:bottom w:val="nil"/>
              <w:right w:val="nil"/>
            </w:tcBorders>
            <w:vAlign w:val="center"/>
          </w:tcPr>
          <w:p>
            <w:pPr>
              <w:pStyle w:val="2"/>
              <w:jc w:val="center"/>
              <w:rPr>
                <w:b w:val="0"/>
                <w:bCs w:val="0"/>
                <w:sz w:val="21"/>
                <w:szCs w:val="21"/>
              </w:rPr>
            </w:pPr>
            <w:bookmarkStart w:id="208" w:name="_Toc150263753"/>
            <w:bookmarkStart w:id="209" w:name="_Toc25412"/>
            <w:bookmarkStart w:id="210" w:name="_Toc28521"/>
            <w:bookmarkStart w:id="211" w:name="OLE_LINK38" w:colFirst="4" w:colLast="4"/>
            <w:bookmarkStart w:id="212" w:name="_Toc3808"/>
            <w:bookmarkStart w:id="213" w:name="_Toc127887839"/>
            <w:bookmarkStart w:id="214" w:name="_Toc18997"/>
            <w:r>
              <w:rPr>
                <w:b w:val="0"/>
                <w:bCs w:val="0"/>
                <w:sz w:val="21"/>
                <w:szCs w:val="21"/>
              </w:rPr>
              <w:t>POF-C=O</w:t>
            </w:r>
            <w:bookmarkEnd w:id="208"/>
          </w:p>
        </w:tc>
        <w:tc>
          <w:tcPr>
            <w:tcW w:w="992" w:type="dxa"/>
            <w:tcBorders>
              <w:top w:val="single" w:color="auto" w:sz="4" w:space="0"/>
              <w:left w:val="nil"/>
              <w:bottom w:val="nil"/>
              <w:right w:val="nil"/>
            </w:tcBorders>
            <w:vAlign w:val="center"/>
          </w:tcPr>
          <w:p>
            <w:pPr>
              <w:pStyle w:val="2"/>
              <w:jc w:val="center"/>
              <w:rPr>
                <w:b w:val="0"/>
                <w:bCs w:val="0"/>
                <w:sz w:val="21"/>
                <w:szCs w:val="21"/>
              </w:rPr>
            </w:pPr>
            <w:bookmarkStart w:id="215" w:name="_Toc150263754"/>
            <w:r>
              <w:rPr>
                <w:b w:val="0"/>
                <w:bCs w:val="0"/>
                <w:sz w:val="21"/>
                <w:szCs w:val="21"/>
              </w:rPr>
              <w:t>Octane</w:t>
            </w:r>
            <w:bookmarkEnd w:id="215"/>
          </w:p>
        </w:tc>
        <w:tc>
          <w:tcPr>
            <w:tcW w:w="993" w:type="dxa"/>
            <w:tcBorders>
              <w:top w:val="single" w:color="auto" w:sz="4" w:space="0"/>
              <w:left w:val="nil"/>
              <w:bottom w:val="nil"/>
              <w:right w:val="nil"/>
            </w:tcBorders>
            <w:vAlign w:val="center"/>
          </w:tcPr>
          <w:p>
            <w:pPr>
              <w:pStyle w:val="2"/>
              <w:jc w:val="center"/>
              <w:rPr>
                <w:b w:val="0"/>
                <w:bCs w:val="0"/>
                <w:sz w:val="21"/>
                <w:szCs w:val="21"/>
              </w:rPr>
            </w:pPr>
            <w:bookmarkStart w:id="216" w:name="_Toc150263755"/>
            <w:r>
              <w:rPr>
                <w:b w:val="0"/>
                <w:bCs w:val="0"/>
                <w:sz w:val="21"/>
                <w:szCs w:val="21"/>
              </w:rPr>
              <w:t>Nonane</w:t>
            </w:r>
            <w:bookmarkEnd w:id="216"/>
          </w:p>
        </w:tc>
        <w:tc>
          <w:tcPr>
            <w:tcW w:w="992" w:type="dxa"/>
            <w:gridSpan w:val="2"/>
            <w:tcBorders>
              <w:top w:val="single" w:color="auto" w:sz="4" w:space="0"/>
              <w:left w:val="nil"/>
              <w:bottom w:val="nil"/>
              <w:right w:val="nil"/>
            </w:tcBorders>
            <w:vAlign w:val="center"/>
          </w:tcPr>
          <w:p>
            <w:pPr>
              <w:pStyle w:val="2"/>
              <w:jc w:val="center"/>
              <w:rPr>
                <w:b w:val="0"/>
                <w:bCs w:val="0"/>
                <w:sz w:val="21"/>
                <w:szCs w:val="21"/>
              </w:rPr>
            </w:pPr>
            <w:bookmarkStart w:id="217" w:name="_Toc150263756"/>
            <w:r>
              <w:rPr>
                <w:b w:val="0"/>
                <w:bCs w:val="0"/>
                <w:sz w:val="21"/>
                <w:szCs w:val="21"/>
              </w:rPr>
              <w:t>Decane</w:t>
            </w:r>
            <w:bookmarkEnd w:id="217"/>
          </w:p>
        </w:tc>
        <w:tc>
          <w:tcPr>
            <w:tcW w:w="1559" w:type="dxa"/>
            <w:gridSpan w:val="2"/>
            <w:tcBorders>
              <w:top w:val="single" w:color="auto" w:sz="4" w:space="0"/>
              <w:left w:val="nil"/>
              <w:bottom w:val="nil"/>
              <w:right w:val="nil"/>
            </w:tcBorders>
            <w:vAlign w:val="center"/>
          </w:tcPr>
          <w:p>
            <w:pPr>
              <w:pStyle w:val="2"/>
              <w:jc w:val="center"/>
              <w:rPr>
                <w:b w:val="0"/>
                <w:bCs w:val="0"/>
                <w:sz w:val="21"/>
                <w:szCs w:val="21"/>
              </w:rPr>
            </w:pPr>
            <w:bookmarkStart w:id="218" w:name="_Toc150263757"/>
            <w:r>
              <w:rPr>
                <w:b w:val="0"/>
                <w:bCs w:val="0"/>
                <w:sz w:val="21"/>
                <w:szCs w:val="21"/>
              </w:rPr>
              <w:t>Hendecane</w:t>
            </w:r>
            <w:bookmarkEnd w:id="218"/>
          </w:p>
        </w:tc>
        <w:tc>
          <w:tcPr>
            <w:tcW w:w="1276" w:type="dxa"/>
            <w:gridSpan w:val="2"/>
            <w:tcBorders>
              <w:top w:val="single" w:color="auto" w:sz="4" w:space="0"/>
              <w:left w:val="nil"/>
              <w:bottom w:val="nil"/>
              <w:right w:val="nil"/>
            </w:tcBorders>
            <w:vAlign w:val="center"/>
          </w:tcPr>
          <w:p>
            <w:pPr>
              <w:pStyle w:val="2"/>
              <w:jc w:val="center"/>
              <w:rPr>
                <w:b w:val="0"/>
                <w:bCs w:val="0"/>
                <w:sz w:val="21"/>
                <w:szCs w:val="21"/>
              </w:rPr>
            </w:pPr>
            <w:bookmarkStart w:id="219" w:name="_Toc150263758"/>
            <w:r>
              <w:rPr>
                <w:b w:val="0"/>
                <w:bCs w:val="0"/>
                <w:sz w:val="21"/>
                <w:szCs w:val="21"/>
              </w:rPr>
              <w:t>CH</w:t>
            </w:r>
            <w:r>
              <w:rPr>
                <w:b w:val="0"/>
                <w:bCs w:val="0"/>
                <w:sz w:val="21"/>
                <w:szCs w:val="21"/>
                <w:vertAlign w:val="subscript"/>
              </w:rPr>
              <w:t>3</w:t>
            </w:r>
            <w:r>
              <w:rPr>
                <w:b w:val="0"/>
                <w:bCs w:val="0"/>
                <w:sz w:val="21"/>
                <w:szCs w:val="21"/>
              </w:rPr>
              <w:t>OH</w:t>
            </w:r>
            <w:bookmarkEnd w:id="219"/>
          </w:p>
        </w:tc>
        <w:tc>
          <w:tcPr>
            <w:tcW w:w="850" w:type="dxa"/>
            <w:tcBorders>
              <w:top w:val="single" w:color="auto" w:sz="4" w:space="0"/>
              <w:left w:val="nil"/>
              <w:bottom w:val="nil"/>
              <w:right w:val="nil"/>
            </w:tcBorders>
            <w:vAlign w:val="center"/>
          </w:tcPr>
          <w:p>
            <w:pPr>
              <w:pStyle w:val="2"/>
              <w:jc w:val="center"/>
              <w:rPr>
                <w:rFonts w:eastAsia="宋体"/>
                <w:b w:val="0"/>
                <w:bCs w:val="0"/>
                <w:sz w:val="21"/>
                <w:szCs w:val="21"/>
                <w:vertAlign w:val="subscript"/>
              </w:rPr>
            </w:pPr>
            <w:bookmarkStart w:id="220" w:name="_Toc150263759"/>
            <w:r>
              <w:rPr>
                <w:b w:val="0"/>
                <w:bCs w:val="0"/>
                <w:sz w:val="21"/>
                <w:szCs w:val="21"/>
              </w:rPr>
              <w:t>P</w:t>
            </w:r>
            <w:r>
              <w:rPr>
                <w:b w:val="0"/>
                <w:bCs w:val="0"/>
                <w:sz w:val="21"/>
                <w:szCs w:val="21"/>
                <w:vertAlign w:val="subscript"/>
              </w:rPr>
              <w:t>1</w:t>
            </w:r>
            <w:bookmarkEnd w:id="220"/>
          </w:p>
          <w:p>
            <w:pPr>
              <w:pStyle w:val="2"/>
              <w:jc w:val="center"/>
              <w:rPr>
                <w:b w:val="0"/>
                <w:bCs w:val="0"/>
                <w:sz w:val="21"/>
                <w:szCs w:val="21"/>
              </w:rPr>
            </w:pPr>
            <w:bookmarkStart w:id="221" w:name="_Toc150263760"/>
            <w:r>
              <w:rPr>
                <w:b w:val="0"/>
                <w:bCs w:val="0"/>
                <w:sz w:val="21"/>
                <w:szCs w:val="21"/>
              </w:rPr>
              <w:t>(KPa)</w:t>
            </w:r>
            <w:bookmarkEnd w:id="221"/>
          </w:p>
        </w:tc>
        <w:tc>
          <w:tcPr>
            <w:tcW w:w="851" w:type="dxa"/>
            <w:tcBorders>
              <w:top w:val="single" w:color="auto" w:sz="4" w:space="0"/>
              <w:left w:val="nil"/>
              <w:bottom w:val="nil"/>
              <w:right w:val="nil"/>
            </w:tcBorders>
            <w:vAlign w:val="center"/>
          </w:tcPr>
          <w:p>
            <w:pPr>
              <w:pStyle w:val="2"/>
              <w:jc w:val="center"/>
              <w:rPr>
                <w:b w:val="0"/>
                <w:bCs w:val="0"/>
                <w:sz w:val="21"/>
                <w:szCs w:val="21"/>
              </w:rPr>
            </w:pPr>
            <w:bookmarkStart w:id="222" w:name="_Toc150263761"/>
            <w:r>
              <w:rPr>
                <w:b w:val="0"/>
                <w:bCs w:val="0"/>
                <w:sz w:val="21"/>
                <w:szCs w:val="21"/>
              </w:rPr>
              <w:t>P</w:t>
            </w:r>
            <w:r>
              <w:rPr>
                <w:b w:val="0"/>
                <w:bCs w:val="0"/>
                <w:sz w:val="21"/>
                <w:szCs w:val="21"/>
                <w:vertAlign w:val="subscript"/>
              </w:rPr>
              <w:t>2</w:t>
            </w:r>
            <w:r>
              <w:rPr>
                <w:rFonts w:eastAsia="宋体"/>
                <w:b w:val="0"/>
                <w:bCs w:val="0"/>
                <w:sz w:val="21"/>
                <w:szCs w:val="21"/>
                <w:vertAlign w:val="subscript"/>
              </w:rPr>
              <w:t xml:space="preserve"> </w:t>
            </w:r>
            <w:r>
              <w:rPr>
                <w:b w:val="0"/>
                <w:bCs w:val="0"/>
                <w:sz w:val="21"/>
                <w:szCs w:val="21"/>
              </w:rPr>
              <w:t>(KPa)</w:t>
            </w:r>
            <w:bookmarkEnd w:id="222"/>
          </w:p>
        </w:tc>
      </w:tr>
      <w:bookmarkEnd w:id="209"/>
      <w:bookmarkEnd w:id="210"/>
      <w:bookmarkEnd w:id="211"/>
      <w:bookmarkEnd w:id="212"/>
      <w:bookmarkEnd w:id="213"/>
      <w:bookmarkEnd w:id="2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709" w:type="dxa"/>
            <w:vMerge w:val="continue"/>
            <w:tcBorders>
              <w:top w:val="nil"/>
              <w:left w:val="nil"/>
              <w:bottom w:val="single" w:color="auto" w:sz="4" w:space="0"/>
              <w:right w:val="nil"/>
            </w:tcBorders>
            <w:vAlign w:val="center"/>
          </w:tcPr>
          <w:p>
            <w:pPr>
              <w:pStyle w:val="2"/>
              <w:jc w:val="center"/>
              <w:rPr>
                <w:b w:val="0"/>
                <w:bCs w:val="0"/>
                <w:sz w:val="21"/>
                <w:szCs w:val="21"/>
              </w:rPr>
            </w:pPr>
          </w:p>
        </w:tc>
        <w:tc>
          <w:tcPr>
            <w:tcW w:w="992" w:type="dxa"/>
            <w:tcBorders>
              <w:top w:val="nil"/>
              <w:left w:val="nil"/>
              <w:bottom w:val="single" w:color="auto" w:sz="4" w:space="0"/>
              <w:right w:val="nil"/>
            </w:tcBorders>
            <w:vAlign w:val="center"/>
          </w:tcPr>
          <w:p>
            <w:pPr>
              <w:pStyle w:val="2"/>
              <w:jc w:val="center"/>
              <w:rPr>
                <w:b w:val="0"/>
                <w:bCs w:val="0"/>
                <w:sz w:val="21"/>
                <w:szCs w:val="21"/>
              </w:rPr>
            </w:pPr>
            <w:bookmarkStart w:id="223" w:name="_Toc150263762"/>
            <w:r>
              <w:rPr>
                <w:b w:val="0"/>
                <w:bCs w:val="0"/>
                <w:sz w:val="21"/>
                <w:szCs w:val="21"/>
              </w:rPr>
              <w:t>0.837</w:t>
            </w:r>
            <w:bookmarkEnd w:id="223"/>
          </w:p>
        </w:tc>
        <w:tc>
          <w:tcPr>
            <w:tcW w:w="993" w:type="dxa"/>
            <w:tcBorders>
              <w:top w:val="nil"/>
              <w:left w:val="nil"/>
              <w:bottom w:val="single" w:color="auto" w:sz="4" w:space="0"/>
              <w:right w:val="nil"/>
            </w:tcBorders>
            <w:vAlign w:val="center"/>
          </w:tcPr>
          <w:p>
            <w:pPr>
              <w:pStyle w:val="2"/>
              <w:jc w:val="center"/>
              <w:rPr>
                <w:b w:val="0"/>
                <w:bCs w:val="0"/>
                <w:sz w:val="21"/>
                <w:szCs w:val="21"/>
              </w:rPr>
            </w:pPr>
            <w:bookmarkStart w:id="224" w:name="_Toc150263763"/>
            <w:r>
              <w:rPr>
                <w:b w:val="0"/>
                <w:bCs w:val="0"/>
                <w:sz w:val="21"/>
                <w:szCs w:val="21"/>
              </w:rPr>
              <w:t>0.897</w:t>
            </w:r>
            <w:bookmarkEnd w:id="224"/>
          </w:p>
        </w:tc>
        <w:tc>
          <w:tcPr>
            <w:tcW w:w="992" w:type="dxa"/>
            <w:gridSpan w:val="2"/>
            <w:tcBorders>
              <w:top w:val="nil"/>
              <w:left w:val="nil"/>
              <w:bottom w:val="single" w:color="auto" w:sz="4" w:space="0"/>
              <w:right w:val="nil"/>
            </w:tcBorders>
            <w:vAlign w:val="center"/>
          </w:tcPr>
          <w:p>
            <w:pPr>
              <w:pStyle w:val="2"/>
              <w:jc w:val="center"/>
              <w:rPr>
                <w:b w:val="0"/>
                <w:bCs w:val="0"/>
                <w:sz w:val="21"/>
                <w:szCs w:val="21"/>
              </w:rPr>
            </w:pPr>
            <w:bookmarkStart w:id="225" w:name="_Toc150263764"/>
            <w:r>
              <w:rPr>
                <w:b w:val="0"/>
                <w:bCs w:val="0"/>
                <w:sz w:val="21"/>
                <w:szCs w:val="21"/>
              </w:rPr>
              <w:t>0.945</w:t>
            </w:r>
            <w:bookmarkEnd w:id="225"/>
          </w:p>
        </w:tc>
        <w:tc>
          <w:tcPr>
            <w:tcW w:w="1559" w:type="dxa"/>
            <w:gridSpan w:val="2"/>
            <w:tcBorders>
              <w:top w:val="nil"/>
              <w:left w:val="nil"/>
              <w:bottom w:val="single" w:color="auto" w:sz="4" w:space="0"/>
              <w:right w:val="nil"/>
            </w:tcBorders>
            <w:vAlign w:val="center"/>
          </w:tcPr>
          <w:p>
            <w:pPr>
              <w:pStyle w:val="2"/>
              <w:jc w:val="center"/>
              <w:rPr>
                <w:b w:val="0"/>
                <w:bCs w:val="0"/>
                <w:sz w:val="21"/>
                <w:szCs w:val="21"/>
              </w:rPr>
            </w:pPr>
            <w:bookmarkStart w:id="226" w:name="_Toc150263765"/>
            <w:bookmarkStart w:id="227" w:name="_Toc14078"/>
            <w:bookmarkStart w:id="228" w:name="_Toc8208"/>
            <w:bookmarkStart w:id="229" w:name="_Toc127887845"/>
            <w:r>
              <w:rPr>
                <w:b w:val="0"/>
                <w:bCs w:val="0"/>
                <w:sz w:val="21"/>
                <w:szCs w:val="21"/>
              </w:rPr>
              <w:t>1.016</w:t>
            </w:r>
            <w:bookmarkEnd w:id="226"/>
          </w:p>
          <w:bookmarkEnd w:id="227"/>
          <w:bookmarkEnd w:id="228"/>
          <w:bookmarkEnd w:id="229"/>
        </w:tc>
        <w:tc>
          <w:tcPr>
            <w:tcW w:w="1276" w:type="dxa"/>
            <w:gridSpan w:val="2"/>
            <w:tcBorders>
              <w:top w:val="nil"/>
              <w:left w:val="nil"/>
              <w:bottom w:val="single" w:color="auto" w:sz="4" w:space="0"/>
              <w:right w:val="nil"/>
            </w:tcBorders>
            <w:vAlign w:val="center"/>
          </w:tcPr>
          <w:p>
            <w:pPr>
              <w:widowControl/>
              <w:jc w:val="center"/>
              <w:textAlignment w:val="center"/>
              <w:rPr>
                <w:rFonts w:eastAsia="宋体" w:cs="Times New Roman"/>
                <w:color w:val="000000"/>
                <w:sz w:val="21"/>
                <w:szCs w:val="21"/>
              </w:rPr>
            </w:pPr>
            <w:r>
              <w:rPr>
                <w:rFonts w:eastAsia="宋体" w:cs="Times New Roman"/>
                <w:color w:val="000000"/>
                <w:kern w:val="0"/>
                <w:sz w:val="21"/>
                <w:szCs w:val="21"/>
                <w:lang w:bidi="ar"/>
              </w:rPr>
              <w:t>0.797</w:t>
            </w:r>
          </w:p>
        </w:tc>
        <w:tc>
          <w:tcPr>
            <w:tcW w:w="850" w:type="dxa"/>
            <w:tcBorders>
              <w:top w:val="nil"/>
              <w:left w:val="nil"/>
              <w:bottom w:val="single" w:color="auto" w:sz="4" w:space="0"/>
              <w:right w:val="nil"/>
            </w:tcBorders>
            <w:vAlign w:val="center"/>
          </w:tcPr>
          <w:p>
            <w:pPr>
              <w:widowControl/>
              <w:jc w:val="center"/>
              <w:textAlignment w:val="center"/>
              <w:rPr>
                <w:rFonts w:cs="Times New Roman" w:eastAsiaTheme="minorEastAsia"/>
                <w:sz w:val="21"/>
                <w:szCs w:val="21"/>
              </w:rPr>
            </w:pPr>
            <w:r>
              <w:rPr>
                <w:rFonts w:eastAsia="宋体" w:cs="Times New Roman"/>
                <w:color w:val="000000"/>
                <w:kern w:val="0"/>
                <w:sz w:val="21"/>
                <w:szCs w:val="21"/>
                <w:lang w:bidi="ar"/>
              </w:rPr>
              <w:t>57.6</w:t>
            </w:r>
          </w:p>
        </w:tc>
        <w:tc>
          <w:tcPr>
            <w:tcW w:w="851" w:type="dxa"/>
            <w:tcBorders>
              <w:top w:val="nil"/>
              <w:left w:val="nil"/>
              <w:bottom w:val="single" w:color="auto" w:sz="4" w:space="0"/>
              <w:right w:val="nil"/>
            </w:tcBorders>
            <w:vAlign w:val="center"/>
          </w:tcPr>
          <w:p>
            <w:pPr>
              <w:widowControl/>
              <w:jc w:val="center"/>
              <w:textAlignment w:val="center"/>
              <w:rPr>
                <w:rFonts w:cs="Times New Roman" w:eastAsiaTheme="minorEastAsia"/>
                <w:sz w:val="21"/>
                <w:szCs w:val="21"/>
              </w:rPr>
            </w:pPr>
            <w:r>
              <w:rPr>
                <w:rFonts w:eastAsia="宋体" w:cs="Times New Roman"/>
                <w:color w:val="000000"/>
                <w:kern w:val="0"/>
                <w:sz w:val="21"/>
                <w:szCs w:val="21"/>
                <w:lang w:bidi="ar"/>
              </w:rPr>
              <w:t>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09" w:type="dxa"/>
            <w:vMerge w:val="restart"/>
            <w:tcBorders>
              <w:top w:val="single" w:color="auto" w:sz="4" w:space="0"/>
              <w:left w:val="nil"/>
              <w:bottom w:val="nil"/>
              <w:right w:val="nil"/>
            </w:tcBorders>
            <w:vAlign w:val="center"/>
          </w:tcPr>
          <w:p>
            <w:pPr>
              <w:pStyle w:val="2"/>
              <w:jc w:val="center"/>
              <w:rPr>
                <w:b w:val="0"/>
                <w:bCs w:val="0"/>
                <w:sz w:val="21"/>
                <w:szCs w:val="21"/>
              </w:rPr>
            </w:pPr>
            <w:bookmarkStart w:id="230" w:name="_Toc150263766"/>
            <w:bookmarkStart w:id="231" w:name="OLE_LINK33" w:colFirst="0" w:colLast="0"/>
            <w:r>
              <w:rPr>
                <w:b w:val="0"/>
                <w:bCs w:val="0"/>
                <w:sz w:val="21"/>
                <w:szCs w:val="21"/>
              </w:rPr>
              <w:t>POF-S=O</w:t>
            </w:r>
            <w:bookmarkEnd w:id="230"/>
          </w:p>
        </w:tc>
        <w:tc>
          <w:tcPr>
            <w:tcW w:w="992" w:type="dxa"/>
            <w:tcBorders>
              <w:top w:val="single" w:color="auto" w:sz="4" w:space="0"/>
              <w:left w:val="nil"/>
              <w:bottom w:val="nil"/>
              <w:right w:val="nil"/>
            </w:tcBorders>
            <w:vAlign w:val="center"/>
          </w:tcPr>
          <w:p>
            <w:pPr>
              <w:pStyle w:val="2"/>
              <w:jc w:val="center"/>
              <w:rPr>
                <w:b w:val="0"/>
                <w:bCs w:val="0"/>
                <w:sz w:val="21"/>
                <w:szCs w:val="21"/>
              </w:rPr>
            </w:pPr>
            <w:bookmarkStart w:id="232" w:name="_Toc150263767"/>
            <w:r>
              <w:rPr>
                <w:b w:val="0"/>
                <w:bCs w:val="0"/>
                <w:sz w:val="21"/>
                <w:szCs w:val="21"/>
              </w:rPr>
              <w:t>Heptane</w:t>
            </w:r>
            <w:bookmarkEnd w:id="232"/>
          </w:p>
        </w:tc>
        <w:tc>
          <w:tcPr>
            <w:tcW w:w="993" w:type="dxa"/>
            <w:tcBorders>
              <w:top w:val="single" w:color="auto" w:sz="4" w:space="0"/>
              <w:left w:val="nil"/>
              <w:bottom w:val="nil"/>
              <w:right w:val="nil"/>
            </w:tcBorders>
            <w:vAlign w:val="center"/>
          </w:tcPr>
          <w:p>
            <w:pPr>
              <w:pStyle w:val="2"/>
              <w:jc w:val="center"/>
              <w:rPr>
                <w:b w:val="0"/>
                <w:bCs w:val="0"/>
                <w:sz w:val="21"/>
                <w:szCs w:val="21"/>
              </w:rPr>
            </w:pPr>
            <w:bookmarkStart w:id="233" w:name="_Toc150263768"/>
            <w:r>
              <w:rPr>
                <w:b w:val="0"/>
                <w:bCs w:val="0"/>
                <w:sz w:val="21"/>
                <w:szCs w:val="21"/>
              </w:rPr>
              <w:t>Octane</w:t>
            </w:r>
            <w:bookmarkEnd w:id="233"/>
          </w:p>
        </w:tc>
        <w:tc>
          <w:tcPr>
            <w:tcW w:w="992" w:type="dxa"/>
            <w:gridSpan w:val="2"/>
            <w:tcBorders>
              <w:top w:val="single" w:color="auto" w:sz="4" w:space="0"/>
              <w:left w:val="nil"/>
              <w:bottom w:val="nil"/>
              <w:right w:val="nil"/>
            </w:tcBorders>
            <w:vAlign w:val="center"/>
          </w:tcPr>
          <w:p>
            <w:pPr>
              <w:pStyle w:val="2"/>
              <w:jc w:val="center"/>
              <w:rPr>
                <w:b w:val="0"/>
                <w:bCs w:val="0"/>
                <w:sz w:val="21"/>
                <w:szCs w:val="21"/>
              </w:rPr>
            </w:pPr>
            <w:bookmarkStart w:id="234" w:name="_Toc150263769"/>
            <w:r>
              <w:rPr>
                <w:b w:val="0"/>
                <w:bCs w:val="0"/>
                <w:sz w:val="21"/>
                <w:szCs w:val="21"/>
              </w:rPr>
              <w:t>Nonane</w:t>
            </w:r>
            <w:bookmarkEnd w:id="234"/>
          </w:p>
        </w:tc>
        <w:tc>
          <w:tcPr>
            <w:tcW w:w="1559" w:type="dxa"/>
            <w:gridSpan w:val="2"/>
            <w:tcBorders>
              <w:top w:val="single" w:color="auto" w:sz="4" w:space="0"/>
              <w:left w:val="nil"/>
              <w:bottom w:val="nil"/>
              <w:right w:val="nil"/>
            </w:tcBorders>
            <w:vAlign w:val="center"/>
          </w:tcPr>
          <w:p>
            <w:pPr>
              <w:pStyle w:val="2"/>
              <w:jc w:val="center"/>
              <w:rPr>
                <w:b w:val="0"/>
                <w:bCs w:val="0"/>
                <w:sz w:val="21"/>
                <w:szCs w:val="21"/>
              </w:rPr>
            </w:pPr>
            <w:bookmarkStart w:id="235" w:name="_Toc150263770"/>
            <w:r>
              <w:rPr>
                <w:b w:val="0"/>
                <w:bCs w:val="0"/>
                <w:sz w:val="21"/>
                <w:szCs w:val="21"/>
              </w:rPr>
              <w:t>Decane</w:t>
            </w:r>
            <w:bookmarkEnd w:id="235"/>
          </w:p>
        </w:tc>
        <w:tc>
          <w:tcPr>
            <w:tcW w:w="1276" w:type="dxa"/>
            <w:gridSpan w:val="2"/>
            <w:tcBorders>
              <w:top w:val="single" w:color="auto" w:sz="4" w:space="0"/>
              <w:left w:val="nil"/>
              <w:bottom w:val="nil"/>
              <w:right w:val="nil"/>
            </w:tcBorders>
            <w:vAlign w:val="center"/>
          </w:tcPr>
          <w:p>
            <w:pPr>
              <w:pStyle w:val="2"/>
              <w:jc w:val="center"/>
              <w:rPr>
                <w:b w:val="0"/>
                <w:bCs w:val="0"/>
                <w:sz w:val="21"/>
                <w:szCs w:val="21"/>
              </w:rPr>
            </w:pPr>
            <w:bookmarkStart w:id="236" w:name="_Toc150263771"/>
            <w:r>
              <w:rPr>
                <w:b w:val="0"/>
                <w:bCs w:val="0"/>
                <w:sz w:val="21"/>
                <w:szCs w:val="21"/>
              </w:rPr>
              <w:t>CH</w:t>
            </w:r>
            <w:r>
              <w:rPr>
                <w:b w:val="0"/>
                <w:bCs w:val="0"/>
                <w:sz w:val="21"/>
                <w:szCs w:val="21"/>
                <w:vertAlign w:val="subscript"/>
              </w:rPr>
              <w:t>3</w:t>
            </w:r>
            <w:r>
              <w:rPr>
                <w:b w:val="0"/>
                <w:bCs w:val="0"/>
                <w:sz w:val="21"/>
                <w:szCs w:val="21"/>
              </w:rPr>
              <w:t>OH</w:t>
            </w:r>
            <w:bookmarkEnd w:id="236"/>
          </w:p>
        </w:tc>
        <w:tc>
          <w:tcPr>
            <w:tcW w:w="850" w:type="dxa"/>
            <w:tcBorders>
              <w:top w:val="single" w:color="auto" w:sz="4" w:space="0"/>
              <w:left w:val="nil"/>
              <w:bottom w:val="nil"/>
              <w:right w:val="nil"/>
            </w:tcBorders>
            <w:vAlign w:val="center"/>
          </w:tcPr>
          <w:p>
            <w:pPr>
              <w:pStyle w:val="2"/>
              <w:jc w:val="center"/>
              <w:rPr>
                <w:rFonts w:eastAsia="宋体"/>
                <w:b w:val="0"/>
                <w:bCs w:val="0"/>
                <w:sz w:val="21"/>
                <w:szCs w:val="21"/>
                <w:vertAlign w:val="subscript"/>
              </w:rPr>
            </w:pPr>
            <w:bookmarkStart w:id="237" w:name="_Toc150263772"/>
            <w:r>
              <w:rPr>
                <w:b w:val="0"/>
                <w:bCs w:val="0"/>
                <w:sz w:val="21"/>
                <w:szCs w:val="21"/>
              </w:rPr>
              <w:t>P</w:t>
            </w:r>
            <w:r>
              <w:rPr>
                <w:b w:val="0"/>
                <w:bCs w:val="0"/>
                <w:sz w:val="21"/>
                <w:szCs w:val="21"/>
                <w:vertAlign w:val="subscript"/>
              </w:rPr>
              <w:t>1</w:t>
            </w:r>
            <w:bookmarkEnd w:id="237"/>
          </w:p>
          <w:p>
            <w:pPr>
              <w:pStyle w:val="2"/>
              <w:jc w:val="center"/>
              <w:rPr>
                <w:b w:val="0"/>
                <w:bCs w:val="0"/>
                <w:sz w:val="21"/>
                <w:szCs w:val="21"/>
              </w:rPr>
            </w:pPr>
            <w:bookmarkStart w:id="238" w:name="_Toc150263773"/>
            <w:r>
              <w:rPr>
                <w:b w:val="0"/>
                <w:bCs w:val="0"/>
                <w:sz w:val="21"/>
                <w:szCs w:val="21"/>
              </w:rPr>
              <w:t>(KPa)</w:t>
            </w:r>
            <w:bookmarkEnd w:id="238"/>
          </w:p>
        </w:tc>
        <w:tc>
          <w:tcPr>
            <w:tcW w:w="851" w:type="dxa"/>
            <w:tcBorders>
              <w:top w:val="single" w:color="auto" w:sz="4" w:space="0"/>
              <w:left w:val="nil"/>
              <w:bottom w:val="nil"/>
              <w:right w:val="nil"/>
            </w:tcBorders>
            <w:vAlign w:val="center"/>
          </w:tcPr>
          <w:p>
            <w:pPr>
              <w:pStyle w:val="2"/>
              <w:jc w:val="center"/>
              <w:rPr>
                <w:b w:val="0"/>
                <w:bCs w:val="0"/>
                <w:sz w:val="21"/>
                <w:szCs w:val="21"/>
              </w:rPr>
            </w:pPr>
            <w:bookmarkStart w:id="239" w:name="_Toc150263774"/>
            <w:r>
              <w:rPr>
                <w:b w:val="0"/>
                <w:bCs w:val="0"/>
                <w:sz w:val="21"/>
                <w:szCs w:val="21"/>
              </w:rPr>
              <w:t>P</w:t>
            </w:r>
            <w:r>
              <w:rPr>
                <w:b w:val="0"/>
                <w:bCs w:val="0"/>
                <w:sz w:val="21"/>
                <w:szCs w:val="21"/>
                <w:vertAlign w:val="subscript"/>
              </w:rPr>
              <w:t>2</w:t>
            </w:r>
            <w:r>
              <w:rPr>
                <w:rFonts w:eastAsia="宋体"/>
                <w:b w:val="0"/>
                <w:bCs w:val="0"/>
                <w:sz w:val="21"/>
                <w:szCs w:val="21"/>
                <w:vertAlign w:val="subscript"/>
              </w:rPr>
              <w:t xml:space="preserve"> </w:t>
            </w:r>
            <w:r>
              <w:rPr>
                <w:b w:val="0"/>
                <w:bCs w:val="0"/>
                <w:sz w:val="21"/>
                <w:szCs w:val="21"/>
              </w:rPr>
              <w:t>(KPa)</w:t>
            </w:r>
            <w:bookmarkEnd w:id="2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09" w:type="dxa"/>
            <w:vMerge w:val="continue"/>
            <w:tcBorders>
              <w:top w:val="nil"/>
              <w:left w:val="nil"/>
              <w:bottom w:val="single" w:color="auto" w:sz="4" w:space="0"/>
              <w:right w:val="nil"/>
            </w:tcBorders>
            <w:vAlign w:val="center"/>
          </w:tcPr>
          <w:p>
            <w:pPr>
              <w:pStyle w:val="2"/>
              <w:jc w:val="center"/>
              <w:rPr>
                <w:b w:val="0"/>
                <w:bCs w:val="0"/>
                <w:sz w:val="21"/>
                <w:szCs w:val="21"/>
              </w:rPr>
            </w:pPr>
          </w:p>
        </w:tc>
        <w:tc>
          <w:tcPr>
            <w:tcW w:w="992" w:type="dxa"/>
            <w:tcBorders>
              <w:top w:val="nil"/>
              <w:left w:val="nil"/>
              <w:bottom w:val="single" w:color="auto" w:sz="4" w:space="0"/>
              <w:right w:val="nil"/>
            </w:tcBorders>
            <w:vAlign w:val="center"/>
          </w:tcPr>
          <w:p>
            <w:pPr>
              <w:pStyle w:val="2"/>
              <w:jc w:val="center"/>
              <w:rPr>
                <w:b w:val="0"/>
                <w:bCs w:val="0"/>
                <w:sz w:val="21"/>
                <w:szCs w:val="21"/>
              </w:rPr>
            </w:pPr>
            <w:bookmarkStart w:id="240" w:name="_Toc150263775"/>
            <w:r>
              <w:rPr>
                <w:b w:val="0"/>
                <w:bCs w:val="0"/>
                <w:sz w:val="21"/>
                <w:szCs w:val="21"/>
              </w:rPr>
              <w:t>0.075</w:t>
            </w:r>
            <w:bookmarkEnd w:id="240"/>
          </w:p>
        </w:tc>
        <w:tc>
          <w:tcPr>
            <w:tcW w:w="993" w:type="dxa"/>
            <w:tcBorders>
              <w:top w:val="nil"/>
              <w:left w:val="nil"/>
              <w:bottom w:val="single" w:color="auto" w:sz="4" w:space="0"/>
              <w:right w:val="nil"/>
            </w:tcBorders>
            <w:vAlign w:val="center"/>
          </w:tcPr>
          <w:p>
            <w:pPr>
              <w:pStyle w:val="2"/>
              <w:jc w:val="center"/>
              <w:rPr>
                <w:b w:val="0"/>
                <w:bCs w:val="0"/>
                <w:sz w:val="21"/>
                <w:szCs w:val="21"/>
              </w:rPr>
            </w:pPr>
            <w:bookmarkStart w:id="241" w:name="_Toc150263776"/>
            <w:r>
              <w:rPr>
                <w:b w:val="0"/>
                <w:bCs w:val="0"/>
                <w:sz w:val="21"/>
                <w:szCs w:val="21"/>
              </w:rPr>
              <w:t>0.079</w:t>
            </w:r>
            <w:bookmarkEnd w:id="241"/>
          </w:p>
        </w:tc>
        <w:tc>
          <w:tcPr>
            <w:tcW w:w="992" w:type="dxa"/>
            <w:gridSpan w:val="2"/>
            <w:tcBorders>
              <w:top w:val="nil"/>
              <w:left w:val="nil"/>
              <w:bottom w:val="single" w:color="auto" w:sz="4" w:space="0"/>
              <w:right w:val="nil"/>
            </w:tcBorders>
            <w:vAlign w:val="center"/>
          </w:tcPr>
          <w:p>
            <w:pPr>
              <w:pStyle w:val="2"/>
              <w:jc w:val="center"/>
              <w:rPr>
                <w:b w:val="0"/>
                <w:bCs w:val="0"/>
                <w:sz w:val="21"/>
                <w:szCs w:val="21"/>
              </w:rPr>
            </w:pPr>
            <w:bookmarkStart w:id="242" w:name="_Toc150263777"/>
            <w:r>
              <w:rPr>
                <w:b w:val="0"/>
                <w:bCs w:val="0"/>
                <w:sz w:val="21"/>
                <w:szCs w:val="21"/>
              </w:rPr>
              <w:t>0.088</w:t>
            </w:r>
            <w:bookmarkEnd w:id="242"/>
          </w:p>
        </w:tc>
        <w:tc>
          <w:tcPr>
            <w:tcW w:w="1559" w:type="dxa"/>
            <w:gridSpan w:val="2"/>
            <w:tcBorders>
              <w:top w:val="nil"/>
              <w:left w:val="nil"/>
              <w:bottom w:val="single" w:color="auto" w:sz="4" w:space="0"/>
              <w:right w:val="nil"/>
            </w:tcBorders>
            <w:vAlign w:val="center"/>
          </w:tcPr>
          <w:p>
            <w:pPr>
              <w:pStyle w:val="2"/>
              <w:jc w:val="center"/>
              <w:rPr>
                <w:b w:val="0"/>
                <w:bCs w:val="0"/>
                <w:sz w:val="21"/>
                <w:szCs w:val="21"/>
              </w:rPr>
            </w:pPr>
            <w:bookmarkStart w:id="243" w:name="_Toc150263778"/>
            <w:r>
              <w:rPr>
                <w:b w:val="0"/>
                <w:bCs w:val="0"/>
                <w:sz w:val="21"/>
                <w:szCs w:val="21"/>
              </w:rPr>
              <w:t>0.098</w:t>
            </w:r>
            <w:bookmarkEnd w:id="243"/>
          </w:p>
        </w:tc>
        <w:tc>
          <w:tcPr>
            <w:tcW w:w="1276" w:type="dxa"/>
            <w:gridSpan w:val="2"/>
            <w:tcBorders>
              <w:top w:val="nil"/>
              <w:left w:val="nil"/>
              <w:bottom w:val="single" w:color="auto" w:sz="4" w:space="0"/>
              <w:right w:val="nil"/>
            </w:tcBorders>
            <w:vAlign w:val="center"/>
          </w:tcPr>
          <w:p>
            <w:pPr>
              <w:pStyle w:val="2"/>
              <w:jc w:val="center"/>
              <w:rPr>
                <w:b w:val="0"/>
                <w:bCs w:val="0"/>
                <w:sz w:val="21"/>
                <w:szCs w:val="21"/>
              </w:rPr>
            </w:pPr>
            <w:bookmarkStart w:id="244" w:name="_Toc150263779"/>
            <w:r>
              <w:rPr>
                <w:b w:val="0"/>
                <w:bCs w:val="0"/>
                <w:sz w:val="21"/>
                <w:szCs w:val="21"/>
              </w:rPr>
              <w:t>0.083</w:t>
            </w:r>
            <w:bookmarkEnd w:id="244"/>
          </w:p>
        </w:tc>
        <w:tc>
          <w:tcPr>
            <w:tcW w:w="850" w:type="dxa"/>
            <w:tcBorders>
              <w:top w:val="nil"/>
              <w:left w:val="nil"/>
              <w:bottom w:val="single" w:color="auto" w:sz="4" w:space="0"/>
              <w:right w:val="nil"/>
            </w:tcBorders>
            <w:vAlign w:val="center"/>
          </w:tcPr>
          <w:p>
            <w:pPr>
              <w:pStyle w:val="2"/>
              <w:jc w:val="center"/>
              <w:rPr>
                <w:b w:val="0"/>
                <w:bCs w:val="0"/>
                <w:sz w:val="21"/>
                <w:szCs w:val="21"/>
              </w:rPr>
            </w:pPr>
            <w:bookmarkStart w:id="245" w:name="_Toc150263780"/>
            <w:r>
              <w:rPr>
                <w:b w:val="0"/>
                <w:bCs w:val="0"/>
                <w:sz w:val="21"/>
                <w:szCs w:val="21"/>
              </w:rPr>
              <w:t>43.2</w:t>
            </w:r>
            <w:bookmarkEnd w:id="245"/>
          </w:p>
        </w:tc>
        <w:tc>
          <w:tcPr>
            <w:tcW w:w="851" w:type="dxa"/>
            <w:tcBorders>
              <w:top w:val="nil"/>
              <w:left w:val="nil"/>
              <w:bottom w:val="single" w:color="auto" w:sz="4" w:space="0"/>
              <w:right w:val="nil"/>
            </w:tcBorders>
            <w:vAlign w:val="center"/>
          </w:tcPr>
          <w:p>
            <w:pPr>
              <w:pStyle w:val="2"/>
              <w:jc w:val="center"/>
              <w:rPr>
                <w:b w:val="0"/>
                <w:bCs w:val="0"/>
                <w:sz w:val="21"/>
                <w:szCs w:val="21"/>
              </w:rPr>
            </w:pPr>
            <w:bookmarkStart w:id="246" w:name="_Toc150263781"/>
            <w:r>
              <w:rPr>
                <w:b w:val="0"/>
                <w:bCs w:val="0"/>
                <w:sz w:val="21"/>
                <w:szCs w:val="21"/>
              </w:rPr>
              <w:t>27.2</w:t>
            </w:r>
            <w:bookmarkEnd w:id="2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09" w:type="dxa"/>
            <w:vMerge w:val="restart"/>
            <w:tcBorders>
              <w:top w:val="single" w:color="auto" w:sz="4" w:space="0"/>
              <w:left w:val="nil"/>
              <w:bottom w:val="nil"/>
              <w:right w:val="nil"/>
            </w:tcBorders>
            <w:vAlign w:val="center"/>
          </w:tcPr>
          <w:p>
            <w:pPr>
              <w:pStyle w:val="2"/>
              <w:jc w:val="center"/>
              <w:rPr>
                <w:b w:val="0"/>
                <w:bCs w:val="0"/>
                <w:sz w:val="21"/>
                <w:szCs w:val="21"/>
              </w:rPr>
            </w:pPr>
            <w:bookmarkStart w:id="247" w:name="_Toc150263782"/>
            <w:bookmarkStart w:id="248" w:name="OLE_LINK34"/>
            <w:r>
              <w:rPr>
                <w:b w:val="0"/>
                <w:bCs w:val="0"/>
                <w:sz w:val="21"/>
                <w:szCs w:val="21"/>
              </w:rPr>
              <w:t>POF-N-O</w:t>
            </w:r>
            <w:bookmarkEnd w:id="247"/>
            <w:bookmarkEnd w:id="248"/>
          </w:p>
        </w:tc>
        <w:tc>
          <w:tcPr>
            <w:tcW w:w="992" w:type="dxa"/>
            <w:tcBorders>
              <w:top w:val="single" w:color="auto" w:sz="4" w:space="0"/>
              <w:left w:val="nil"/>
              <w:bottom w:val="nil"/>
              <w:right w:val="nil"/>
            </w:tcBorders>
            <w:vAlign w:val="center"/>
          </w:tcPr>
          <w:p>
            <w:pPr>
              <w:pStyle w:val="2"/>
              <w:jc w:val="center"/>
              <w:rPr>
                <w:b w:val="0"/>
                <w:bCs w:val="0"/>
                <w:sz w:val="21"/>
                <w:szCs w:val="21"/>
              </w:rPr>
            </w:pPr>
            <w:bookmarkStart w:id="249" w:name="_Toc150263783"/>
            <w:r>
              <w:rPr>
                <w:b w:val="0"/>
                <w:bCs w:val="0"/>
                <w:sz w:val="21"/>
                <w:szCs w:val="21"/>
              </w:rPr>
              <w:t>Hexane</w:t>
            </w:r>
            <w:bookmarkEnd w:id="249"/>
          </w:p>
        </w:tc>
        <w:tc>
          <w:tcPr>
            <w:tcW w:w="993" w:type="dxa"/>
            <w:tcBorders>
              <w:top w:val="single" w:color="auto" w:sz="4" w:space="0"/>
              <w:left w:val="nil"/>
              <w:bottom w:val="nil"/>
              <w:right w:val="nil"/>
            </w:tcBorders>
            <w:vAlign w:val="center"/>
          </w:tcPr>
          <w:p>
            <w:pPr>
              <w:pStyle w:val="2"/>
              <w:jc w:val="center"/>
              <w:rPr>
                <w:b w:val="0"/>
                <w:bCs w:val="0"/>
                <w:sz w:val="21"/>
                <w:szCs w:val="21"/>
              </w:rPr>
            </w:pPr>
            <w:bookmarkStart w:id="250" w:name="_Toc150263784"/>
            <w:r>
              <w:rPr>
                <w:b w:val="0"/>
                <w:bCs w:val="0"/>
                <w:sz w:val="21"/>
                <w:szCs w:val="21"/>
              </w:rPr>
              <w:t>Heptane</w:t>
            </w:r>
            <w:bookmarkEnd w:id="250"/>
          </w:p>
        </w:tc>
        <w:tc>
          <w:tcPr>
            <w:tcW w:w="850" w:type="dxa"/>
            <w:tcBorders>
              <w:top w:val="single" w:color="auto" w:sz="4" w:space="0"/>
              <w:left w:val="nil"/>
              <w:bottom w:val="nil"/>
              <w:right w:val="nil"/>
            </w:tcBorders>
            <w:vAlign w:val="center"/>
          </w:tcPr>
          <w:p>
            <w:pPr>
              <w:pStyle w:val="2"/>
              <w:jc w:val="center"/>
              <w:rPr>
                <w:b w:val="0"/>
                <w:bCs w:val="0"/>
                <w:sz w:val="21"/>
                <w:szCs w:val="21"/>
              </w:rPr>
            </w:pPr>
            <w:bookmarkStart w:id="251" w:name="_Toc150263785"/>
            <w:r>
              <w:rPr>
                <w:b w:val="0"/>
                <w:bCs w:val="0"/>
                <w:sz w:val="21"/>
                <w:szCs w:val="21"/>
              </w:rPr>
              <w:t>Octane</w:t>
            </w:r>
            <w:bookmarkEnd w:id="251"/>
          </w:p>
        </w:tc>
        <w:tc>
          <w:tcPr>
            <w:tcW w:w="992" w:type="dxa"/>
            <w:gridSpan w:val="2"/>
            <w:tcBorders>
              <w:top w:val="single" w:color="auto" w:sz="4" w:space="0"/>
              <w:left w:val="nil"/>
              <w:bottom w:val="nil"/>
              <w:right w:val="nil"/>
            </w:tcBorders>
            <w:vAlign w:val="center"/>
          </w:tcPr>
          <w:p>
            <w:pPr>
              <w:pStyle w:val="2"/>
              <w:jc w:val="center"/>
              <w:rPr>
                <w:b w:val="0"/>
                <w:bCs w:val="0"/>
                <w:sz w:val="21"/>
                <w:szCs w:val="21"/>
              </w:rPr>
            </w:pPr>
            <w:bookmarkStart w:id="252" w:name="_Toc150263786"/>
            <w:r>
              <w:rPr>
                <w:b w:val="0"/>
                <w:bCs w:val="0"/>
                <w:sz w:val="21"/>
                <w:szCs w:val="21"/>
              </w:rPr>
              <w:t>Nonane</w:t>
            </w:r>
            <w:bookmarkEnd w:id="252"/>
          </w:p>
        </w:tc>
        <w:tc>
          <w:tcPr>
            <w:tcW w:w="851" w:type="dxa"/>
            <w:gridSpan w:val="2"/>
            <w:tcBorders>
              <w:top w:val="single" w:color="auto" w:sz="4" w:space="0"/>
              <w:left w:val="nil"/>
              <w:bottom w:val="nil"/>
              <w:right w:val="nil"/>
            </w:tcBorders>
            <w:vAlign w:val="center"/>
          </w:tcPr>
          <w:p>
            <w:pPr>
              <w:pStyle w:val="2"/>
              <w:jc w:val="center"/>
              <w:rPr>
                <w:b w:val="0"/>
                <w:bCs w:val="0"/>
                <w:sz w:val="21"/>
                <w:szCs w:val="21"/>
              </w:rPr>
            </w:pPr>
            <w:bookmarkStart w:id="253" w:name="_Toc150263787"/>
            <w:r>
              <w:rPr>
                <w:b w:val="0"/>
                <w:bCs w:val="0"/>
                <w:sz w:val="21"/>
                <w:szCs w:val="21"/>
              </w:rPr>
              <w:t>Decane</w:t>
            </w:r>
            <w:bookmarkEnd w:id="253"/>
          </w:p>
        </w:tc>
        <w:tc>
          <w:tcPr>
            <w:tcW w:w="1134" w:type="dxa"/>
            <w:tcBorders>
              <w:top w:val="single" w:color="auto" w:sz="4" w:space="0"/>
              <w:left w:val="nil"/>
              <w:bottom w:val="nil"/>
              <w:right w:val="nil"/>
            </w:tcBorders>
            <w:vAlign w:val="center"/>
          </w:tcPr>
          <w:p>
            <w:pPr>
              <w:pStyle w:val="2"/>
              <w:jc w:val="center"/>
              <w:rPr>
                <w:b w:val="0"/>
                <w:bCs w:val="0"/>
                <w:sz w:val="21"/>
                <w:szCs w:val="21"/>
              </w:rPr>
            </w:pPr>
            <w:bookmarkStart w:id="254" w:name="_Toc150263788"/>
            <w:r>
              <w:rPr>
                <w:b w:val="0"/>
                <w:bCs w:val="0"/>
                <w:sz w:val="21"/>
                <w:szCs w:val="21"/>
              </w:rPr>
              <w:t>CH</w:t>
            </w:r>
            <w:r>
              <w:rPr>
                <w:b w:val="0"/>
                <w:bCs w:val="0"/>
                <w:sz w:val="21"/>
                <w:szCs w:val="21"/>
                <w:vertAlign w:val="subscript"/>
              </w:rPr>
              <w:t>3</w:t>
            </w:r>
            <w:r>
              <w:rPr>
                <w:b w:val="0"/>
                <w:bCs w:val="0"/>
                <w:sz w:val="21"/>
                <w:szCs w:val="21"/>
              </w:rPr>
              <w:t>OH</w:t>
            </w:r>
            <w:bookmarkEnd w:id="254"/>
          </w:p>
        </w:tc>
        <w:tc>
          <w:tcPr>
            <w:tcW w:w="850" w:type="dxa"/>
            <w:tcBorders>
              <w:top w:val="single" w:color="auto" w:sz="4" w:space="0"/>
              <w:left w:val="nil"/>
              <w:bottom w:val="nil"/>
              <w:right w:val="nil"/>
            </w:tcBorders>
            <w:vAlign w:val="center"/>
          </w:tcPr>
          <w:p>
            <w:pPr>
              <w:pStyle w:val="2"/>
              <w:jc w:val="center"/>
              <w:rPr>
                <w:rFonts w:eastAsia="宋体"/>
                <w:b w:val="0"/>
                <w:bCs w:val="0"/>
                <w:sz w:val="21"/>
                <w:szCs w:val="21"/>
                <w:vertAlign w:val="subscript"/>
              </w:rPr>
            </w:pPr>
            <w:bookmarkStart w:id="255" w:name="_Toc150263789"/>
            <w:r>
              <w:rPr>
                <w:b w:val="0"/>
                <w:bCs w:val="0"/>
                <w:sz w:val="21"/>
                <w:szCs w:val="21"/>
              </w:rPr>
              <w:t>P</w:t>
            </w:r>
            <w:r>
              <w:rPr>
                <w:b w:val="0"/>
                <w:bCs w:val="0"/>
                <w:sz w:val="21"/>
                <w:szCs w:val="21"/>
                <w:vertAlign w:val="subscript"/>
              </w:rPr>
              <w:t>1</w:t>
            </w:r>
            <w:bookmarkEnd w:id="255"/>
          </w:p>
          <w:p>
            <w:pPr>
              <w:pStyle w:val="2"/>
              <w:jc w:val="center"/>
              <w:rPr>
                <w:b w:val="0"/>
                <w:bCs w:val="0"/>
                <w:sz w:val="21"/>
                <w:szCs w:val="21"/>
              </w:rPr>
            </w:pPr>
            <w:bookmarkStart w:id="256" w:name="_Toc150263790"/>
            <w:r>
              <w:rPr>
                <w:b w:val="0"/>
                <w:bCs w:val="0"/>
                <w:sz w:val="21"/>
                <w:szCs w:val="21"/>
              </w:rPr>
              <w:t>(KPa)</w:t>
            </w:r>
            <w:bookmarkEnd w:id="256"/>
          </w:p>
        </w:tc>
        <w:tc>
          <w:tcPr>
            <w:tcW w:w="851" w:type="dxa"/>
            <w:tcBorders>
              <w:top w:val="single" w:color="auto" w:sz="4" w:space="0"/>
              <w:left w:val="nil"/>
              <w:bottom w:val="nil"/>
              <w:right w:val="nil"/>
            </w:tcBorders>
            <w:vAlign w:val="center"/>
          </w:tcPr>
          <w:p>
            <w:pPr>
              <w:pStyle w:val="2"/>
              <w:jc w:val="center"/>
              <w:rPr>
                <w:b w:val="0"/>
                <w:bCs w:val="0"/>
                <w:sz w:val="21"/>
                <w:szCs w:val="21"/>
              </w:rPr>
            </w:pPr>
            <w:bookmarkStart w:id="257" w:name="_Toc150263791"/>
            <w:r>
              <w:rPr>
                <w:b w:val="0"/>
                <w:bCs w:val="0"/>
                <w:sz w:val="21"/>
                <w:szCs w:val="21"/>
              </w:rPr>
              <w:t>P</w:t>
            </w:r>
            <w:r>
              <w:rPr>
                <w:b w:val="0"/>
                <w:bCs w:val="0"/>
                <w:sz w:val="21"/>
                <w:szCs w:val="21"/>
                <w:vertAlign w:val="subscript"/>
              </w:rPr>
              <w:t>2</w:t>
            </w:r>
            <w:r>
              <w:rPr>
                <w:rFonts w:eastAsia="宋体"/>
                <w:b w:val="0"/>
                <w:bCs w:val="0"/>
                <w:sz w:val="21"/>
                <w:szCs w:val="21"/>
                <w:vertAlign w:val="subscript"/>
              </w:rPr>
              <w:t xml:space="preserve"> </w:t>
            </w:r>
            <w:r>
              <w:rPr>
                <w:b w:val="0"/>
                <w:bCs w:val="0"/>
                <w:sz w:val="21"/>
                <w:szCs w:val="21"/>
              </w:rPr>
              <w:t>(KPa)</w:t>
            </w:r>
            <w:bookmarkEnd w:id="257"/>
          </w:p>
        </w:tc>
      </w:tr>
      <w:bookmarkEnd w:id="23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09" w:type="dxa"/>
            <w:vMerge w:val="continue"/>
            <w:tcBorders>
              <w:top w:val="nil"/>
              <w:left w:val="nil"/>
              <w:bottom w:val="single" w:color="auto" w:sz="4" w:space="0"/>
              <w:right w:val="nil"/>
            </w:tcBorders>
            <w:vAlign w:val="center"/>
          </w:tcPr>
          <w:p>
            <w:pPr>
              <w:pStyle w:val="2"/>
              <w:jc w:val="center"/>
              <w:rPr>
                <w:b w:val="0"/>
                <w:bCs w:val="0"/>
                <w:sz w:val="21"/>
                <w:szCs w:val="21"/>
              </w:rPr>
            </w:pPr>
          </w:p>
        </w:tc>
        <w:tc>
          <w:tcPr>
            <w:tcW w:w="992" w:type="dxa"/>
            <w:tcBorders>
              <w:top w:val="nil"/>
              <w:left w:val="nil"/>
              <w:bottom w:val="single" w:color="auto" w:sz="4" w:space="0"/>
              <w:right w:val="nil"/>
            </w:tcBorders>
            <w:vAlign w:val="center"/>
          </w:tcPr>
          <w:p>
            <w:pPr>
              <w:pStyle w:val="2"/>
              <w:jc w:val="center"/>
              <w:rPr>
                <w:b w:val="0"/>
                <w:bCs w:val="0"/>
                <w:sz w:val="21"/>
                <w:szCs w:val="21"/>
              </w:rPr>
            </w:pPr>
            <w:bookmarkStart w:id="258" w:name="_Toc150263792"/>
            <w:r>
              <w:rPr>
                <w:b w:val="0"/>
                <w:bCs w:val="0"/>
                <w:sz w:val="21"/>
                <w:szCs w:val="21"/>
              </w:rPr>
              <w:t>0.078</w:t>
            </w:r>
            <w:bookmarkEnd w:id="258"/>
          </w:p>
        </w:tc>
        <w:tc>
          <w:tcPr>
            <w:tcW w:w="993" w:type="dxa"/>
            <w:tcBorders>
              <w:top w:val="nil"/>
              <w:left w:val="nil"/>
              <w:bottom w:val="single" w:color="auto" w:sz="4" w:space="0"/>
              <w:right w:val="nil"/>
            </w:tcBorders>
            <w:vAlign w:val="center"/>
          </w:tcPr>
          <w:p>
            <w:pPr>
              <w:pStyle w:val="2"/>
              <w:jc w:val="center"/>
              <w:rPr>
                <w:b w:val="0"/>
                <w:bCs w:val="0"/>
                <w:sz w:val="21"/>
                <w:szCs w:val="21"/>
              </w:rPr>
            </w:pPr>
            <w:bookmarkStart w:id="259" w:name="_Toc150263793"/>
            <w:r>
              <w:rPr>
                <w:b w:val="0"/>
                <w:bCs w:val="0"/>
                <w:sz w:val="21"/>
                <w:szCs w:val="21"/>
              </w:rPr>
              <w:t>0.082</w:t>
            </w:r>
            <w:bookmarkEnd w:id="259"/>
          </w:p>
        </w:tc>
        <w:tc>
          <w:tcPr>
            <w:tcW w:w="992" w:type="dxa"/>
            <w:gridSpan w:val="2"/>
            <w:tcBorders>
              <w:top w:val="nil"/>
              <w:left w:val="nil"/>
              <w:bottom w:val="single" w:color="auto" w:sz="4" w:space="0"/>
              <w:right w:val="nil"/>
            </w:tcBorders>
            <w:vAlign w:val="center"/>
          </w:tcPr>
          <w:p>
            <w:pPr>
              <w:pStyle w:val="2"/>
              <w:jc w:val="center"/>
              <w:rPr>
                <w:b w:val="0"/>
                <w:bCs w:val="0"/>
                <w:sz w:val="21"/>
                <w:szCs w:val="21"/>
              </w:rPr>
            </w:pPr>
            <w:bookmarkStart w:id="260" w:name="_Toc150263794"/>
            <w:r>
              <w:rPr>
                <w:b w:val="0"/>
                <w:bCs w:val="0"/>
                <w:sz w:val="21"/>
                <w:szCs w:val="21"/>
              </w:rPr>
              <w:t>0.086</w:t>
            </w:r>
            <w:bookmarkEnd w:id="260"/>
          </w:p>
        </w:tc>
        <w:tc>
          <w:tcPr>
            <w:tcW w:w="850" w:type="dxa"/>
            <w:tcBorders>
              <w:top w:val="nil"/>
              <w:left w:val="nil"/>
              <w:bottom w:val="single" w:color="auto" w:sz="4" w:space="0"/>
              <w:right w:val="nil"/>
            </w:tcBorders>
            <w:vAlign w:val="center"/>
          </w:tcPr>
          <w:p>
            <w:pPr>
              <w:pStyle w:val="2"/>
              <w:jc w:val="center"/>
              <w:rPr>
                <w:b w:val="0"/>
                <w:bCs w:val="0"/>
                <w:sz w:val="21"/>
                <w:szCs w:val="21"/>
              </w:rPr>
            </w:pPr>
            <w:bookmarkStart w:id="261" w:name="_Toc150263795"/>
            <w:r>
              <w:rPr>
                <w:b w:val="0"/>
                <w:bCs w:val="0"/>
                <w:sz w:val="21"/>
                <w:szCs w:val="21"/>
              </w:rPr>
              <w:t>0.093</w:t>
            </w:r>
            <w:bookmarkEnd w:id="261"/>
          </w:p>
        </w:tc>
        <w:tc>
          <w:tcPr>
            <w:tcW w:w="851" w:type="dxa"/>
            <w:gridSpan w:val="2"/>
            <w:tcBorders>
              <w:top w:val="nil"/>
              <w:left w:val="nil"/>
              <w:bottom w:val="single" w:color="auto" w:sz="4" w:space="0"/>
              <w:right w:val="nil"/>
            </w:tcBorders>
            <w:vAlign w:val="center"/>
          </w:tcPr>
          <w:p>
            <w:pPr>
              <w:pStyle w:val="2"/>
              <w:jc w:val="center"/>
              <w:rPr>
                <w:b w:val="0"/>
                <w:bCs w:val="0"/>
                <w:sz w:val="21"/>
                <w:szCs w:val="21"/>
              </w:rPr>
            </w:pPr>
            <w:bookmarkStart w:id="262" w:name="_Toc150263796"/>
            <w:r>
              <w:rPr>
                <w:b w:val="0"/>
                <w:bCs w:val="0"/>
                <w:sz w:val="21"/>
                <w:szCs w:val="21"/>
              </w:rPr>
              <w:t>0.101</w:t>
            </w:r>
            <w:bookmarkEnd w:id="262"/>
          </w:p>
        </w:tc>
        <w:tc>
          <w:tcPr>
            <w:tcW w:w="1134" w:type="dxa"/>
            <w:tcBorders>
              <w:top w:val="nil"/>
              <w:left w:val="nil"/>
              <w:bottom w:val="single" w:color="auto" w:sz="4" w:space="0"/>
              <w:right w:val="nil"/>
            </w:tcBorders>
            <w:vAlign w:val="center"/>
          </w:tcPr>
          <w:p>
            <w:pPr>
              <w:widowControl/>
              <w:jc w:val="center"/>
              <w:textAlignment w:val="center"/>
              <w:rPr>
                <w:rFonts w:eastAsia="宋体" w:cs="Times New Roman"/>
                <w:color w:val="000000"/>
                <w:sz w:val="21"/>
                <w:szCs w:val="21"/>
              </w:rPr>
            </w:pPr>
            <w:r>
              <w:rPr>
                <w:rFonts w:eastAsia="宋体" w:cs="Times New Roman"/>
                <w:color w:val="000000"/>
                <w:kern w:val="0"/>
                <w:sz w:val="21"/>
                <w:szCs w:val="21"/>
                <w:lang w:bidi="ar"/>
              </w:rPr>
              <w:t>0.097</w:t>
            </w:r>
          </w:p>
        </w:tc>
        <w:tc>
          <w:tcPr>
            <w:tcW w:w="850" w:type="dxa"/>
            <w:tcBorders>
              <w:top w:val="nil"/>
              <w:left w:val="nil"/>
              <w:bottom w:val="single" w:color="auto" w:sz="4" w:space="0"/>
              <w:right w:val="nil"/>
            </w:tcBorders>
            <w:vAlign w:val="center"/>
          </w:tcPr>
          <w:p>
            <w:pPr>
              <w:widowControl/>
              <w:jc w:val="center"/>
              <w:textAlignment w:val="center"/>
              <w:rPr>
                <w:rFonts w:cs="Times New Roman"/>
                <w:sz w:val="21"/>
                <w:szCs w:val="21"/>
              </w:rPr>
            </w:pPr>
            <w:r>
              <w:rPr>
                <w:rFonts w:eastAsia="宋体" w:cs="Times New Roman"/>
                <w:color w:val="000000"/>
                <w:kern w:val="0"/>
                <w:sz w:val="21"/>
                <w:szCs w:val="21"/>
                <w:lang w:bidi="ar"/>
              </w:rPr>
              <w:t>46.3</w:t>
            </w:r>
          </w:p>
        </w:tc>
        <w:tc>
          <w:tcPr>
            <w:tcW w:w="851" w:type="dxa"/>
            <w:tcBorders>
              <w:top w:val="nil"/>
              <w:left w:val="nil"/>
              <w:bottom w:val="single" w:color="auto" w:sz="4" w:space="0"/>
              <w:right w:val="nil"/>
            </w:tcBorders>
            <w:vAlign w:val="center"/>
          </w:tcPr>
          <w:p>
            <w:pPr>
              <w:widowControl/>
              <w:jc w:val="center"/>
              <w:textAlignment w:val="center"/>
              <w:rPr>
                <w:rFonts w:cs="Times New Roman"/>
                <w:sz w:val="21"/>
                <w:szCs w:val="21"/>
              </w:rPr>
            </w:pPr>
            <w:r>
              <w:rPr>
                <w:rFonts w:eastAsia="宋体" w:cs="Times New Roman"/>
                <w:color w:val="000000"/>
                <w:kern w:val="0"/>
                <w:sz w:val="21"/>
                <w:szCs w:val="21"/>
                <w:lang w:bidi="ar"/>
              </w:rPr>
              <w:t>22.1</w:t>
            </w:r>
          </w:p>
        </w:tc>
      </w:tr>
    </w:tbl>
    <w:p>
      <w:pPr>
        <w:pStyle w:val="2"/>
      </w:pPr>
    </w:p>
    <w:p/>
    <w:p/>
    <w:p>
      <w:pPr>
        <w:pStyle w:val="2"/>
        <w:rPr>
          <w:lang w:bidi="ar"/>
        </w:rPr>
      </w:pPr>
      <w:bookmarkStart w:id="263" w:name="_Toc150263797"/>
      <w:bookmarkStart w:id="264" w:name="_Toc127887797"/>
      <w:r>
        <w:t xml:space="preserve">Supplementary Table </w:t>
      </w:r>
      <w:r>
        <w:rPr>
          <w:rFonts w:hint="eastAsia"/>
        </w:rPr>
        <w:t>8</w:t>
      </w:r>
      <w:r>
        <w:t>.</w:t>
      </w:r>
      <w:r>
        <w:rPr>
          <w:rFonts w:hint="eastAsia"/>
        </w:rPr>
        <w:t xml:space="preserve"> </w:t>
      </w:r>
      <w:r>
        <w:rPr>
          <w:lang w:bidi="ar"/>
        </w:rPr>
        <w:t>Physicochemical properties and</w:t>
      </w:r>
      <w:r>
        <w:rPr>
          <w:rFonts w:hint="eastAsia"/>
          <w:lang w:bidi="ar"/>
        </w:rPr>
        <w:t xml:space="preserve"> </w:t>
      </w:r>
      <w:r>
        <w:rPr>
          <w:lang w:bidi="ar"/>
        </w:rPr>
        <w:t>content</w:t>
      </w:r>
      <w:r>
        <w:rPr>
          <w:rFonts w:hint="eastAsia"/>
          <w:lang w:bidi="ar"/>
        </w:rPr>
        <w:t>s</w:t>
      </w:r>
      <w:r>
        <w:rPr>
          <w:lang w:bidi="ar"/>
        </w:rPr>
        <w:t xml:space="preserve"> of </w:t>
      </w:r>
      <w:r>
        <w:rPr>
          <w:rFonts w:hint="eastAsia"/>
          <w:lang w:bidi="ar"/>
        </w:rPr>
        <w:t>Au</w:t>
      </w:r>
      <w:r>
        <w:rPr>
          <w:lang w:bidi="ar"/>
        </w:rPr>
        <w:t xml:space="preserve"> and </w:t>
      </w:r>
      <w:r>
        <w:rPr>
          <w:rFonts w:hint="eastAsia"/>
          <w:lang w:bidi="ar"/>
        </w:rPr>
        <w:t>Pd</w:t>
      </w:r>
      <w:r>
        <w:rPr>
          <w:lang w:bidi="ar"/>
        </w:rPr>
        <w:t xml:space="preserve"> of different samples.</w:t>
      </w:r>
      <w:bookmarkEnd w:id="263"/>
      <w:bookmarkEnd w:id="264"/>
    </w:p>
    <w:p/>
    <w:tbl>
      <w:tblPr>
        <w:tblStyle w:val="22"/>
        <w:tblpPr w:leftFromText="180" w:rightFromText="180" w:vertAnchor="text" w:horzAnchor="page" w:tblpX="2752" w:tblpY="113"/>
        <w:tblOverlap w:val="never"/>
        <w:tblW w:w="6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1470"/>
        <w:gridCol w:w="1286"/>
        <w:gridCol w:w="1378"/>
        <w:gridCol w:w="1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Borders>
              <w:left w:val="nil"/>
              <w:right w:val="nil"/>
            </w:tcBorders>
            <w:vAlign w:val="center"/>
          </w:tcPr>
          <w:p>
            <w:pPr>
              <w:pStyle w:val="19"/>
              <w:widowControl/>
              <w:spacing w:beforeAutospacing="1" w:afterAutospacing="1"/>
              <w:jc w:val="center"/>
            </w:pPr>
            <w:r>
              <w:rPr>
                <w:color w:val="000000"/>
              </w:rPr>
              <w:t>Samples</w:t>
            </w:r>
          </w:p>
        </w:tc>
        <w:tc>
          <w:tcPr>
            <w:tcW w:w="1470" w:type="dxa"/>
            <w:tcBorders>
              <w:left w:val="nil"/>
              <w:right w:val="nil"/>
            </w:tcBorders>
            <w:vAlign w:val="center"/>
          </w:tcPr>
          <w:p>
            <w:pPr>
              <w:pStyle w:val="19"/>
              <w:widowControl/>
              <w:spacing w:beforeAutospacing="1" w:afterAutospacing="1"/>
              <w:jc w:val="center"/>
            </w:pPr>
            <w:r>
              <w:rPr>
                <w:color w:val="000000"/>
              </w:rPr>
              <w:t>S</w:t>
            </w:r>
            <w:r>
              <w:rPr>
                <w:color w:val="000000"/>
                <w:vertAlign w:val="subscript"/>
              </w:rPr>
              <w:t>BET</w:t>
            </w:r>
            <w:r>
              <w:rPr>
                <w:rFonts w:hint="eastAsia"/>
                <w:color w:val="000000"/>
                <w:vertAlign w:val="subscript"/>
              </w:rPr>
              <w:t xml:space="preserve"> </w:t>
            </w:r>
            <w:r>
              <w:rPr>
                <w:color w:val="000000"/>
              </w:rPr>
              <w:t>(m</w:t>
            </w:r>
            <w:r>
              <w:rPr>
                <w:color w:val="000000"/>
                <w:vertAlign w:val="superscript"/>
              </w:rPr>
              <w:t>2</w:t>
            </w:r>
            <w:r>
              <w:rPr>
                <w:color w:val="000000"/>
              </w:rPr>
              <w:t>/g)</w:t>
            </w:r>
          </w:p>
        </w:tc>
        <w:tc>
          <w:tcPr>
            <w:tcW w:w="1286" w:type="dxa"/>
            <w:tcBorders>
              <w:left w:val="nil"/>
              <w:right w:val="nil"/>
            </w:tcBorders>
            <w:vAlign w:val="center"/>
          </w:tcPr>
          <w:p>
            <w:pPr>
              <w:pStyle w:val="19"/>
              <w:widowControl/>
              <w:spacing w:beforeAutospacing="1" w:afterAutospacing="1"/>
              <w:jc w:val="center"/>
            </w:pPr>
            <w:r>
              <w:t>V</w:t>
            </w:r>
            <w:r>
              <w:rPr>
                <w:vertAlign w:val="superscript"/>
              </w:rPr>
              <w:t xml:space="preserve"> </w:t>
            </w:r>
            <w:r>
              <w:t>(cc/g)</w:t>
            </w:r>
          </w:p>
        </w:tc>
        <w:tc>
          <w:tcPr>
            <w:tcW w:w="1378" w:type="dxa"/>
            <w:tcBorders>
              <w:left w:val="nil"/>
              <w:right w:val="nil"/>
            </w:tcBorders>
            <w:vAlign w:val="center"/>
          </w:tcPr>
          <w:p>
            <w:pPr>
              <w:pStyle w:val="19"/>
              <w:widowControl/>
              <w:spacing w:beforeAutospacing="1" w:afterAutospacing="1"/>
              <w:jc w:val="center"/>
              <w:rPr>
                <w:color w:val="000000"/>
              </w:rPr>
            </w:pPr>
            <w:r>
              <w:rPr>
                <w:rFonts w:eastAsia="宋体"/>
                <w:color w:val="000000"/>
              </w:rPr>
              <w:t>Au</w:t>
            </w:r>
            <w:r>
              <w:rPr>
                <w:rFonts w:hint="eastAsia" w:eastAsia="宋体"/>
                <w:color w:val="000000"/>
              </w:rPr>
              <w:t xml:space="preserve"> </w:t>
            </w:r>
            <w:r>
              <w:rPr>
                <w:rFonts w:eastAsia="宋体"/>
                <w:color w:val="000000"/>
              </w:rPr>
              <w:t>(wt%)</w:t>
            </w:r>
          </w:p>
        </w:tc>
        <w:tc>
          <w:tcPr>
            <w:tcW w:w="1378" w:type="dxa"/>
            <w:tcBorders>
              <w:left w:val="nil"/>
              <w:right w:val="nil"/>
            </w:tcBorders>
            <w:vAlign w:val="center"/>
          </w:tcPr>
          <w:p>
            <w:pPr>
              <w:pStyle w:val="19"/>
              <w:widowControl/>
              <w:spacing w:beforeAutospacing="1" w:afterAutospacing="1"/>
              <w:jc w:val="center"/>
              <w:rPr>
                <w:color w:val="000000"/>
              </w:rPr>
            </w:pPr>
            <w:r>
              <w:rPr>
                <w:rFonts w:eastAsia="宋体"/>
                <w:color w:val="000000"/>
              </w:rPr>
              <w:t>Pd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8" w:type="dxa"/>
            <w:tcBorders>
              <w:left w:val="nil"/>
              <w:bottom w:val="nil"/>
              <w:right w:val="nil"/>
            </w:tcBorders>
            <w:vAlign w:val="center"/>
          </w:tcPr>
          <w:p>
            <w:pPr>
              <w:pStyle w:val="19"/>
              <w:widowControl/>
              <w:spacing w:beforeAutospacing="1" w:afterAutospacing="1"/>
              <w:jc w:val="center"/>
              <w:rPr>
                <w:bCs/>
              </w:rPr>
            </w:pPr>
            <w:r>
              <w:rPr>
                <w:color w:val="000000"/>
              </w:rPr>
              <w:t>Encap-E</w:t>
            </w:r>
            <w:r>
              <w:rPr>
                <w:rFonts w:hint="eastAsia"/>
                <w:color w:val="000000"/>
              </w:rPr>
              <w:t>T</w:t>
            </w:r>
          </w:p>
        </w:tc>
        <w:tc>
          <w:tcPr>
            <w:tcW w:w="1470" w:type="dxa"/>
            <w:tcBorders>
              <w:left w:val="nil"/>
              <w:bottom w:val="nil"/>
              <w:right w:val="nil"/>
            </w:tcBorders>
            <w:vAlign w:val="center"/>
          </w:tcPr>
          <w:p>
            <w:pPr>
              <w:pStyle w:val="19"/>
              <w:widowControl/>
              <w:spacing w:beforeAutospacing="1" w:afterAutospacing="1"/>
              <w:jc w:val="center"/>
              <w:rPr>
                <w:bCs/>
              </w:rPr>
            </w:pPr>
            <w:r>
              <w:rPr>
                <w:color w:val="000000"/>
              </w:rPr>
              <w:t>374</w:t>
            </w:r>
          </w:p>
        </w:tc>
        <w:tc>
          <w:tcPr>
            <w:tcW w:w="1286" w:type="dxa"/>
            <w:tcBorders>
              <w:left w:val="nil"/>
              <w:bottom w:val="nil"/>
              <w:right w:val="nil"/>
            </w:tcBorders>
            <w:vAlign w:val="center"/>
          </w:tcPr>
          <w:p>
            <w:pPr>
              <w:pStyle w:val="19"/>
              <w:widowControl/>
              <w:spacing w:beforeAutospacing="1" w:afterAutospacing="1"/>
              <w:jc w:val="center"/>
              <w:rPr>
                <w:bCs/>
              </w:rPr>
            </w:pPr>
            <w:r>
              <w:rPr>
                <w:color w:val="000000"/>
              </w:rPr>
              <w:t>0.42</w:t>
            </w:r>
          </w:p>
        </w:tc>
        <w:tc>
          <w:tcPr>
            <w:tcW w:w="1378" w:type="dxa"/>
            <w:tcBorders>
              <w:left w:val="nil"/>
              <w:bottom w:val="nil"/>
              <w:right w:val="nil"/>
            </w:tcBorders>
            <w:vAlign w:val="center"/>
          </w:tcPr>
          <w:p>
            <w:pPr>
              <w:pStyle w:val="19"/>
              <w:widowControl/>
              <w:spacing w:beforeAutospacing="1" w:afterAutospacing="1"/>
              <w:jc w:val="center"/>
            </w:pPr>
            <w:r>
              <w:t>0.11</w:t>
            </w:r>
          </w:p>
        </w:tc>
        <w:tc>
          <w:tcPr>
            <w:tcW w:w="1378" w:type="dxa"/>
            <w:tcBorders>
              <w:left w:val="nil"/>
              <w:bottom w:val="nil"/>
              <w:right w:val="nil"/>
            </w:tcBorders>
            <w:vAlign w:val="center"/>
          </w:tcPr>
          <w:p>
            <w:pPr>
              <w:pStyle w:val="19"/>
              <w:widowControl/>
              <w:spacing w:beforeAutospacing="1" w:afterAutospacing="1"/>
              <w:jc w:val="center"/>
            </w:pPr>
            <w:r>
              <w:t>0.073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8" w:type="dxa"/>
            <w:tcBorders>
              <w:top w:val="nil"/>
              <w:left w:val="nil"/>
              <w:bottom w:val="nil"/>
              <w:right w:val="nil"/>
            </w:tcBorders>
            <w:vAlign w:val="center"/>
          </w:tcPr>
          <w:p>
            <w:pPr>
              <w:pStyle w:val="19"/>
              <w:widowControl/>
              <w:spacing w:beforeAutospacing="1" w:afterAutospacing="1"/>
              <w:jc w:val="center"/>
              <w:rPr>
                <w:rFonts w:eastAsia="宋体"/>
                <w:color w:val="000000"/>
              </w:rPr>
            </w:pPr>
            <w:bookmarkStart w:id="265" w:name="OLE_LINK10" w:colFirst="0" w:colLast="0"/>
            <w:r>
              <w:rPr>
                <w:color w:val="000000"/>
              </w:rPr>
              <w:t>Encap-</w:t>
            </w:r>
            <w:r>
              <w:rPr>
                <w:rFonts w:hint="eastAsia" w:eastAsia="宋体"/>
                <w:color w:val="000000"/>
              </w:rPr>
              <w:t>C</w:t>
            </w:r>
            <w:r>
              <w:rPr>
                <w:color w:val="000000"/>
              </w:rPr>
              <w:t>=O</w:t>
            </w:r>
          </w:p>
        </w:tc>
        <w:tc>
          <w:tcPr>
            <w:tcW w:w="1470" w:type="dxa"/>
            <w:tcBorders>
              <w:top w:val="nil"/>
              <w:left w:val="nil"/>
              <w:bottom w:val="nil"/>
              <w:right w:val="nil"/>
            </w:tcBorders>
            <w:vAlign w:val="center"/>
          </w:tcPr>
          <w:p>
            <w:pPr>
              <w:pStyle w:val="19"/>
              <w:widowControl/>
              <w:spacing w:beforeAutospacing="1" w:afterAutospacing="1"/>
              <w:jc w:val="center"/>
              <w:rPr>
                <w:rFonts w:eastAsia="宋体"/>
                <w:color w:val="000000"/>
              </w:rPr>
            </w:pPr>
            <w:r>
              <w:rPr>
                <w:rFonts w:hint="eastAsia"/>
              </w:rPr>
              <w:t>15</w:t>
            </w:r>
            <w:r>
              <w:rPr>
                <w:rFonts w:hint="eastAsia" w:eastAsia="宋体"/>
              </w:rPr>
              <w:t>6</w:t>
            </w:r>
          </w:p>
        </w:tc>
        <w:tc>
          <w:tcPr>
            <w:tcW w:w="1286" w:type="dxa"/>
            <w:tcBorders>
              <w:top w:val="nil"/>
              <w:left w:val="nil"/>
              <w:bottom w:val="nil"/>
              <w:right w:val="nil"/>
            </w:tcBorders>
            <w:vAlign w:val="center"/>
          </w:tcPr>
          <w:p>
            <w:pPr>
              <w:pStyle w:val="19"/>
              <w:widowControl/>
              <w:spacing w:beforeAutospacing="1" w:afterAutospacing="1"/>
              <w:jc w:val="center"/>
              <w:rPr>
                <w:rFonts w:eastAsia="宋体"/>
                <w:color w:val="000000"/>
              </w:rPr>
            </w:pPr>
            <w:r>
              <w:rPr>
                <w:rFonts w:hint="eastAsia" w:eastAsia="宋体"/>
                <w:color w:val="000000"/>
              </w:rPr>
              <w:t>0.16</w:t>
            </w:r>
          </w:p>
        </w:tc>
        <w:tc>
          <w:tcPr>
            <w:tcW w:w="1378" w:type="dxa"/>
            <w:tcBorders>
              <w:top w:val="nil"/>
              <w:left w:val="nil"/>
              <w:bottom w:val="nil"/>
              <w:right w:val="nil"/>
            </w:tcBorders>
            <w:vAlign w:val="center"/>
          </w:tcPr>
          <w:p>
            <w:pPr>
              <w:pStyle w:val="19"/>
              <w:widowControl/>
              <w:spacing w:beforeAutospacing="1" w:afterAutospacing="1"/>
              <w:jc w:val="center"/>
              <w:rPr>
                <w:rFonts w:eastAsia="宋体"/>
              </w:rPr>
            </w:pPr>
            <w:r>
              <w:rPr>
                <w:rFonts w:hint="eastAsia" w:eastAsia="宋体"/>
              </w:rPr>
              <w:t>0.11</w:t>
            </w:r>
          </w:p>
        </w:tc>
        <w:tc>
          <w:tcPr>
            <w:tcW w:w="1378" w:type="dxa"/>
            <w:tcBorders>
              <w:top w:val="nil"/>
              <w:left w:val="nil"/>
              <w:bottom w:val="nil"/>
              <w:right w:val="nil"/>
            </w:tcBorders>
            <w:vAlign w:val="center"/>
          </w:tcPr>
          <w:p>
            <w:pPr>
              <w:pStyle w:val="19"/>
              <w:widowControl/>
              <w:spacing w:beforeAutospacing="1" w:afterAutospacing="1"/>
              <w:jc w:val="center"/>
              <w:rPr>
                <w:rFonts w:eastAsia="宋体"/>
              </w:rPr>
            </w:pPr>
            <w:r>
              <w:rPr>
                <w:rFonts w:hint="eastAsia" w:eastAsia="宋体"/>
              </w:rPr>
              <w:t>0.068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8" w:type="dxa"/>
            <w:tcBorders>
              <w:top w:val="nil"/>
              <w:left w:val="nil"/>
              <w:bottom w:val="nil"/>
              <w:right w:val="nil"/>
            </w:tcBorders>
            <w:vAlign w:val="center"/>
          </w:tcPr>
          <w:p>
            <w:pPr>
              <w:pStyle w:val="19"/>
              <w:widowControl/>
              <w:spacing w:beforeAutospacing="1" w:afterAutospacing="1"/>
              <w:jc w:val="center"/>
              <w:rPr>
                <w:bCs/>
              </w:rPr>
            </w:pPr>
            <w:r>
              <w:rPr>
                <w:color w:val="000000"/>
              </w:rPr>
              <w:t>Encap-S=O</w:t>
            </w:r>
          </w:p>
        </w:tc>
        <w:tc>
          <w:tcPr>
            <w:tcW w:w="1470" w:type="dxa"/>
            <w:tcBorders>
              <w:top w:val="nil"/>
              <w:left w:val="nil"/>
              <w:bottom w:val="nil"/>
              <w:right w:val="nil"/>
            </w:tcBorders>
            <w:vAlign w:val="center"/>
          </w:tcPr>
          <w:p>
            <w:pPr>
              <w:pStyle w:val="19"/>
              <w:widowControl/>
              <w:spacing w:beforeAutospacing="1" w:afterAutospacing="1"/>
              <w:jc w:val="center"/>
              <w:rPr>
                <w:bCs/>
              </w:rPr>
            </w:pPr>
            <w:r>
              <w:rPr>
                <w:color w:val="000000"/>
              </w:rPr>
              <w:t>346</w:t>
            </w:r>
          </w:p>
        </w:tc>
        <w:tc>
          <w:tcPr>
            <w:tcW w:w="1286" w:type="dxa"/>
            <w:tcBorders>
              <w:top w:val="nil"/>
              <w:left w:val="nil"/>
              <w:bottom w:val="nil"/>
              <w:right w:val="nil"/>
            </w:tcBorders>
            <w:vAlign w:val="center"/>
          </w:tcPr>
          <w:p>
            <w:pPr>
              <w:pStyle w:val="19"/>
              <w:widowControl/>
              <w:spacing w:beforeAutospacing="1" w:afterAutospacing="1"/>
              <w:jc w:val="center"/>
              <w:rPr>
                <w:bCs/>
              </w:rPr>
            </w:pPr>
            <w:r>
              <w:rPr>
                <w:color w:val="000000"/>
              </w:rPr>
              <w:t>0.42</w:t>
            </w:r>
          </w:p>
        </w:tc>
        <w:tc>
          <w:tcPr>
            <w:tcW w:w="1378" w:type="dxa"/>
            <w:tcBorders>
              <w:top w:val="nil"/>
              <w:left w:val="nil"/>
              <w:bottom w:val="nil"/>
              <w:right w:val="nil"/>
            </w:tcBorders>
            <w:vAlign w:val="center"/>
          </w:tcPr>
          <w:p>
            <w:pPr>
              <w:pStyle w:val="19"/>
              <w:widowControl/>
              <w:spacing w:beforeAutospacing="1" w:afterAutospacing="1"/>
              <w:jc w:val="center"/>
            </w:pPr>
            <w:r>
              <w:t>0.11</w:t>
            </w:r>
          </w:p>
        </w:tc>
        <w:tc>
          <w:tcPr>
            <w:tcW w:w="1378" w:type="dxa"/>
            <w:tcBorders>
              <w:top w:val="nil"/>
              <w:left w:val="nil"/>
              <w:bottom w:val="nil"/>
              <w:right w:val="nil"/>
            </w:tcBorders>
            <w:vAlign w:val="center"/>
          </w:tcPr>
          <w:p>
            <w:pPr>
              <w:pStyle w:val="19"/>
              <w:widowControl/>
              <w:spacing w:beforeAutospacing="1" w:afterAutospacing="1"/>
              <w:jc w:val="center"/>
            </w:pPr>
            <w:r>
              <w:t>0.066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8" w:type="dxa"/>
            <w:tcBorders>
              <w:top w:val="nil"/>
              <w:left w:val="nil"/>
              <w:bottom w:val="single" w:color="auto" w:sz="4" w:space="0"/>
              <w:right w:val="nil"/>
            </w:tcBorders>
            <w:vAlign w:val="center"/>
          </w:tcPr>
          <w:p>
            <w:pPr>
              <w:pStyle w:val="19"/>
              <w:widowControl/>
              <w:spacing w:beforeAutospacing="1" w:afterAutospacing="1"/>
              <w:jc w:val="center"/>
              <w:rPr>
                <w:color w:val="000000"/>
              </w:rPr>
            </w:pPr>
            <w:r>
              <w:rPr>
                <w:color w:val="000000"/>
              </w:rPr>
              <w:t>Encap-</w:t>
            </w:r>
            <w:r>
              <w:rPr>
                <w:rFonts w:hint="eastAsia" w:eastAsia="宋体"/>
                <w:color w:val="000000"/>
              </w:rPr>
              <w:t>N-</w:t>
            </w:r>
            <w:r>
              <w:rPr>
                <w:color w:val="000000"/>
              </w:rPr>
              <w:t>O</w:t>
            </w:r>
          </w:p>
        </w:tc>
        <w:tc>
          <w:tcPr>
            <w:tcW w:w="1470" w:type="dxa"/>
            <w:tcBorders>
              <w:top w:val="nil"/>
              <w:left w:val="nil"/>
              <w:bottom w:val="single" w:color="auto" w:sz="4" w:space="0"/>
              <w:right w:val="nil"/>
            </w:tcBorders>
            <w:vAlign w:val="center"/>
          </w:tcPr>
          <w:p>
            <w:pPr>
              <w:pStyle w:val="19"/>
              <w:widowControl/>
              <w:spacing w:beforeAutospacing="1" w:afterAutospacing="1"/>
              <w:jc w:val="center"/>
              <w:rPr>
                <w:rFonts w:eastAsia="宋体"/>
                <w:color w:val="000000"/>
              </w:rPr>
            </w:pPr>
            <w:r>
              <w:rPr>
                <w:rFonts w:hint="eastAsia"/>
              </w:rPr>
              <w:t>40</w:t>
            </w:r>
            <w:r>
              <w:rPr>
                <w:rFonts w:hint="eastAsia" w:eastAsia="宋体"/>
              </w:rPr>
              <w:t>5</w:t>
            </w:r>
          </w:p>
        </w:tc>
        <w:tc>
          <w:tcPr>
            <w:tcW w:w="1286" w:type="dxa"/>
            <w:tcBorders>
              <w:top w:val="nil"/>
              <w:left w:val="nil"/>
              <w:bottom w:val="single" w:color="auto" w:sz="4" w:space="0"/>
              <w:right w:val="nil"/>
            </w:tcBorders>
            <w:vAlign w:val="center"/>
          </w:tcPr>
          <w:p>
            <w:pPr>
              <w:pStyle w:val="19"/>
              <w:widowControl/>
              <w:spacing w:beforeAutospacing="1" w:afterAutospacing="1"/>
              <w:jc w:val="center"/>
              <w:rPr>
                <w:rFonts w:eastAsia="宋体"/>
                <w:color w:val="000000"/>
              </w:rPr>
            </w:pPr>
            <w:r>
              <w:rPr>
                <w:rFonts w:hint="eastAsia" w:eastAsia="宋体"/>
                <w:color w:val="000000"/>
              </w:rPr>
              <w:t>0.31</w:t>
            </w:r>
          </w:p>
        </w:tc>
        <w:tc>
          <w:tcPr>
            <w:tcW w:w="1378" w:type="dxa"/>
            <w:tcBorders>
              <w:top w:val="nil"/>
              <w:left w:val="nil"/>
              <w:bottom w:val="single" w:color="auto" w:sz="4" w:space="0"/>
              <w:right w:val="nil"/>
            </w:tcBorders>
            <w:vAlign w:val="center"/>
          </w:tcPr>
          <w:p>
            <w:pPr>
              <w:pStyle w:val="19"/>
              <w:widowControl/>
              <w:spacing w:beforeAutospacing="1" w:afterAutospacing="1"/>
              <w:jc w:val="center"/>
              <w:rPr>
                <w:rFonts w:eastAsia="宋体"/>
              </w:rPr>
            </w:pPr>
            <w:r>
              <w:rPr>
                <w:rFonts w:hint="eastAsia" w:eastAsia="宋体"/>
              </w:rPr>
              <w:t>0.12</w:t>
            </w:r>
          </w:p>
        </w:tc>
        <w:tc>
          <w:tcPr>
            <w:tcW w:w="1378" w:type="dxa"/>
            <w:tcBorders>
              <w:top w:val="nil"/>
              <w:left w:val="nil"/>
              <w:bottom w:val="single" w:color="auto" w:sz="4" w:space="0"/>
              <w:right w:val="nil"/>
            </w:tcBorders>
            <w:vAlign w:val="center"/>
          </w:tcPr>
          <w:p>
            <w:pPr>
              <w:pStyle w:val="19"/>
              <w:widowControl/>
              <w:spacing w:beforeAutospacing="1" w:afterAutospacing="1"/>
              <w:jc w:val="center"/>
              <w:rPr>
                <w:rFonts w:eastAsia="宋体"/>
              </w:rPr>
            </w:pPr>
            <w:r>
              <w:rPr>
                <w:rFonts w:hint="eastAsia" w:eastAsia="宋体"/>
              </w:rPr>
              <w:t>0.055</w:t>
            </w:r>
          </w:p>
        </w:tc>
      </w:tr>
      <w:bookmarkEnd w:id="265"/>
    </w:tbl>
    <w:p>
      <w:pPr>
        <w:rPr>
          <w:rFonts w:eastAsiaTheme="minorEastAsia"/>
        </w:rPr>
      </w:pPr>
    </w:p>
    <w:p>
      <w:pPr>
        <w:rPr>
          <w:rFonts w:eastAsiaTheme="minorEastAsia"/>
        </w:rPr>
      </w:pPr>
    </w:p>
    <w:p>
      <w:pPr>
        <w:rPr>
          <w:rFonts w:eastAsiaTheme="minorEastAsia"/>
        </w:rPr>
      </w:pPr>
    </w:p>
    <w:p>
      <w:pPr>
        <w:rPr>
          <w:rFonts w:eastAsiaTheme="minorEastAsia"/>
        </w:rPr>
      </w:pPr>
    </w:p>
    <w:p>
      <w:pPr>
        <w:rPr>
          <w:rFonts w:eastAsiaTheme="minorEastAsia"/>
        </w:rPr>
      </w:pPr>
    </w:p>
    <w:p>
      <w:pPr>
        <w:pStyle w:val="2"/>
      </w:pPr>
      <w:bookmarkStart w:id="266" w:name="_Toc127887848"/>
    </w:p>
    <w:p>
      <w:pPr>
        <w:pStyle w:val="2"/>
        <w:rPr>
          <w:b w:val="0"/>
          <w:bCs w:val="0"/>
          <w:sz w:val="22"/>
          <w:szCs w:val="36"/>
        </w:rPr>
      </w:pPr>
      <w:bookmarkStart w:id="267" w:name="_Toc150263798"/>
      <w:r>
        <w:rPr>
          <w:rFonts w:hint="eastAsia"/>
          <w:b w:val="0"/>
          <w:bCs w:val="0"/>
          <w:sz w:val="22"/>
          <w:szCs w:val="36"/>
        </w:rPr>
        <w:t>Note: The contents of Au and Pd were obtained by ICP-OES.</w:t>
      </w:r>
      <w:bookmarkEnd w:id="266"/>
      <w:bookmarkEnd w:id="267"/>
    </w:p>
    <w:bookmarkEnd w:id="140"/>
    <w:p>
      <w:pPr>
        <w:rPr>
          <w:rFonts w:cs="Times New Roman"/>
        </w:rPr>
      </w:pPr>
      <w:bookmarkStart w:id="268" w:name="OLE_LINK8"/>
      <w:r>
        <w:rPr>
          <w:rFonts w:cs="Times New Roman"/>
        </w:rPr>
        <w:br w:type="page"/>
      </w:r>
    </w:p>
    <w:p>
      <w:pPr>
        <w:pStyle w:val="2"/>
        <w:rPr>
          <w:rFonts w:eastAsia="宋体"/>
        </w:rPr>
      </w:pPr>
      <w:bookmarkStart w:id="269" w:name="_Toc127887849"/>
      <w:bookmarkStart w:id="270" w:name="OLE_LINK66"/>
      <w:bookmarkStart w:id="271" w:name="_Toc150263799"/>
      <w:r>
        <w:t>Supplementary Note</w:t>
      </w:r>
      <w:bookmarkEnd w:id="269"/>
      <w:bookmarkEnd w:id="270"/>
      <w:bookmarkEnd w:id="271"/>
    </w:p>
    <w:p>
      <w:pPr>
        <w:rPr>
          <w:rFonts w:cs="Times New Roman"/>
        </w:rPr>
      </w:pPr>
    </w:p>
    <w:bookmarkEnd w:id="268"/>
    <w:p>
      <w:pPr>
        <w:pStyle w:val="2"/>
        <w:rPr>
          <w:i/>
          <w:iCs/>
        </w:rPr>
      </w:pPr>
      <w:bookmarkStart w:id="272" w:name="_Toc150263800"/>
      <w:bookmarkStart w:id="273" w:name="_Toc127887850"/>
      <w:bookmarkStart w:id="274" w:name="_Toc4864"/>
      <w:r>
        <w:rPr>
          <w:i/>
          <w:iCs/>
        </w:rPr>
        <w:t>IGC measurement</w:t>
      </w:r>
      <w:bookmarkEnd w:id="272"/>
      <w:bookmarkEnd w:id="273"/>
      <w:bookmarkEnd w:id="274"/>
    </w:p>
    <w:p>
      <w:pPr>
        <w:rPr>
          <w:rFonts w:cs="Times New Roman"/>
          <w:szCs w:val="24"/>
        </w:rPr>
      </w:pPr>
    </w:p>
    <w:p>
      <w:pPr>
        <w:rPr>
          <w:rFonts w:cs="Times New Roman"/>
          <w:szCs w:val="24"/>
        </w:rPr>
      </w:pPr>
      <w:r>
        <w:rPr>
          <w:rFonts w:cs="Times New Roman"/>
          <w:szCs w:val="24"/>
        </w:rPr>
        <w:t>Material column filling:</w:t>
      </w:r>
    </w:p>
    <w:p>
      <w:pPr>
        <w:rPr>
          <w:rFonts w:cs="Times New Roman"/>
          <w:szCs w:val="24"/>
        </w:rPr>
      </w:pPr>
      <w:r>
        <w:rPr>
          <w:rFonts w:cs="Times New Roman"/>
          <w:szCs w:val="24"/>
        </w:rPr>
        <w:t>The catalyst sample was packed into a glass column (70 mm x 2 mm i.d.) with tapping until the powder bed had no cracks or voids. T</w:t>
      </w:r>
      <w:r>
        <w:rPr>
          <w:rFonts w:hint="eastAsia" w:cs="Times New Roman"/>
          <w:szCs w:val="24"/>
        </w:rPr>
        <w:t>he</w:t>
      </w:r>
      <w:r>
        <w:rPr>
          <w:rFonts w:cs="Times New Roman"/>
          <w:szCs w:val="24"/>
        </w:rPr>
        <w:t xml:space="preserve"> ends of the column were plugged with glass wool. </w:t>
      </w:r>
    </w:p>
    <w:p>
      <w:pPr>
        <w:rPr>
          <w:rFonts w:cs="Times New Roman" w:eastAsiaTheme="minorEastAsia"/>
          <w:szCs w:val="24"/>
        </w:rPr>
      </w:pPr>
    </w:p>
    <w:p>
      <w:pPr>
        <w:rPr>
          <w:rFonts w:hint="eastAsia" w:cs="Times New Roman" w:eastAsiaTheme="minorEastAsia"/>
          <w:szCs w:val="24"/>
        </w:rPr>
      </w:pPr>
      <w:r>
        <w:rPr>
          <w:rFonts w:hint="eastAsia" w:cs="Times New Roman" w:eastAsiaTheme="minorEastAsia"/>
          <w:szCs w:val="24"/>
        </w:rPr>
        <w:t>T</w:t>
      </w:r>
      <w:r>
        <w:rPr>
          <w:rFonts w:cs="Times New Roman" w:eastAsiaTheme="minorEastAsia"/>
          <w:szCs w:val="24"/>
        </w:rPr>
        <w:t>ests:</w:t>
      </w:r>
    </w:p>
    <w:p>
      <w:pPr>
        <w:rPr>
          <w:rFonts w:cs="Times New Roman"/>
          <w:color w:val="0000FF"/>
          <w:szCs w:val="24"/>
        </w:rPr>
      </w:pPr>
      <w:r>
        <w:rPr>
          <w:rFonts w:hint="eastAsia" w:cs="Times New Roman"/>
          <w:szCs w:val="24"/>
        </w:rPr>
        <w:t>IGC data were</w:t>
      </w:r>
      <w:r>
        <w:rPr>
          <w:rFonts w:cs="Times New Roman"/>
          <w:szCs w:val="24"/>
        </w:rPr>
        <w:t xml:space="preserve"> </w:t>
      </w:r>
      <w:r>
        <w:rPr>
          <w:rFonts w:hint="eastAsia" w:cs="Times New Roman"/>
          <w:szCs w:val="24"/>
        </w:rPr>
        <w:t>collected on a</w:t>
      </w:r>
      <w:r>
        <w:rPr>
          <w:rFonts w:cs="Times New Roman"/>
          <w:szCs w:val="24"/>
        </w:rPr>
        <w:t xml:space="preserve"> </w:t>
      </w:r>
      <w:r>
        <w:rPr>
          <w:rFonts w:hint="eastAsia" w:cs="Times New Roman"/>
          <w:szCs w:val="24"/>
        </w:rPr>
        <w:t>converted</w:t>
      </w:r>
      <w:r>
        <w:rPr>
          <w:rFonts w:cs="Times New Roman"/>
          <w:szCs w:val="24"/>
        </w:rPr>
        <w:t xml:space="preserve"> Agilent 6890N GC. </w:t>
      </w:r>
    </w:p>
    <w:p>
      <w:pPr>
        <w:rPr>
          <w:rFonts w:cs="Times New Roman"/>
          <w:szCs w:val="24"/>
        </w:rPr>
      </w:pPr>
      <w:r>
        <w:rPr>
          <w:rFonts w:cs="Times New Roman"/>
          <w:szCs w:val="24"/>
        </w:rPr>
        <w:t xml:space="preserve">The powder-packed column was connected to </w:t>
      </w:r>
      <w:r>
        <w:rPr>
          <w:rFonts w:hint="eastAsia" w:cs="Times New Roman"/>
          <w:szCs w:val="24"/>
        </w:rPr>
        <w:t>the</w:t>
      </w:r>
      <w:r>
        <w:rPr>
          <w:rFonts w:cs="Times New Roman"/>
          <w:szCs w:val="24"/>
        </w:rPr>
        <w:t xml:space="preserve"> inlet and detector of the Gas Chromatography. Then remove the adsorbed water under He flow at 250 </w:t>
      </w:r>
      <w:r>
        <w:rPr>
          <w:rFonts w:cs="Times New Roman"/>
          <w:szCs w:val="24"/>
          <w:vertAlign w:val="superscript"/>
        </w:rPr>
        <w:t>o</w:t>
      </w:r>
      <w:r>
        <w:rPr>
          <w:rFonts w:cs="Times New Roman"/>
          <w:szCs w:val="24"/>
        </w:rPr>
        <w:t xml:space="preserve">C for 2 h. The probe molecules were brought into the column with a He flow of </w:t>
      </w:r>
      <w:r>
        <w:rPr>
          <w:rFonts w:hint="eastAsia" w:cs="Times New Roman"/>
          <w:szCs w:val="24"/>
        </w:rPr>
        <w:t>~</w:t>
      </w:r>
      <w:r>
        <w:rPr>
          <w:rFonts w:cs="Times New Roman"/>
          <w:szCs w:val="24"/>
        </w:rPr>
        <w:t>70 mL/min. The retention times of the probes were recorded by a flame ionization detector (FID). The pre-column and post-column pressure were measured with two pressure gauges.</w:t>
      </w:r>
      <w:r>
        <w:rPr>
          <w:rFonts w:hint="eastAsia" w:cs="Times New Roman" w:eastAsiaTheme="minorEastAsia"/>
          <w:szCs w:val="24"/>
        </w:rPr>
        <w:t xml:space="preserve"> </w:t>
      </w:r>
      <w:r>
        <w:rPr>
          <w:rFonts w:cs="Times New Roman"/>
          <w:szCs w:val="24"/>
        </w:rPr>
        <w:t xml:space="preserve">Methanol was </w:t>
      </w:r>
      <w:r>
        <w:rPr>
          <w:rFonts w:hint="eastAsia" w:cs="Times New Roman"/>
          <w:szCs w:val="24"/>
        </w:rPr>
        <w:t>selected</w:t>
      </w:r>
      <w:r>
        <w:rPr>
          <w:rFonts w:cs="Times New Roman"/>
          <w:szCs w:val="24"/>
        </w:rPr>
        <w:t xml:space="preserve"> as the polar probe to determine the specific surface energy (-∆G</w:t>
      </w:r>
      <w:r>
        <w:rPr>
          <w:rFonts w:cs="Times New Roman"/>
          <w:szCs w:val="24"/>
          <w:vertAlign w:val="superscript"/>
        </w:rPr>
        <w:t>Sp</w:t>
      </w:r>
      <w:r>
        <w:rPr>
          <w:rFonts w:cs="Times New Roman"/>
          <w:szCs w:val="24"/>
        </w:rPr>
        <w:t>).</w:t>
      </w:r>
    </w:p>
    <w:p>
      <w:pPr>
        <w:rPr>
          <w:rFonts w:cs="Times New Roman"/>
          <w:szCs w:val="24"/>
        </w:rPr>
      </w:pPr>
      <w:r>
        <w:rPr>
          <w:rFonts w:cs="Times New Roman"/>
          <w:szCs w:val="24"/>
        </w:rPr>
        <w:t>A</w:t>
      </w:r>
      <w:r>
        <w:rPr>
          <w:rFonts w:hint="eastAsia" w:cs="Times New Roman"/>
          <w:szCs w:val="24"/>
        </w:rPr>
        <w:t>ccording</w:t>
      </w:r>
      <w:r>
        <w:rPr>
          <w:rFonts w:cs="Times New Roman"/>
          <w:szCs w:val="24"/>
        </w:rPr>
        <w:t xml:space="preserve"> </w:t>
      </w:r>
      <w:r>
        <w:rPr>
          <w:rFonts w:hint="eastAsia" w:cs="Times New Roman"/>
          <w:szCs w:val="24"/>
        </w:rPr>
        <w:t>to</w:t>
      </w:r>
      <w:r>
        <w:rPr>
          <w:rFonts w:cs="Times New Roman"/>
          <w:szCs w:val="24"/>
        </w:rPr>
        <w:t xml:space="preserve"> </w:t>
      </w:r>
      <w:r>
        <w:rPr>
          <w:rFonts w:hint="eastAsia" w:cs="Times New Roman"/>
          <w:szCs w:val="24"/>
        </w:rPr>
        <w:t>the</w:t>
      </w:r>
      <w:r>
        <w:rPr>
          <w:rFonts w:cs="Times New Roman"/>
          <w:szCs w:val="24"/>
        </w:rPr>
        <w:t xml:space="preserve"> </w:t>
      </w:r>
      <w:r>
        <w:rPr>
          <w:rFonts w:hint="eastAsia" w:cs="Times New Roman"/>
          <w:szCs w:val="24"/>
        </w:rPr>
        <w:t>following</w:t>
      </w:r>
      <w:r>
        <w:rPr>
          <w:rFonts w:cs="Times New Roman"/>
          <w:szCs w:val="24"/>
        </w:rPr>
        <w:t xml:space="preserve"> formulas:</w:t>
      </w:r>
      <w:r>
        <w:fldChar w:fldCharType="begin"/>
      </w:r>
      <w:r>
        <w:instrText xml:space="preserve"> HYPERLINK \l "_ENREF_9" \o "Xie, 2022 #221" </w:instrText>
      </w:r>
      <w:r>
        <w:fldChar w:fldCharType="separate"/>
      </w:r>
      <w:r>
        <w:rPr>
          <w:rFonts w:cs="Times New Roman"/>
          <w:szCs w:val="24"/>
        </w:rPr>
        <w:fldChar w:fldCharType="begin">
          <w:fldData xml:space="preserve">PEVuZE5vdGU+PENpdGU+PEF1dGhvcj5YaWU8L0F1dGhvcj48WWVhcj4yMDIyPC9ZZWFyPjxSZWNO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</w:fldData>
        </w:fldChar>
      </w:r>
      <w:r>
        <w:rPr>
          <w:rFonts w:cs="Times New Roman"/>
          <w:szCs w:val="24"/>
        </w:rPr>
        <w:instrText xml:space="preserve"> ADDIN EN.CITE </w:instrText>
      </w:r>
      <w:r>
        <w:rPr>
          <w:rFonts w:cs="Times New Roman"/>
          <w:szCs w:val="24"/>
        </w:rPr>
        <w:fldChar w:fldCharType="begin">
          <w:fldData xml:space="preserve">PEVuZE5vdGU+PENpdGU+PEF1dGhvcj5YaWU8L0F1dGhvcj48WWVhcj4yMDIyPC9ZZWFyPjxSZWNO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</w:fldData>
        </w:fldChar>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9-12</w:t>
      </w:r>
      <w:r>
        <w:rPr>
          <w:rFonts w:cs="Times New Roman"/>
          <w:szCs w:val="24"/>
        </w:rPr>
        <w:fldChar w:fldCharType="end"/>
      </w:r>
      <w:r>
        <w:rPr>
          <w:rFonts w:cs="Times New Roman"/>
          <w:szCs w:val="24"/>
        </w:rPr>
        <w:fldChar w:fldCharType="end"/>
      </w:r>
    </w:p>
    <w:p>
      <w:pPr>
        <w:rPr>
          <w:rFonts w:cs="Times New Roman"/>
          <w:szCs w:val="24"/>
        </w:rPr>
      </w:pPr>
    </w:p>
    <w:p>
      <w:pPr>
        <w:rPr>
          <w:rFonts w:cs="Times New Roman"/>
          <w:szCs w:val="24"/>
        </w:rPr>
      </w:pPr>
      <m:oMathPara>
        <m:oMath>
          <m:r>
            <m:rPr>
              <m:nor/>
              <m:sty m:val="p"/>
            </m:rPr>
            <w:rPr>
              <w:rFonts w:cs="Times New Roman"/>
              <w:szCs w:val="24"/>
            </w:rPr>
            <m:t>∆</m:t>
          </m:r>
          <m:sSub>
            <m:sSubPr>
              <m:ctrlPr>
                <w:rPr>
                  <w:rFonts w:ascii="Cambria Math" w:hAnsi="Cambria Math" w:cs="Times New Roman"/>
                  <w:i/>
                  <w:szCs w:val="24"/>
                </w:rPr>
              </m:ctrlPr>
            </m:sSubPr>
            <m:e>
              <m:r>
                <m:rPr>
                  <m:nor/>
                  <m:sty m:val="p"/>
                </m:rPr>
                <w:rPr>
                  <w:rFonts w:cs="Times New Roman"/>
                  <w:szCs w:val="24"/>
                </w:rPr>
                <m:t>G</m:t>
              </m:r>
              <m:ctrlPr>
                <w:rPr>
                  <w:rFonts w:ascii="Cambria Math" w:hAnsi="Cambria Math" w:cs="Times New Roman"/>
                  <w:i/>
                  <w:szCs w:val="24"/>
                </w:rPr>
              </m:ctrlPr>
            </m:e>
            <m:sub>
              <m:r>
                <m:rPr>
                  <m:nor/>
                  <m:sty m:val="p"/>
                </m:rPr>
                <w:rPr>
                  <w:rFonts w:cs="Times New Roman"/>
                  <w:szCs w:val="24"/>
                </w:rPr>
                <m:t>ads</m:t>
              </m:r>
              <m:r>
                <m:rPr>
                  <m:nor/>
                  <m:sty m:val="p"/>
                </m:rPr>
                <w:rPr>
                  <w:rFonts w:ascii="Cambria Math" w:cs="Times New Roman"/>
                  <w:szCs w:val="24"/>
                </w:rPr>
                <m:t xml:space="preserve"> </m:t>
              </m:r>
              <m:ctrlPr>
                <w:rPr>
                  <w:rFonts w:ascii="Cambria Math" w:hAnsi="Cambria Math" w:cs="Times New Roman"/>
                  <w:i/>
                  <w:szCs w:val="24"/>
                </w:rPr>
              </m:ctrlPr>
            </m:sub>
          </m:sSub>
          <m:r>
            <m:rPr>
              <m:nor/>
              <m:sty m:val="p"/>
            </m:rPr>
            <w:rPr>
              <w:rFonts w:cs="Times New Roman"/>
              <w:szCs w:val="24"/>
            </w:rPr>
            <m:t>=</m:t>
          </m:r>
          <m:r>
            <m:rPr>
              <m:nor/>
              <m:sty m:val="p"/>
            </m:rPr>
            <w:rPr>
              <w:rFonts w:ascii="Cambria Math" w:cs="Times New Roman"/>
              <w:szCs w:val="24"/>
            </w:rPr>
            <m:t xml:space="preserve"> </m:t>
          </m:r>
          <m:r>
            <m:rPr>
              <m:nor/>
              <m:sty m:val="p"/>
            </m:rPr>
            <w:rPr>
              <w:rFonts w:cs="Times New Roman"/>
              <w:szCs w:val="24"/>
            </w:rPr>
            <m:t>∆</m:t>
          </m:r>
          <m:sSubSup>
            <m:sSubSupPr>
              <m:ctrlPr>
                <w:rPr>
                  <w:rFonts w:ascii="Cambria Math" w:hAnsi="Cambria Math" w:cs="Times New Roman"/>
                  <w:i/>
                  <w:szCs w:val="24"/>
                </w:rPr>
              </m:ctrlPr>
            </m:sSubSupPr>
            <m:e>
              <m:r>
                <m:rPr>
                  <m:nor/>
                  <m:sty m:val="p"/>
                </m:rPr>
                <w:rPr>
                  <w:rFonts w:cs="Times New Roman"/>
                  <w:szCs w:val="24"/>
                </w:rPr>
                <m:t>G</m:t>
              </m:r>
              <m:ctrlPr>
                <w:rPr>
                  <w:rFonts w:ascii="Cambria Math" w:hAnsi="Cambria Math" w:cs="Times New Roman"/>
                  <w:i/>
                  <w:szCs w:val="24"/>
                </w:rPr>
              </m:ctrlPr>
            </m:e>
            <m:sub>
              <m:r>
                <m:rPr>
                  <m:nor/>
                  <m:sty m:val="p"/>
                </m:rPr>
                <w:rPr>
                  <w:rFonts w:cs="Times New Roman"/>
                  <w:szCs w:val="24"/>
                </w:rPr>
                <m:t>ads</m:t>
              </m:r>
              <m:ctrlPr>
                <w:rPr>
                  <w:rFonts w:ascii="Cambria Math" w:hAnsi="Cambria Math" w:cs="Times New Roman"/>
                  <w:i/>
                  <w:szCs w:val="24"/>
                </w:rPr>
              </m:ctrlPr>
            </m:sub>
            <m:sup>
              <m:r>
                <m:rPr>
                  <m:nor/>
                  <m:sty m:val="p"/>
                </m:rPr>
                <w:rPr>
                  <w:rFonts w:cs="Times New Roman"/>
                  <w:szCs w:val="24"/>
                </w:rPr>
                <m:t>D</m:t>
              </m:r>
              <m:ctrlPr>
                <w:rPr>
                  <w:rFonts w:ascii="Cambria Math" w:hAnsi="Cambria Math" w:cs="Times New Roman"/>
                  <w:i/>
                  <w:szCs w:val="24"/>
                </w:rPr>
              </m:ctrlPr>
            </m:sup>
          </m:sSubSup>
          <m:r>
            <m:rPr>
              <m:nor/>
              <m:sty m:val="p"/>
            </m:rPr>
            <w:rPr>
              <w:rFonts w:cs="Times New Roman"/>
              <w:szCs w:val="24"/>
            </w:rPr>
            <m:t>+∆</m:t>
          </m:r>
          <m:sSubSup>
            <m:sSubSupPr>
              <m:ctrlPr>
                <w:rPr>
                  <w:rFonts w:ascii="Cambria Math" w:hAnsi="Cambria Math" w:cs="Times New Roman"/>
                  <w:i/>
                  <w:szCs w:val="24"/>
                </w:rPr>
              </m:ctrlPr>
            </m:sSubSupPr>
            <m:e>
              <m:r>
                <m:rPr>
                  <m:nor/>
                  <m:sty m:val="p"/>
                </m:rPr>
                <w:rPr>
                  <w:rFonts w:cs="Times New Roman"/>
                  <w:szCs w:val="24"/>
                </w:rPr>
                <m:t>G</m:t>
              </m:r>
              <m:ctrlPr>
                <w:rPr>
                  <w:rFonts w:ascii="Cambria Math" w:hAnsi="Cambria Math" w:cs="Times New Roman"/>
                  <w:i/>
                  <w:szCs w:val="24"/>
                </w:rPr>
              </m:ctrlPr>
            </m:e>
            <m:sub>
              <m:r>
                <m:rPr>
                  <m:nor/>
                  <m:sty m:val="p"/>
                </m:rPr>
                <w:rPr>
                  <w:rFonts w:cs="Times New Roman"/>
                  <w:szCs w:val="24"/>
                </w:rPr>
                <m:t>ads</m:t>
              </m:r>
              <m:ctrlPr>
                <w:rPr>
                  <w:rFonts w:ascii="Cambria Math" w:hAnsi="Cambria Math" w:cs="Times New Roman"/>
                  <w:i/>
                  <w:szCs w:val="24"/>
                </w:rPr>
              </m:ctrlPr>
            </m:sub>
            <m:sup>
              <m:r>
                <m:rPr>
                  <m:nor/>
                  <m:sty m:val="p"/>
                </m:rPr>
                <w:rPr>
                  <w:rFonts w:cs="Times New Roman"/>
                  <w:szCs w:val="24"/>
                </w:rPr>
                <m:t>SP</m:t>
              </m:r>
              <m:ctrlPr>
                <w:rPr>
                  <w:rFonts w:ascii="Cambria Math" w:hAnsi="Cambria Math" w:cs="Times New Roman"/>
                  <w:i/>
                  <w:szCs w:val="24"/>
                </w:rPr>
              </m:ctrlPr>
            </m:sup>
          </m:sSubSup>
        </m:oMath>
      </m:oMathPara>
    </w:p>
    <w:p>
      <w:pPr>
        <w:jc w:val="right"/>
        <w:rPr>
          <w:rFonts w:hint="eastAsia" w:cs="Times New Roman" w:eastAsiaTheme="minorEastAsia"/>
          <w:szCs w:val="24"/>
        </w:rPr>
      </w:pPr>
      <w:bookmarkStart w:id="275" w:name="OLE_LINK86"/>
      <w:r>
        <w:rPr>
          <w:rFonts w:cs="Times New Roman"/>
          <w:szCs w:val="24"/>
        </w:rPr>
        <w:t>Eq. S</w:t>
      </w:r>
      <w:bookmarkEnd w:id="275"/>
      <w:r>
        <w:rPr>
          <w:rFonts w:cs="Times New Roman"/>
          <w:szCs w:val="24"/>
        </w:rPr>
        <w:t>5</w:t>
      </w:r>
    </w:p>
    <w:p>
      <w:pPr>
        <w:rPr>
          <w:rFonts w:cs="Times New Roman"/>
          <w:i/>
          <w:color w:val="000000" w:themeColor="text1"/>
          <w:kern w:val="24"/>
          <w:szCs w:val="24"/>
          <w14:textFill>
            <w14:solidFill>
              <w14:schemeClr w14:val="tx1"/>
            </w14:solidFill>
          </w14:textFill>
        </w:rPr>
      </w:pPr>
      <m:oMathPara>
        <m:oMath>
          <m:r>
            <m:rPr>
              <m:nor/>
              <m:sty m:val="p"/>
            </m:rPr>
            <w:rPr>
              <w:rFonts w:cs="Times New Roman"/>
              <w:color w:val="000000" w:themeColor="text1"/>
              <w:kern w:val="24"/>
              <w:szCs w:val="24"/>
              <w14:textFill>
                <w14:solidFill>
                  <w14:schemeClr w14:val="tx1"/>
                </w14:solidFill>
              </w14:textFill>
            </w:rPr>
            <m:t>RTln</m:t>
          </m:r>
          <m:sSub>
            <m:sSubPr>
              <m:ctrlPr>
                <w:rPr>
                  <w:rFonts w:ascii="Cambria Math" w:hAnsi="Cambria Math" w:cs="Times New Roman"/>
                  <w:i/>
                  <w:color w:val="000000" w:themeColor="text1"/>
                  <w:kern w:val="24"/>
                  <w:szCs w:val="24"/>
                  <w14:textFill>
                    <w14:solidFill>
                      <w14:schemeClr w14:val="tx1"/>
                    </w14:solidFill>
                  </w14:textFill>
                </w:rPr>
              </m:ctrlPr>
            </m:sSubPr>
            <m:e>
              <m:r>
                <m:rPr>
                  <m:nor/>
                  <m:sty m:val="p"/>
                </m:rPr>
                <w:rPr>
                  <w:rFonts w:cs="Times New Roman"/>
                  <w:color w:val="000000" w:themeColor="text1"/>
                  <w:kern w:val="24"/>
                  <w:szCs w:val="24"/>
                  <w14:textFill>
                    <w14:solidFill>
                      <w14:schemeClr w14:val="tx1"/>
                    </w14:solidFill>
                  </w14:textFill>
                </w:rPr>
                <m:t>V</m:t>
              </m:r>
              <m:ctrlPr>
                <w:rPr>
                  <w:rFonts w:ascii="Cambria Math" w:hAnsi="Cambria Math" w:cs="Times New Roman"/>
                  <w:i/>
                  <w:color w:val="000000" w:themeColor="text1"/>
                  <w:kern w:val="24"/>
                  <w:szCs w:val="24"/>
                  <w14:textFill>
                    <w14:solidFill>
                      <w14:schemeClr w14:val="tx1"/>
                    </w14:solidFill>
                  </w14:textFill>
                </w:rPr>
              </m:ctrlPr>
            </m:e>
            <m:sub>
              <m:r>
                <m:rPr>
                  <m:nor/>
                  <m:sty m:val="p"/>
                </m:rPr>
                <w:rPr>
                  <w:rFonts w:cs="Times New Roman"/>
                  <w:color w:val="000000" w:themeColor="text1"/>
                  <w:kern w:val="24"/>
                  <w:szCs w:val="24"/>
                  <w14:textFill>
                    <w14:solidFill>
                      <w14:schemeClr w14:val="tx1"/>
                    </w14:solidFill>
                  </w14:textFill>
                </w:rPr>
                <m:t>N</m:t>
              </m:r>
              <m:ctrlPr>
                <w:rPr>
                  <w:rFonts w:ascii="Cambria Math" w:hAnsi="Cambria Math" w:cs="Times New Roman"/>
                  <w:i/>
                  <w:color w:val="000000" w:themeColor="text1"/>
                  <w:kern w:val="24"/>
                  <w:szCs w:val="24"/>
                  <w14:textFill>
                    <w14:solidFill>
                      <w14:schemeClr w14:val="tx1"/>
                    </w14:solidFill>
                  </w14:textFill>
                </w:rPr>
              </m:ctrlPr>
            </m:sub>
          </m:sSub>
          <m:r>
            <m:rPr>
              <m:nor/>
              <m:sty m:val="p"/>
            </m:rPr>
            <w:rPr>
              <w:rFonts w:cs="Times New Roman"/>
              <w:color w:val="000000" w:themeColor="text1"/>
              <w:kern w:val="24"/>
              <w:szCs w:val="24"/>
              <w14:textFill>
                <w14:solidFill>
                  <w14:schemeClr w14:val="tx1"/>
                </w14:solidFill>
              </w14:textFill>
            </w:rPr>
            <m:t xml:space="preserve"> = 2</m:t>
          </m:r>
          <m:sSub>
            <m:sSubPr>
              <m:ctrlPr>
                <w:rPr>
                  <w:rFonts w:ascii="Cambria Math" w:hAnsi="Cambria Math" w:cs="Times New Roman"/>
                  <w:color w:val="000000" w:themeColor="text1"/>
                  <w:kern w:val="24"/>
                  <w:szCs w:val="24"/>
                  <w14:textFill>
                    <w14:solidFill>
                      <w14:schemeClr w14:val="tx1"/>
                    </w14:solidFill>
                  </w14:textFill>
                </w:rPr>
              </m:ctrlPr>
            </m:sSubPr>
            <m:e>
              <m:r>
                <m:rPr>
                  <m:nor/>
                  <m:sty m:val="p"/>
                </m:rPr>
                <w:rPr>
                  <w:rFonts w:cs="Times New Roman"/>
                  <w:color w:val="000000" w:themeColor="text1"/>
                  <w:kern w:val="24"/>
                  <w:szCs w:val="24"/>
                  <w14:textFill>
                    <w14:solidFill>
                      <w14:schemeClr w14:val="tx1"/>
                    </w14:solidFill>
                  </w14:textFill>
                </w:rPr>
                <m:t>N</m:t>
              </m:r>
              <m:ctrlPr>
                <w:rPr>
                  <w:rFonts w:ascii="Cambria Math" w:hAnsi="Cambria Math" w:cs="Times New Roman"/>
                  <w:color w:val="000000" w:themeColor="text1"/>
                  <w:kern w:val="24"/>
                  <w:szCs w:val="24"/>
                  <w14:textFill>
                    <w14:solidFill>
                      <w14:schemeClr w14:val="tx1"/>
                    </w14:solidFill>
                  </w14:textFill>
                </w:rPr>
              </m:ctrlPr>
            </m:e>
            <m:sub>
              <m:r>
                <m:rPr>
                  <m:nor/>
                  <m:sty m:val="p"/>
                </m:rPr>
                <w:rPr>
                  <w:rFonts w:cs="Times New Roman"/>
                  <w:color w:val="000000" w:themeColor="text1"/>
                  <w:kern w:val="24"/>
                  <w:szCs w:val="24"/>
                  <w14:textFill>
                    <w14:solidFill>
                      <w14:schemeClr w14:val="tx1"/>
                    </w14:solidFill>
                  </w14:textFill>
                </w:rPr>
                <m:t>A</m:t>
              </m:r>
              <m:ctrlPr>
                <w:rPr>
                  <w:rFonts w:ascii="Cambria Math" w:hAnsi="Cambria Math" w:cs="Times New Roman"/>
                  <w:color w:val="000000" w:themeColor="text1"/>
                  <w:kern w:val="24"/>
                  <w:szCs w:val="24"/>
                  <w14:textFill>
                    <w14:solidFill>
                      <w14:schemeClr w14:val="tx1"/>
                    </w14:solidFill>
                  </w14:textFill>
                </w:rPr>
              </m:ctrlPr>
            </m:sub>
          </m:sSub>
          <m:r>
            <m:rPr>
              <m:nor/>
              <m:sty m:val="p"/>
            </m:rPr>
            <w:rPr>
              <w:rFonts w:cs="Times New Roman"/>
              <w:color w:val="000000" w:themeColor="text1"/>
              <w:kern w:val="24"/>
              <w:szCs w:val="24"/>
              <w14:textFill>
                <w14:solidFill>
                  <w14:schemeClr w14:val="tx1"/>
                </w14:solidFill>
              </w14:textFill>
            </w:rPr>
            <m:t>a</m:t>
          </m:r>
          <m:rad>
            <m:radPr>
              <m:degHide m:val="1"/>
              <m:ctrlPr>
                <w:rPr>
                  <w:rFonts w:ascii="Cambria Math" w:hAnsi="Cambria Math" w:cs="Times New Roman"/>
                  <w:color w:val="000000" w:themeColor="text1"/>
                  <w:kern w:val="24"/>
                  <w:szCs w:val="24"/>
                  <w14:textFill>
                    <w14:solidFill>
                      <w14:schemeClr w14:val="tx1"/>
                    </w14:solidFill>
                  </w14:textFill>
                </w:rPr>
              </m:ctrlPr>
            </m:radPr>
            <m:deg>
              <m:ctrlPr>
                <w:rPr>
                  <w:rFonts w:ascii="Cambria Math" w:hAnsi="Cambria Math" w:cs="Times New Roman"/>
                  <w:color w:val="000000" w:themeColor="text1"/>
                  <w:kern w:val="24"/>
                  <w:szCs w:val="24"/>
                  <w14:textFill>
                    <w14:solidFill>
                      <w14:schemeClr w14:val="tx1"/>
                    </w14:solidFill>
                  </w14:textFill>
                </w:rPr>
              </m:ctrlPr>
            </m:deg>
            <m:e>
              <m:sSubSup>
                <m:sSubSupPr>
                  <m:ctrlPr>
                    <w:rPr>
                      <w:rFonts w:ascii="Cambria Math" w:hAnsi="Cambria Math" w:cs="Times New Roman"/>
                      <w:color w:val="000000" w:themeColor="text1"/>
                      <w:kern w:val="24"/>
                      <w:szCs w:val="24"/>
                      <w14:textFill>
                        <w14:solidFill>
                          <w14:schemeClr w14:val="tx1"/>
                        </w14:solidFill>
                      </w14:textFill>
                    </w:rPr>
                  </m:ctrlPr>
                </m:sSubSupPr>
                <m:e>
                  <m:r>
                    <m:rPr>
                      <m:nor/>
                      <m:sty m:val="p"/>
                    </m:rPr>
                    <w:rPr>
                      <w:rFonts w:cs="Times New Roman"/>
                      <w:color w:val="000000" w:themeColor="text1"/>
                      <w:kern w:val="24"/>
                      <w:szCs w:val="24"/>
                      <w14:textFill>
                        <w14:solidFill>
                          <w14:schemeClr w14:val="tx1"/>
                        </w14:solidFill>
                      </w14:textFill>
                    </w:rPr>
                    <m:t>γ</m:t>
                  </m:r>
                  <m:ctrlPr>
                    <w:rPr>
                      <w:rFonts w:ascii="Cambria Math" w:hAnsi="Cambria Math" w:cs="Times New Roman"/>
                      <w:color w:val="000000" w:themeColor="text1"/>
                      <w:kern w:val="24"/>
                      <w:szCs w:val="24"/>
                      <w14:textFill>
                        <w14:solidFill>
                          <w14:schemeClr w14:val="tx1"/>
                        </w14:solidFill>
                      </w14:textFill>
                    </w:rPr>
                  </m:ctrlPr>
                </m:e>
                <m:sub>
                  <m:r>
                    <m:rPr>
                      <m:nor/>
                      <m:sty m:val="p"/>
                    </m:rPr>
                    <w:rPr>
                      <w:rFonts w:cs="Times New Roman"/>
                      <w:color w:val="000000" w:themeColor="text1"/>
                      <w:kern w:val="24"/>
                      <w:szCs w:val="24"/>
                      <w14:textFill>
                        <w14:solidFill>
                          <w14:schemeClr w14:val="tx1"/>
                        </w14:solidFill>
                      </w14:textFill>
                    </w:rPr>
                    <m:t>S</m:t>
                  </m:r>
                  <m:ctrlPr>
                    <w:rPr>
                      <w:rFonts w:ascii="Cambria Math" w:hAnsi="Cambria Math" w:cs="Times New Roman"/>
                      <w:color w:val="000000" w:themeColor="text1"/>
                      <w:kern w:val="24"/>
                      <w:szCs w:val="24"/>
                      <w14:textFill>
                        <w14:solidFill>
                          <w14:schemeClr w14:val="tx1"/>
                        </w14:solidFill>
                      </w14:textFill>
                    </w:rPr>
                  </m:ctrlPr>
                </m:sub>
                <m:sup>
                  <m:r>
                    <m:rPr>
                      <m:nor/>
                      <m:sty m:val="p"/>
                    </m:rPr>
                    <w:rPr>
                      <w:rFonts w:cs="Times New Roman"/>
                      <w:color w:val="000000" w:themeColor="text1"/>
                      <w:kern w:val="24"/>
                      <w:szCs w:val="24"/>
                      <w14:textFill>
                        <w14:solidFill>
                          <w14:schemeClr w14:val="tx1"/>
                        </w14:solidFill>
                      </w14:textFill>
                    </w:rPr>
                    <m:t>D</m:t>
                  </m:r>
                  <m:ctrlPr>
                    <w:rPr>
                      <w:rFonts w:ascii="Cambria Math" w:hAnsi="Cambria Math" w:cs="Times New Roman"/>
                      <w:color w:val="000000" w:themeColor="text1"/>
                      <w:kern w:val="24"/>
                      <w:szCs w:val="24"/>
                      <w14:textFill>
                        <w14:solidFill>
                          <w14:schemeClr w14:val="tx1"/>
                        </w14:solidFill>
                      </w14:textFill>
                    </w:rPr>
                  </m:ctrlPr>
                </m:sup>
              </m:sSubSup>
              <m:sSubSup>
                <m:sSubSupPr>
                  <m:ctrlPr>
                    <w:rPr>
                      <w:rFonts w:ascii="Cambria Math" w:hAnsi="Cambria Math" w:cs="Times New Roman"/>
                      <w:color w:val="000000" w:themeColor="text1"/>
                      <w:kern w:val="24"/>
                      <w:szCs w:val="24"/>
                      <w14:textFill>
                        <w14:solidFill>
                          <w14:schemeClr w14:val="tx1"/>
                        </w14:solidFill>
                      </w14:textFill>
                    </w:rPr>
                  </m:ctrlPr>
                </m:sSubSupPr>
                <m:e>
                  <m:r>
                    <m:rPr>
                      <m:nor/>
                      <m:sty m:val="p"/>
                    </m:rPr>
                    <w:rPr>
                      <w:rFonts w:cs="Times New Roman"/>
                      <w:color w:val="000000" w:themeColor="text1"/>
                      <w:kern w:val="24"/>
                      <w:szCs w:val="24"/>
                      <w14:textFill>
                        <w14:solidFill>
                          <w14:schemeClr w14:val="tx1"/>
                        </w14:solidFill>
                      </w14:textFill>
                    </w:rPr>
                    <m:t>γ</m:t>
                  </m:r>
                  <m:ctrlPr>
                    <w:rPr>
                      <w:rFonts w:ascii="Cambria Math" w:hAnsi="Cambria Math" w:cs="Times New Roman"/>
                      <w:color w:val="000000" w:themeColor="text1"/>
                      <w:kern w:val="24"/>
                      <w:szCs w:val="24"/>
                      <w14:textFill>
                        <w14:solidFill>
                          <w14:schemeClr w14:val="tx1"/>
                        </w14:solidFill>
                      </w14:textFill>
                    </w:rPr>
                  </m:ctrlPr>
                </m:e>
                <m:sub>
                  <m:r>
                    <m:rPr>
                      <m:nor/>
                      <m:sty m:val="p"/>
                    </m:rPr>
                    <w:rPr>
                      <w:rFonts w:cs="Times New Roman"/>
                      <w:color w:val="000000" w:themeColor="text1"/>
                      <w:kern w:val="24"/>
                      <w:szCs w:val="24"/>
                      <w14:textFill>
                        <w14:solidFill>
                          <w14:schemeClr w14:val="tx1"/>
                        </w14:solidFill>
                      </w14:textFill>
                    </w:rPr>
                    <m:t>L</m:t>
                  </m:r>
                  <m:ctrlPr>
                    <w:rPr>
                      <w:rFonts w:ascii="Cambria Math" w:hAnsi="Cambria Math" w:cs="Times New Roman"/>
                      <w:color w:val="000000" w:themeColor="text1"/>
                      <w:kern w:val="24"/>
                      <w:szCs w:val="24"/>
                      <w14:textFill>
                        <w14:solidFill>
                          <w14:schemeClr w14:val="tx1"/>
                        </w14:solidFill>
                      </w14:textFill>
                    </w:rPr>
                  </m:ctrlPr>
                </m:sub>
                <m:sup>
                  <m:r>
                    <m:rPr>
                      <m:nor/>
                      <m:sty m:val="p"/>
                    </m:rPr>
                    <w:rPr>
                      <w:rFonts w:cs="Times New Roman"/>
                      <w:color w:val="000000" w:themeColor="text1"/>
                      <w:kern w:val="24"/>
                      <w:szCs w:val="24"/>
                      <w14:textFill>
                        <w14:solidFill>
                          <w14:schemeClr w14:val="tx1"/>
                        </w14:solidFill>
                      </w14:textFill>
                    </w:rPr>
                    <m:t>D</m:t>
                  </m:r>
                  <m:ctrlPr>
                    <w:rPr>
                      <w:rFonts w:ascii="Cambria Math" w:hAnsi="Cambria Math" w:cs="Times New Roman"/>
                      <w:color w:val="000000" w:themeColor="text1"/>
                      <w:kern w:val="24"/>
                      <w:szCs w:val="24"/>
                      <w14:textFill>
                        <w14:solidFill>
                          <w14:schemeClr w14:val="tx1"/>
                        </w14:solidFill>
                      </w14:textFill>
                    </w:rPr>
                  </m:ctrlPr>
                </m:sup>
              </m:sSubSup>
              <m:r>
                <m:rPr/>
                <w:rPr>
                  <w:rFonts w:ascii="Cambria Math" w:hAnsi="Cambria Math" w:cs="Times New Roman"/>
                  <w:color w:val="000000" w:themeColor="text1"/>
                  <w:kern w:val="24"/>
                  <w:szCs w:val="24"/>
                  <w14:textFill>
                    <w14:solidFill>
                      <w14:schemeClr w14:val="tx1"/>
                    </w14:solidFill>
                  </w14:textFill>
                </w:rPr>
                <m:t xml:space="preserve"> </m:t>
              </m:r>
              <m:ctrlPr>
                <w:rPr>
                  <w:rFonts w:ascii="Cambria Math" w:hAnsi="Cambria Math" w:cs="Times New Roman"/>
                  <w:color w:val="000000" w:themeColor="text1"/>
                  <w:kern w:val="24"/>
                  <w:szCs w:val="24"/>
                  <w14:textFill>
                    <w14:solidFill>
                      <w14:schemeClr w14:val="tx1"/>
                    </w14:solidFill>
                  </w14:textFill>
                </w:rPr>
              </m:ctrlPr>
            </m:e>
          </m:rad>
          <m:r>
            <m:rPr>
              <m:nor/>
              <m:sty m:val="p"/>
            </m:rPr>
            <w:rPr>
              <w:rFonts w:cs="Times New Roman"/>
              <w:color w:val="000000" w:themeColor="text1"/>
              <w:kern w:val="24"/>
              <w:szCs w:val="24"/>
              <w14:textFill>
                <w14:solidFill>
                  <w14:schemeClr w14:val="tx1"/>
                </w14:solidFill>
              </w14:textFill>
            </w:rPr>
            <m:t>+ C</m:t>
          </m:r>
        </m:oMath>
      </m:oMathPara>
    </w:p>
    <w:p>
      <w:pPr>
        <w:jc w:val="right"/>
        <w:rPr>
          <w:rFonts w:cs="Times New Roman"/>
          <w:szCs w:val="24"/>
        </w:rPr>
      </w:pPr>
      <w:r>
        <w:rPr>
          <w:rFonts w:cs="Times New Roman"/>
          <w:szCs w:val="24"/>
        </w:rPr>
        <w:t>Eq. S6</w:t>
      </w:r>
    </w:p>
    <w:p>
      <w:pPr>
        <w:rPr>
          <w:rFonts w:cs="Times New Roman"/>
          <w:szCs w:val="24"/>
        </w:rPr>
      </w:pPr>
      <m:oMathPara>
        <m:oMath>
          <m:r>
            <m:rPr>
              <m:nor/>
              <m:sty m:val="p"/>
            </m:rPr>
            <w:rPr>
              <w:rFonts w:cs="Times New Roman"/>
              <w:szCs w:val="24"/>
            </w:rPr>
            <m:t>∆</m:t>
          </m:r>
          <m:sSubSup>
            <m:sSubSupPr>
              <m:ctrlPr>
                <w:rPr>
                  <w:rFonts w:ascii="Cambria Math" w:hAnsi="Cambria Math" w:cs="Times New Roman"/>
                  <w:i/>
                  <w:szCs w:val="24"/>
                </w:rPr>
              </m:ctrlPr>
            </m:sSubSupPr>
            <m:e>
              <m:r>
                <m:rPr>
                  <m:nor/>
                  <m:sty m:val="p"/>
                </m:rPr>
                <w:rPr>
                  <w:rFonts w:cs="Times New Roman"/>
                  <w:szCs w:val="24"/>
                </w:rPr>
                <m:t>G</m:t>
              </m:r>
              <m:ctrlPr>
                <w:rPr>
                  <w:rFonts w:ascii="Cambria Math" w:hAnsi="Cambria Math" w:cs="Times New Roman"/>
                  <w:i/>
                  <w:szCs w:val="24"/>
                </w:rPr>
              </m:ctrlPr>
            </m:e>
            <m:sub>
              <m:r>
                <m:rPr>
                  <m:nor/>
                  <m:sty m:val="p"/>
                </m:rPr>
                <w:rPr>
                  <w:rFonts w:cs="Times New Roman"/>
                  <w:szCs w:val="24"/>
                </w:rPr>
                <m:t>ads</m:t>
              </m:r>
              <m:ctrlPr>
                <w:rPr>
                  <w:rFonts w:ascii="Cambria Math" w:hAnsi="Cambria Math" w:cs="Times New Roman"/>
                  <w:i/>
                  <w:szCs w:val="24"/>
                </w:rPr>
              </m:ctrlPr>
            </m:sub>
            <m:sup>
              <m:r>
                <m:rPr>
                  <m:nor/>
                  <m:sty m:val="p"/>
                </m:rPr>
                <w:rPr>
                  <w:rFonts w:cs="Times New Roman"/>
                  <w:szCs w:val="24"/>
                </w:rPr>
                <m:t>SP</m:t>
              </m:r>
              <m:ctrlPr>
                <w:rPr>
                  <w:rFonts w:ascii="Cambria Math" w:hAnsi="Cambria Math" w:cs="Times New Roman"/>
                  <w:i/>
                  <w:szCs w:val="24"/>
                </w:rPr>
              </m:ctrlPr>
            </m:sup>
          </m:sSubSup>
          <m:r>
            <m:rPr>
              <m:nor/>
              <m:sty m:val="p"/>
            </m:rPr>
            <w:rPr>
              <w:rFonts w:ascii="Cambria Math" w:cs="Times New Roman"/>
              <w:szCs w:val="24"/>
            </w:rPr>
            <m:t xml:space="preserve"> </m:t>
          </m:r>
          <m:r>
            <m:rPr>
              <m:nor/>
              <m:sty m:val="p"/>
            </m:rPr>
            <w:rPr>
              <w:rFonts w:cs="Times New Roman"/>
              <w:szCs w:val="24"/>
            </w:rPr>
            <m:t>=</m:t>
          </m:r>
          <m:r>
            <m:rPr>
              <m:nor/>
              <m:sty m:val="p"/>
            </m:rPr>
            <w:rPr>
              <w:rFonts w:ascii="Cambria Math" w:cs="Times New Roman"/>
              <w:szCs w:val="24"/>
            </w:rPr>
            <m:t xml:space="preserve"> </m:t>
          </m:r>
          <m:r>
            <m:rPr>
              <m:nor/>
              <m:sty m:val="p"/>
            </m:rPr>
            <w:rPr>
              <w:rFonts w:cs="Times New Roman"/>
              <w:szCs w:val="24"/>
            </w:rPr>
            <m:t>RTln</m:t>
          </m:r>
          <m:f>
            <m:fPr>
              <m:ctrlPr>
                <w:rPr>
                  <w:rFonts w:ascii="Cambria Math" w:hAnsi="Cambria Math" w:cs="Times New Roman"/>
                  <w:iCs/>
                  <w:szCs w:val="24"/>
                </w:rPr>
              </m:ctrlPr>
            </m:fPr>
            <m:num>
              <m:sSub>
                <m:sSubPr>
                  <m:ctrlPr>
                    <w:rPr>
                      <w:rFonts w:ascii="Cambria Math" w:hAnsi="Cambria Math" w:cs="Times New Roman"/>
                      <w:iCs/>
                      <w:szCs w:val="24"/>
                    </w:rPr>
                  </m:ctrlPr>
                </m:sSubPr>
                <m:e>
                  <m:r>
                    <m:rPr>
                      <m:sty m:val="p"/>
                    </m:rPr>
                    <w:rPr>
                      <w:rFonts w:ascii="Cambria Math" w:hAnsi="Cambria Math" w:cs="Times New Roman"/>
                      <w:szCs w:val="24"/>
                    </w:rPr>
                    <m:t>V</m:t>
                  </m:r>
                  <m:ctrlPr>
                    <w:rPr>
                      <w:rFonts w:ascii="Cambria Math" w:hAnsi="Cambria Math" w:cs="Times New Roman"/>
                      <w:iCs/>
                      <w:szCs w:val="24"/>
                    </w:rPr>
                  </m:ctrlPr>
                </m:e>
                <m:sub>
                  <m:r>
                    <m:rPr>
                      <m:sty m:val="p"/>
                    </m:rPr>
                    <w:rPr>
                      <w:rFonts w:ascii="Cambria Math" w:hAnsi="Cambria Math" w:cs="Times New Roman"/>
                      <w:szCs w:val="24"/>
                    </w:rPr>
                    <m:t>N</m:t>
                  </m:r>
                  <m:ctrlPr>
                    <w:rPr>
                      <w:rFonts w:ascii="Cambria Math" w:hAnsi="Cambria Math" w:cs="Times New Roman"/>
                      <w:iCs/>
                      <w:szCs w:val="24"/>
                    </w:rPr>
                  </m:ctrlPr>
                </m:sub>
              </m:sSub>
              <m:ctrlPr>
                <w:rPr>
                  <w:rFonts w:ascii="Cambria Math" w:hAnsi="Cambria Math" w:cs="Times New Roman"/>
                  <w:iCs/>
                  <w:szCs w:val="24"/>
                </w:rPr>
              </m:ctrlPr>
            </m:num>
            <m:den>
              <m:sSubSup>
                <m:sSubSupPr>
                  <m:ctrlPr>
                    <w:rPr>
                      <w:rFonts w:ascii="Cambria Math" w:hAnsi="Cambria Math" w:cs="Times New Roman"/>
                      <w:iCs/>
                      <w:szCs w:val="24"/>
                    </w:rPr>
                  </m:ctrlPr>
                </m:sSubSupPr>
                <m:e>
                  <m:r>
                    <m:rPr>
                      <m:sty m:val="p"/>
                    </m:rPr>
                    <w:rPr>
                      <w:rFonts w:ascii="Cambria Math" w:hAnsi="Cambria Math" w:cs="Times New Roman"/>
                      <w:szCs w:val="24"/>
                    </w:rPr>
                    <m:t>V</m:t>
                  </m:r>
                  <m:ctrlPr>
                    <w:rPr>
                      <w:rFonts w:ascii="Cambria Math" w:hAnsi="Cambria Math" w:cs="Times New Roman"/>
                      <w:iCs/>
                      <w:szCs w:val="24"/>
                    </w:rPr>
                  </m:ctrlPr>
                </m:e>
                <m:sub>
                  <m:r>
                    <m:rPr>
                      <m:sty m:val="p"/>
                    </m:rPr>
                    <w:rPr>
                      <w:rFonts w:ascii="Cambria Math" w:hAnsi="Cambria Math" w:cs="Times New Roman"/>
                      <w:szCs w:val="24"/>
                    </w:rPr>
                    <m:t>N</m:t>
                  </m:r>
                  <m:ctrlPr>
                    <w:rPr>
                      <w:rFonts w:ascii="Cambria Math" w:hAnsi="Cambria Math" w:cs="Times New Roman"/>
                      <w:iCs/>
                      <w:szCs w:val="24"/>
                    </w:rPr>
                  </m:ctrlPr>
                </m:sub>
                <m:sup>
                  <m:r>
                    <m:rPr>
                      <m:sty m:val="p"/>
                    </m:rPr>
                    <w:rPr>
                      <w:rFonts w:ascii="Cambria Math" w:hAnsi="Cambria Math" w:cs="Times New Roman"/>
                      <w:szCs w:val="24"/>
                    </w:rPr>
                    <m:t>ref</m:t>
                  </m:r>
                  <m:ctrlPr>
                    <w:rPr>
                      <w:rFonts w:ascii="Cambria Math" w:hAnsi="Cambria Math" w:cs="Times New Roman"/>
                      <w:iCs/>
                      <w:szCs w:val="24"/>
                    </w:rPr>
                  </m:ctrlPr>
                </m:sup>
              </m:sSubSup>
              <m:ctrlPr>
                <w:rPr>
                  <w:rFonts w:ascii="Cambria Math" w:hAnsi="Cambria Math" w:cs="Times New Roman"/>
                  <w:iCs/>
                  <w:szCs w:val="24"/>
                </w:rPr>
              </m:ctrlPr>
            </m:den>
          </m:f>
        </m:oMath>
      </m:oMathPara>
    </w:p>
    <w:p>
      <w:pPr>
        <w:jc w:val="right"/>
        <w:rPr>
          <w:rFonts w:cs="Times New Roman" w:eastAsiaTheme="minorEastAsia"/>
          <w:szCs w:val="24"/>
        </w:rPr>
      </w:pPr>
      <w:r>
        <w:rPr>
          <w:rFonts w:cs="Times New Roman"/>
          <w:szCs w:val="24"/>
        </w:rPr>
        <w:t>Eq. S</w:t>
      </w:r>
      <w:bookmarkStart w:id="276" w:name="OLE_LINK115"/>
      <w:r>
        <w:rPr>
          <w:rFonts w:cs="Times New Roman"/>
          <w:szCs w:val="24"/>
        </w:rPr>
        <w:t>7</w:t>
      </w:r>
    </w:p>
    <w:bookmarkEnd w:id="276"/>
    <w:p>
      <w:pPr>
        <w:rPr>
          <w:rFonts w:cs="Times New Roman"/>
          <w:szCs w:val="24"/>
        </w:rPr>
      </w:pPr>
      <w:r>
        <w:rPr>
          <w:rFonts w:cs="Times New Roman"/>
          <w:szCs w:val="24"/>
        </w:rPr>
        <w:t>N</w:t>
      </w:r>
      <w:r>
        <w:rPr>
          <w:rFonts w:cs="Times New Roman"/>
          <w:szCs w:val="24"/>
          <w:vertAlign w:val="subscript"/>
        </w:rPr>
        <w:t>A</w:t>
      </w:r>
      <w:r>
        <w:rPr>
          <w:rFonts w:cs="Times New Roman"/>
          <w:szCs w:val="24"/>
        </w:rPr>
        <w:t xml:space="preserve"> is the </w:t>
      </w:r>
      <w:bookmarkStart w:id="277" w:name="OLE_LINK128"/>
      <w:r>
        <w:rPr>
          <w:rFonts w:cs="Times New Roman"/>
          <w:szCs w:val="24"/>
        </w:rPr>
        <w:t>Avogadro number</w:t>
      </w:r>
      <w:bookmarkEnd w:id="277"/>
      <w:r>
        <w:rPr>
          <w:rFonts w:cs="Times New Roman"/>
          <w:szCs w:val="24"/>
        </w:rPr>
        <w:t xml:space="preserve">, a is the surface area occupied by the probe molecule, </w:t>
      </w:r>
      <w:bookmarkStart w:id="278" w:name="OLE_LINK56"/>
      <w:r>
        <w:rPr>
          <w:rFonts w:hint="eastAsia" w:cs="Times New Roman"/>
          <w:szCs w:val="24"/>
        </w:rPr>
        <w:t>V</w:t>
      </w:r>
      <w:r>
        <w:rPr>
          <w:rFonts w:cs="Times New Roman"/>
          <w:szCs w:val="24"/>
          <w:vertAlign w:val="subscript"/>
        </w:rPr>
        <w:t>N</w:t>
      </w:r>
      <w:bookmarkEnd w:id="278"/>
      <w:r>
        <w:rPr>
          <w:rFonts w:cs="Times New Roman"/>
          <w:szCs w:val="24"/>
        </w:rPr>
        <w:t xml:space="preserve"> is the net retention volume of the adsorbate, and γ</w:t>
      </w:r>
      <w:r>
        <w:rPr>
          <w:rFonts w:cs="Times New Roman"/>
          <w:szCs w:val="24"/>
          <w:vertAlign w:val="superscript"/>
        </w:rPr>
        <w:t>D</w:t>
      </w:r>
      <w:r>
        <w:rPr>
          <w:rFonts w:cs="Times New Roman"/>
          <w:szCs w:val="24"/>
          <w:vertAlign w:val="subscript"/>
        </w:rPr>
        <w:t>S</w:t>
      </w:r>
      <w:r>
        <w:rPr>
          <w:rFonts w:cs="Times New Roman"/>
          <w:szCs w:val="24"/>
        </w:rPr>
        <w:t xml:space="preserve"> and γ</w:t>
      </w:r>
      <w:r>
        <w:rPr>
          <w:rFonts w:cs="Times New Roman"/>
          <w:szCs w:val="24"/>
          <w:vertAlign w:val="superscript"/>
        </w:rPr>
        <w:t>D</w:t>
      </w:r>
      <w:r>
        <w:rPr>
          <w:rFonts w:cs="Times New Roman"/>
          <w:szCs w:val="24"/>
          <w:vertAlign w:val="subscript"/>
        </w:rPr>
        <w:t>L</w:t>
      </w:r>
      <w:r>
        <w:rPr>
          <w:rFonts w:cs="Times New Roman"/>
          <w:szCs w:val="24"/>
        </w:rPr>
        <w:t xml:space="preserve"> are the dispersed components of the solid and liquid surface energies, respectively.</w:t>
      </w:r>
    </w:p>
    <w:p>
      <w:pPr>
        <w:rPr>
          <w:rFonts w:cs="Times New Roman"/>
          <w:szCs w:val="24"/>
        </w:rPr>
      </w:pPr>
    </w:p>
    <w:p>
      <w:pPr>
        <w:rPr>
          <w:rFonts w:cs="Times New Roman"/>
        </w:rPr>
      </w:pPr>
      <w:r>
        <w:rPr>
          <w:rFonts w:cs="Times New Roman"/>
          <w:szCs w:val="24"/>
        </w:rPr>
        <w:t>The specific free energy (-∆G</w:t>
      </w:r>
      <w:r>
        <w:rPr>
          <w:rFonts w:cs="Times New Roman"/>
          <w:szCs w:val="24"/>
          <w:vertAlign w:val="superscript"/>
        </w:rPr>
        <w:t>Sp</w:t>
      </w:r>
      <w:r>
        <w:rPr>
          <w:rFonts w:cs="Times New Roman"/>
          <w:szCs w:val="24"/>
        </w:rPr>
        <w:t>) resulting from polar interactions can be calculated from the deviation of RTlnV</w:t>
      </w:r>
      <w:r>
        <w:rPr>
          <w:rFonts w:cs="Times New Roman"/>
          <w:szCs w:val="24"/>
          <w:vertAlign w:val="subscript"/>
        </w:rPr>
        <w:t>N</w:t>
      </w:r>
      <w:r>
        <w:rPr>
          <w:rFonts w:cs="Times New Roman"/>
          <w:szCs w:val="24"/>
        </w:rPr>
        <w:t xml:space="preserve"> (the calculated value of methanol</w:t>
      </w:r>
      <w:r>
        <w:rPr>
          <w:rFonts w:eastAsia="宋体" w:cs="Times New Roman"/>
          <w:szCs w:val="24"/>
        </w:rPr>
        <w:t>)</w:t>
      </w:r>
      <w:r>
        <w:rPr>
          <w:rFonts w:cs="Times New Roman"/>
          <w:szCs w:val="24"/>
        </w:rPr>
        <w:t xml:space="preserve"> from the gradient plot (plot of RTlnV</w:t>
      </w:r>
      <w:r>
        <w:rPr>
          <w:rFonts w:cs="Times New Roman"/>
          <w:szCs w:val="24"/>
          <w:vertAlign w:val="subscript"/>
        </w:rPr>
        <w:t>N</w:t>
      </w:r>
      <w:r>
        <w:rPr>
          <w:rFonts w:cs="Times New Roman"/>
          <w:szCs w:val="24"/>
          <w:vertAlign w:val="superscript"/>
        </w:rPr>
        <w:t>ref</w:t>
      </w:r>
      <w:r>
        <w:rPr>
          <w:rFonts w:cs="Times New Roman"/>
          <w:szCs w:val="24"/>
        </w:rPr>
        <w:t xml:space="preserve"> versus </w:t>
      </w:r>
      <w:r>
        <w:rPr>
          <w:rFonts w:hint="eastAsia" w:cs="Times New Roman"/>
          <w:szCs w:val="24"/>
        </w:rPr>
        <w:t>a</w:t>
      </w:r>
      <w:r>
        <w:rPr>
          <w:rFonts w:cs="Times New Roman"/>
          <w:szCs w:val="24"/>
        </w:rPr>
        <w:t>(γ</w:t>
      </w:r>
      <w:r>
        <w:rPr>
          <w:rFonts w:cs="Times New Roman"/>
          <w:szCs w:val="24"/>
          <w:vertAlign w:val="superscript"/>
        </w:rPr>
        <w:t>D</w:t>
      </w:r>
      <w:r>
        <w:rPr>
          <w:rFonts w:cs="Times New Roman"/>
          <w:szCs w:val="24"/>
          <w:vertAlign w:val="subscript"/>
        </w:rPr>
        <w:t>L</w:t>
      </w:r>
      <w:r>
        <w:rPr>
          <w:rFonts w:cs="Times New Roman"/>
          <w:szCs w:val="24"/>
        </w:rPr>
        <w:t>)</w:t>
      </w:r>
      <w:r>
        <w:rPr>
          <w:rFonts w:cs="Times New Roman"/>
          <w:szCs w:val="24"/>
          <w:vertAlign w:val="superscript"/>
        </w:rPr>
        <w:t>1/2</w:t>
      </w:r>
      <w:r>
        <w:rPr>
          <w:rFonts w:cs="Times New Roman"/>
          <w:szCs w:val="24"/>
        </w:rPr>
        <w:t xml:space="preserve"> for the non-polar probe molecules).</w:t>
      </w:r>
      <w:bookmarkStart w:id="279" w:name="OLE_LINK35"/>
    </w:p>
    <w:p>
      <w:pPr>
        <w:rPr>
          <w:rFonts w:cs="Times New Roman"/>
          <w:szCs w:val="24"/>
        </w:rPr>
      </w:pPr>
      <w:r>
        <w:rPr>
          <w:rFonts w:cs="Times New Roman"/>
        </w:rPr>
        <w:t>Specific parameters and surface energy are show</w:t>
      </w:r>
      <w:r>
        <w:rPr>
          <w:rFonts w:cs="Times New Roman"/>
          <w:szCs w:val="24"/>
        </w:rPr>
        <w:t>n in Table S6 and Table S7.</w:t>
      </w:r>
      <w:bookmarkEnd w:id="279"/>
    </w:p>
    <w:p>
      <w:pPr>
        <w:widowControl/>
        <w:jc w:val="left"/>
        <w:rPr>
          <w:rFonts w:cs="Times New Roman"/>
          <w:szCs w:val="24"/>
        </w:rPr>
      </w:pPr>
      <w:r>
        <w:rPr>
          <w:rFonts w:cs="Times New Roman"/>
          <w:szCs w:val="24"/>
        </w:rPr>
        <w:br w:type="page"/>
      </w:r>
    </w:p>
    <w:p>
      <w:pPr>
        <w:spacing w:after="156" w:afterLines="50"/>
        <w:rPr>
          <w:b/>
          <w:bCs/>
          <w:szCs w:val="24"/>
        </w:rPr>
      </w:pPr>
      <w:r>
        <w:rPr>
          <w:b/>
          <w:bCs/>
          <w:szCs w:val="24"/>
        </w:rPr>
        <w:t>R</w:t>
      </w:r>
      <w:r>
        <w:rPr>
          <w:rFonts w:hint="eastAsia"/>
          <w:b/>
          <w:bCs/>
          <w:szCs w:val="24"/>
        </w:rPr>
        <w:t>eference</w:t>
      </w:r>
      <w:r>
        <w:rPr>
          <w:b/>
          <w:bCs/>
          <w:szCs w:val="24"/>
        </w:rPr>
        <w:t>s</w:t>
      </w:r>
    </w:p>
    <w:p>
      <w:pPr>
        <w:pStyle w:val="33"/>
        <w:ind w:left="220" w:hanging="220"/>
      </w:pPr>
      <w:r>
        <w:rPr>
          <w:rFonts w:eastAsia="宋体"/>
          <w:color w:val="FF0000"/>
          <w:kern w:val="0"/>
          <w:sz w:val="24"/>
          <w:szCs w:val="24"/>
          <w:lang w:bidi="ar"/>
        </w:rPr>
        <w:fldChar w:fldCharType="begin"/>
      </w:r>
      <w:r>
        <w:rPr>
          <w:rFonts w:eastAsia="宋体"/>
          <w:color w:val="FF0000"/>
          <w:kern w:val="0"/>
          <w:sz w:val="24"/>
          <w:szCs w:val="24"/>
          <w:lang w:bidi="ar"/>
        </w:rPr>
        <w:instrText xml:space="preserve"> ADDIN EN.REFLIST </w:instrText>
      </w:r>
      <w:r>
        <w:rPr>
          <w:rFonts w:eastAsia="宋体"/>
          <w:color w:val="FF0000"/>
          <w:kern w:val="0"/>
          <w:sz w:val="24"/>
          <w:szCs w:val="24"/>
          <w:lang w:bidi="ar"/>
        </w:rPr>
        <w:fldChar w:fldCharType="separate"/>
      </w:r>
      <w:bookmarkStart w:id="280" w:name="_ENREF_1"/>
      <w:r>
        <w:t>1.</w:t>
      </w:r>
      <w:r>
        <w:tab/>
      </w:r>
      <w:r>
        <w:t>Frisch, M.</w:t>
      </w:r>
      <w:r>
        <w:rPr>
          <w:i/>
        </w:rPr>
        <w:t xml:space="preserve"> et al.</w:t>
      </w:r>
      <w:r>
        <w:t xml:space="preserve"> Gaussian 09, Revision (B.01). </w:t>
      </w:r>
      <w:r>
        <w:rPr>
          <w:i/>
        </w:rPr>
        <w:t>Gaussian Inc., Wallingford CT</w:t>
      </w:r>
      <w:r>
        <w:t>, (2010).</w:t>
      </w:r>
      <w:bookmarkEnd w:id="280"/>
    </w:p>
    <w:p>
      <w:pPr>
        <w:pStyle w:val="33"/>
        <w:ind w:left="220" w:hanging="220"/>
      </w:pPr>
      <w:bookmarkStart w:id="281" w:name="_ENREF_2"/>
      <w:r>
        <w:t>2.</w:t>
      </w:r>
      <w:r>
        <w:tab/>
      </w:r>
      <w:r>
        <w:t xml:space="preserve">Becke, A. D. Density-functional exchange-energy approximation with correct asymptotic behavior. </w:t>
      </w:r>
      <w:r>
        <w:rPr>
          <w:i/>
        </w:rPr>
        <w:t>Phys Rev A Gen Phys</w:t>
      </w:r>
      <w:r>
        <w:t xml:space="preserve"> </w:t>
      </w:r>
      <w:r>
        <w:rPr>
          <w:b/>
        </w:rPr>
        <w:t>38</w:t>
      </w:r>
      <w:r>
        <w:t>, 3098-3100, (1988).</w:t>
      </w:r>
      <w:bookmarkEnd w:id="281"/>
    </w:p>
    <w:p>
      <w:pPr>
        <w:pStyle w:val="33"/>
        <w:ind w:left="220" w:hanging="220"/>
      </w:pPr>
      <w:bookmarkStart w:id="282" w:name="_ENREF_3"/>
      <w:r>
        <w:t>3.</w:t>
      </w:r>
      <w:r>
        <w:tab/>
      </w:r>
      <w:r>
        <w:t xml:space="preserve">Grimme, S. Accurate description of van der Waals complexes by density functional theory including empirical corrections. </w:t>
      </w:r>
      <w:r>
        <w:rPr>
          <w:i/>
        </w:rPr>
        <w:t>J. Comput. Chem.</w:t>
      </w:r>
      <w:r>
        <w:t xml:space="preserve"> </w:t>
      </w:r>
      <w:r>
        <w:rPr>
          <w:b/>
        </w:rPr>
        <w:t>25</w:t>
      </w:r>
      <w:r>
        <w:t>, 1463-1473, (2004).</w:t>
      </w:r>
      <w:bookmarkEnd w:id="282"/>
    </w:p>
    <w:p>
      <w:pPr>
        <w:pStyle w:val="33"/>
        <w:ind w:left="220" w:hanging="220"/>
      </w:pPr>
      <w:bookmarkStart w:id="283" w:name="_ENREF_4"/>
      <w:r>
        <w:t>4.</w:t>
      </w:r>
      <w:r>
        <w:tab/>
      </w:r>
      <w:r>
        <w:t xml:space="preserve">Gordon, M. S. &amp; Jensen, J. H. Understanding the hydrogen bond using quantum chemistry. </w:t>
      </w:r>
      <w:r>
        <w:rPr>
          <w:i/>
        </w:rPr>
        <w:t>Acc. Chem. Res.</w:t>
      </w:r>
      <w:r>
        <w:t xml:space="preserve"> </w:t>
      </w:r>
      <w:r>
        <w:rPr>
          <w:b/>
        </w:rPr>
        <w:t>29</w:t>
      </w:r>
      <w:r>
        <w:t>, 536-543, (1996).</w:t>
      </w:r>
      <w:bookmarkEnd w:id="283"/>
    </w:p>
    <w:p>
      <w:pPr>
        <w:pStyle w:val="33"/>
        <w:ind w:left="220" w:hanging="220"/>
      </w:pPr>
      <w:bookmarkStart w:id="284" w:name="_ENREF_5"/>
      <w:r>
        <w:t>5.</w:t>
      </w:r>
      <w:r>
        <w:tab/>
      </w:r>
      <w:r>
        <w:t xml:space="preserve">Boys, S. F. &amp; Bernardi, F. The calculation of small molecular interactions by the differences of separate total energies. Some procedures with reduced errors. </w:t>
      </w:r>
      <w:r>
        <w:rPr>
          <w:i/>
        </w:rPr>
        <w:t>Mol. Phys.</w:t>
      </w:r>
      <w:r>
        <w:t xml:space="preserve"> </w:t>
      </w:r>
      <w:r>
        <w:rPr>
          <w:b/>
        </w:rPr>
        <w:t>19</w:t>
      </w:r>
      <w:r>
        <w:t>, 553-566, (1970).</w:t>
      </w:r>
      <w:bookmarkEnd w:id="284"/>
    </w:p>
    <w:p>
      <w:pPr>
        <w:pStyle w:val="33"/>
        <w:ind w:left="220" w:hanging="220"/>
      </w:pPr>
      <w:bookmarkStart w:id="285" w:name="_ENREF_6"/>
      <w:r>
        <w:t>6.</w:t>
      </w:r>
      <w:r>
        <w:tab/>
      </w:r>
      <w:r>
        <w:t xml:space="preserve">Issidorides, C. H. &amp; Haddadin, M. J. Benzofurazan oxide. II. Reactions with enolate anions. </w:t>
      </w:r>
      <w:r>
        <w:rPr>
          <w:i/>
        </w:rPr>
        <w:t>The Journal of Organic Chemistry</w:t>
      </w:r>
      <w:r>
        <w:t xml:space="preserve"> </w:t>
      </w:r>
      <w:r>
        <w:rPr>
          <w:b/>
        </w:rPr>
        <w:t>31</w:t>
      </w:r>
      <w:r>
        <w:t>, 4067-4068, (1966).</w:t>
      </w:r>
      <w:bookmarkEnd w:id="285"/>
    </w:p>
    <w:p>
      <w:pPr>
        <w:pStyle w:val="33"/>
        <w:ind w:left="220" w:hanging="220"/>
      </w:pPr>
      <w:bookmarkStart w:id="286" w:name="_ENREF_7"/>
      <w:r>
        <w:t>7.</w:t>
      </w:r>
      <w:r>
        <w:tab/>
      </w:r>
      <w:r>
        <w:t xml:space="preserve">Kuwahara, Y., Kango, H. &amp; Yamashita, H. Catalytic Transfer Hydrogenation of Biomass-Derived Levulinic Acid and Its Esters to γ-Valerolactone over Sulfonic Acid-Functionalized UiO-66. </w:t>
      </w:r>
      <w:r>
        <w:rPr>
          <w:i/>
        </w:rPr>
        <w:t>ACS Sustainable Chemistry &amp; Engineering</w:t>
      </w:r>
      <w:r>
        <w:t xml:space="preserve"> </w:t>
      </w:r>
      <w:r>
        <w:rPr>
          <w:b/>
        </w:rPr>
        <w:t>5</w:t>
      </w:r>
      <w:r>
        <w:t>, 1141-1152, (2016).</w:t>
      </w:r>
      <w:bookmarkEnd w:id="286"/>
    </w:p>
    <w:p>
      <w:pPr>
        <w:pStyle w:val="33"/>
        <w:ind w:left="220" w:hanging="220"/>
      </w:pPr>
      <w:bookmarkStart w:id="287" w:name="_ENREF_8"/>
      <w:r>
        <w:t>8.</w:t>
      </w:r>
      <w:r>
        <w:tab/>
      </w:r>
      <w:r>
        <w:t xml:space="preserve">Oh, K. I., Rajesh, K., Stanton, J. F. &amp; Baiz, C. R. Quantifying Hydrogen-Bond Populations in Dimethyl Sulfoxide/Water Mixtures. </w:t>
      </w:r>
      <w:r>
        <w:rPr>
          <w:i/>
        </w:rPr>
        <w:t>Angew. Chem. Int. Ed. Engl.</w:t>
      </w:r>
      <w:r>
        <w:t xml:space="preserve"> </w:t>
      </w:r>
      <w:r>
        <w:rPr>
          <w:b/>
        </w:rPr>
        <w:t>56</w:t>
      </w:r>
      <w:r>
        <w:t>, 11375-11379, (2017).</w:t>
      </w:r>
      <w:bookmarkEnd w:id="287"/>
    </w:p>
    <w:p>
      <w:pPr>
        <w:pStyle w:val="33"/>
        <w:ind w:left="220" w:hanging="220"/>
      </w:pPr>
      <w:bookmarkStart w:id="288" w:name="_ENREF_9"/>
      <w:r>
        <w:t>9.</w:t>
      </w:r>
      <w:r>
        <w:tab/>
      </w:r>
      <w:r>
        <w:t>Xie, D.</w:t>
      </w:r>
      <w:r>
        <w:rPr>
          <w:i/>
        </w:rPr>
        <w:t xml:space="preserve"> et al.</w:t>
      </w:r>
      <w:r>
        <w:t xml:space="preserve"> Effect of the Lignin Structure on the Physicochemical Properties of Lignin-Grafted-Poly(ε-caprolactone) and Its Application for Water/Oil Separation. </w:t>
      </w:r>
      <w:r>
        <w:rPr>
          <w:i/>
        </w:rPr>
        <w:t>ACS Sustainable Chemistry &amp; Engineering</w:t>
      </w:r>
      <w:r>
        <w:t xml:space="preserve"> </w:t>
      </w:r>
      <w:r>
        <w:rPr>
          <w:b/>
        </w:rPr>
        <w:t>10</w:t>
      </w:r>
      <w:r>
        <w:t>, 16882-16895, (2022).</w:t>
      </w:r>
      <w:bookmarkEnd w:id="288"/>
    </w:p>
    <w:p>
      <w:pPr>
        <w:pStyle w:val="33"/>
        <w:ind w:left="220" w:hanging="220"/>
      </w:pPr>
      <w:bookmarkStart w:id="289" w:name="_ENREF_10"/>
      <w:r>
        <w:t>10.</w:t>
      </w:r>
      <w:r>
        <w:tab/>
      </w:r>
      <w:r>
        <w:t>Ojah, N.</w:t>
      </w:r>
      <w:r>
        <w:rPr>
          <w:i/>
        </w:rPr>
        <w:t xml:space="preserve"> et al.</w:t>
      </w:r>
      <w:r>
        <w:t xml:space="preserve"> Surface modification of core-shell silk/PVA nanofibers by oxygen dielectric barrier discharge plasma: Studies of physico-chemical properties and drug release behavior. </w:t>
      </w:r>
      <w:r>
        <w:rPr>
          <w:i/>
        </w:rPr>
        <w:t>Appl. Surf. Sci.</w:t>
      </w:r>
      <w:r>
        <w:t xml:space="preserve"> </w:t>
      </w:r>
      <w:r>
        <w:rPr>
          <w:b/>
        </w:rPr>
        <w:t>475</w:t>
      </w:r>
      <w:r>
        <w:t>, 219-229, (2019).</w:t>
      </w:r>
      <w:bookmarkEnd w:id="289"/>
    </w:p>
    <w:p>
      <w:pPr>
        <w:pStyle w:val="33"/>
        <w:ind w:left="220" w:hanging="220"/>
      </w:pPr>
      <w:bookmarkStart w:id="290" w:name="_ENREF_11"/>
      <w:r>
        <w:t>11.</w:t>
      </w:r>
      <w:r>
        <w:tab/>
      </w:r>
      <w:r>
        <w:t>Dierks, M.</w:t>
      </w:r>
      <w:r>
        <w:rPr>
          <w:i/>
        </w:rPr>
        <w:t xml:space="preserve"> et al.</w:t>
      </w:r>
      <w:r>
        <w:t xml:space="preserve"> Impact of Hydrophobic Organohybrid Silicas on the Stability of Ni2P Catalyst Phase in the Hydrodeoxygenation of Biophenols. </w:t>
      </w:r>
      <w:r>
        <w:rPr>
          <w:i/>
        </w:rPr>
        <w:t>ChemCatChem</w:t>
      </w:r>
      <w:r>
        <w:t xml:space="preserve"> </w:t>
      </w:r>
      <w:r>
        <w:rPr>
          <w:b/>
        </w:rPr>
        <w:t>10</w:t>
      </w:r>
      <w:r>
        <w:t>, 2219-2231, (2018).</w:t>
      </w:r>
      <w:bookmarkEnd w:id="290"/>
    </w:p>
    <w:p>
      <w:pPr>
        <w:pStyle w:val="33"/>
        <w:ind w:left="220" w:hanging="220"/>
      </w:pPr>
      <w:bookmarkStart w:id="291" w:name="_ENREF_12"/>
      <w:r>
        <w:t>12.</w:t>
      </w:r>
      <w:r>
        <w:tab/>
      </w:r>
      <w:r>
        <w:t>Manayil, J. C.</w:t>
      </w:r>
      <w:r>
        <w:rPr>
          <w:i/>
        </w:rPr>
        <w:t xml:space="preserve"> et al.</w:t>
      </w:r>
      <w:r>
        <w:t xml:space="preserve"> Octyl Co-grafted PrSO3H/SBA-15: Tunable Hydrophobic Solid Acid Catalysts for Acetic Acid Esterification. </w:t>
      </w:r>
      <w:r>
        <w:rPr>
          <w:i/>
        </w:rPr>
        <w:t>ChemCatChem</w:t>
      </w:r>
      <w:r>
        <w:t xml:space="preserve"> </w:t>
      </w:r>
      <w:r>
        <w:rPr>
          <w:b/>
        </w:rPr>
        <w:t>9</w:t>
      </w:r>
      <w:r>
        <w:t>, 2231-2238, (2017).</w:t>
      </w:r>
      <w:bookmarkEnd w:id="291"/>
    </w:p>
    <w:p>
      <w:pPr>
        <w:rPr>
          <w:rFonts w:eastAsia="宋体" w:cs="Times New Roman"/>
          <w:color w:val="FF0000"/>
          <w:kern w:val="0"/>
          <w:szCs w:val="24"/>
          <w:lang w:bidi="ar"/>
        </w:rPr>
      </w:pPr>
      <w:r>
        <w:rPr>
          <w:rFonts w:eastAsia="宋体" w:cs="Times New Roman"/>
          <w:color w:val="FF0000"/>
          <w:kern w:val="0"/>
          <w:szCs w:val="24"/>
          <w:lang w:bidi="ar"/>
        </w:rPr>
        <w:fldChar w:fldCharType="end"/>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9054243"/>
    </w:sdtPr>
    <w:sdtContent>
      <w:p>
        <w:pPr>
          <w:pStyle w:val="12"/>
          <w:jc w:val="center"/>
        </w:pPr>
        <w:r>
          <w:fldChar w:fldCharType="begin"/>
        </w:r>
        <w:r>
          <w:instrText xml:space="preserve">PAGE   \* MERGEFORMAT</w:instrText>
        </w:r>
        <w:r>
          <w:fldChar w:fldCharType="separate"/>
        </w:r>
        <w:r>
          <w:rPr>
            <w:lang w:val="zh-CN"/>
          </w:rPr>
          <w:t>1</w:t>
        </w:r>
        <w:r>
          <w:fldChar w:fldCharType="end"/>
        </w:r>
      </w:p>
    </w:sdtContent>
  </w:sdt>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2981F2"/>
    <w:multiLevelType w:val="singleLevel"/>
    <w:tmpl w:val="C42981F2"/>
    <w:lvl w:ilvl="0" w:tentative="0">
      <w:start w:val="1"/>
      <w:numFmt w:val="upperLetter"/>
      <w:suff w:val="space"/>
      <w:lvlText w:val="(%1)"/>
      <w:lvlJc w:val="left"/>
    </w:lvl>
  </w:abstractNum>
  <w:abstractNum w:abstractNumId="1">
    <w:nsid w:val="07E8D035"/>
    <w:multiLevelType w:val="singleLevel"/>
    <w:tmpl w:val="07E8D035"/>
    <w:lvl w:ilvl="0" w:tentative="0">
      <w:start w:val="1"/>
      <w:numFmt w:val="lowerRoman"/>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c3szAzMjU1tzAyNrJU0lEKTi0uzszPAykwNqwFAGPN4eEtAAAA"/>
    <w:docVar w:name="commondata" w:val="eyJoZGlkIjoiOTIzOTM2NGM4NGI3ZWIwNzYyYzMyMDVmMjRiYTMyZTMifQ=="/>
    <w:docVar w:name="EN.InstantFormat" w:val="&lt;ENInstantFormat&gt;&lt;Enabled&gt;1&lt;/Enabled&gt;&lt;ScanUnformatted&gt;1&lt;/ScanUnformatted&gt;&lt;ScanChanges&gt;1&lt;/ScanChanges&gt;&lt;Suspended&gt;0&lt;/Suspended&gt;&lt;/ENInstantFormat&gt;"/>
    <w:docVar w:name="EN.Layout" w:val="&lt;ENLayout&gt;&lt;Style&gt;Nature Copy1&lt;/Style&gt;&lt;LeftDelim&gt;{&lt;/LeftDelim&gt;&lt;RightDelim&gt;}&lt;/RightDelim&gt;&lt;FontName&gt;Times New Roman&lt;/FontName&gt;&lt;FontSize&gt;10&lt;/FontSize&gt;&lt;ReflistTitle&gt;&lt;/ReflistTitle&gt;&lt;StartingRefnum&gt;1&lt;/StartingRefnum&gt;&lt;FirstLineIndent&gt;0&lt;/FirstLineIndent&gt;&lt;HangingIndent&gt;226&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eae2a9dszdz02e5zec5r22rsp59xva5saft&quot;&gt;My EndNote Library-Converted&lt;record-ids&gt;&lt;item&gt;58&lt;/item&gt;&lt;item&gt;206&lt;/item&gt;&lt;item&gt;207&lt;/item&gt;&lt;item&gt;218&lt;/item&gt;&lt;item&gt;221&lt;/item&gt;&lt;item&gt;305&lt;/item&gt;&lt;item&gt;309&lt;/item&gt;&lt;item&gt;312&lt;/item&gt;&lt;item&gt;316&lt;/item&gt;&lt;item&gt;317&lt;/item&gt;&lt;item&gt;318&lt;/item&gt;&lt;item&gt;324&lt;/item&gt;&lt;/record-ids&gt;&lt;/item&gt;&lt;/Libraries&gt;"/>
  </w:docVars>
  <w:rsids>
    <w:rsidRoot w:val="002D15D3"/>
    <w:rsid w:val="000009EC"/>
    <w:rsid w:val="000051AF"/>
    <w:rsid w:val="00015785"/>
    <w:rsid w:val="00016232"/>
    <w:rsid w:val="00030572"/>
    <w:rsid w:val="00031C4A"/>
    <w:rsid w:val="000411D0"/>
    <w:rsid w:val="00045A35"/>
    <w:rsid w:val="000559F9"/>
    <w:rsid w:val="00066D59"/>
    <w:rsid w:val="0006753D"/>
    <w:rsid w:val="0007424D"/>
    <w:rsid w:val="00075903"/>
    <w:rsid w:val="00086A85"/>
    <w:rsid w:val="00090868"/>
    <w:rsid w:val="00096321"/>
    <w:rsid w:val="0009680C"/>
    <w:rsid w:val="00097906"/>
    <w:rsid w:val="000A3CE9"/>
    <w:rsid w:val="000B1277"/>
    <w:rsid w:val="000B2748"/>
    <w:rsid w:val="000B5B57"/>
    <w:rsid w:val="000C1D4F"/>
    <w:rsid w:val="000C2B39"/>
    <w:rsid w:val="000D4FCD"/>
    <w:rsid w:val="000D552C"/>
    <w:rsid w:val="000E4A2A"/>
    <w:rsid w:val="000F0DC9"/>
    <w:rsid w:val="000F1847"/>
    <w:rsid w:val="000F24F8"/>
    <w:rsid w:val="000F5C14"/>
    <w:rsid w:val="000F6DAB"/>
    <w:rsid w:val="00101C34"/>
    <w:rsid w:val="00110D0E"/>
    <w:rsid w:val="00113290"/>
    <w:rsid w:val="00113BF6"/>
    <w:rsid w:val="00114F6B"/>
    <w:rsid w:val="00116B37"/>
    <w:rsid w:val="00123797"/>
    <w:rsid w:val="0012662D"/>
    <w:rsid w:val="00126F13"/>
    <w:rsid w:val="00137A88"/>
    <w:rsid w:val="00140722"/>
    <w:rsid w:val="00143EED"/>
    <w:rsid w:val="001445ED"/>
    <w:rsid w:val="00150E38"/>
    <w:rsid w:val="00154D8B"/>
    <w:rsid w:val="00155830"/>
    <w:rsid w:val="001578FA"/>
    <w:rsid w:val="0016220A"/>
    <w:rsid w:val="00167A06"/>
    <w:rsid w:val="00167E42"/>
    <w:rsid w:val="0017005D"/>
    <w:rsid w:val="0017473D"/>
    <w:rsid w:val="0017658A"/>
    <w:rsid w:val="00180B42"/>
    <w:rsid w:val="00184215"/>
    <w:rsid w:val="00185127"/>
    <w:rsid w:val="00186D79"/>
    <w:rsid w:val="001A6939"/>
    <w:rsid w:val="001B0303"/>
    <w:rsid w:val="001B074F"/>
    <w:rsid w:val="001B0808"/>
    <w:rsid w:val="001B26E0"/>
    <w:rsid w:val="001B33AF"/>
    <w:rsid w:val="001B4405"/>
    <w:rsid w:val="001B4551"/>
    <w:rsid w:val="001C47BE"/>
    <w:rsid w:val="001C7109"/>
    <w:rsid w:val="001D6FC8"/>
    <w:rsid w:val="001F09E0"/>
    <w:rsid w:val="001F18FC"/>
    <w:rsid w:val="001F518E"/>
    <w:rsid w:val="002057B2"/>
    <w:rsid w:val="00211FFA"/>
    <w:rsid w:val="0021546E"/>
    <w:rsid w:val="00216495"/>
    <w:rsid w:val="00226553"/>
    <w:rsid w:val="0023245C"/>
    <w:rsid w:val="00233716"/>
    <w:rsid w:val="00234543"/>
    <w:rsid w:val="00244018"/>
    <w:rsid w:val="00250E28"/>
    <w:rsid w:val="002549B4"/>
    <w:rsid w:val="002616AC"/>
    <w:rsid w:val="00264089"/>
    <w:rsid w:val="0026508D"/>
    <w:rsid w:val="00266EFA"/>
    <w:rsid w:val="002739D1"/>
    <w:rsid w:val="002757C5"/>
    <w:rsid w:val="002772ED"/>
    <w:rsid w:val="002830A4"/>
    <w:rsid w:val="00287654"/>
    <w:rsid w:val="002A39BC"/>
    <w:rsid w:val="002A5685"/>
    <w:rsid w:val="002A73F1"/>
    <w:rsid w:val="002B0790"/>
    <w:rsid w:val="002B17C9"/>
    <w:rsid w:val="002B50CA"/>
    <w:rsid w:val="002C1D04"/>
    <w:rsid w:val="002C3649"/>
    <w:rsid w:val="002C4524"/>
    <w:rsid w:val="002C7E3D"/>
    <w:rsid w:val="002D15D3"/>
    <w:rsid w:val="002D3991"/>
    <w:rsid w:val="002D6CE4"/>
    <w:rsid w:val="002E2D17"/>
    <w:rsid w:val="002E4A31"/>
    <w:rsid w:val="002E4F37"/>
    <w:rsid w:val="002E57E9"/>
    <w:rsid w:val="002E6DEE"/>
    <w:rsid w:val="002F08FE"/>
    <w:rsid w:val="00303F82"/>
    <w:rsid w:val="00310E98"/>
    <w:rsid w:val="003133B5"/>
    <w:rsid w:val="00317661"/>
    <w:rsid w:val="00322931"/>
    <w:rsid w:val="00323214"/>
    <w:rsid w:val="00326D6F"/>
    <w:rsid w:val="00335102"/>
    <w:rsid w:val="00350FD3"/>
    <w:rsid w:val="0035274A"/>
    <w:rsid w:val="003527C0"/>
    <w:rsid w:val="003550BC"/>
    <w:rsid w:val="003579DF"/>
    <w:rsid w:val="003626B0"/>
    <w:rsid w:val="0036354F"/>
    <w:rsid w:val="003637BA"/>
    <w:rsid w:val="003717E3"/>
    <w:rsid w:val="00375D50"/>
    <w:rsid w:val="00380AE4"/>
    <w:rsid w:val="00381B32"/>
    <w:rsid w:val="00384346"/>
    <w:rsid w:val="003906A0"/>
    <w:rsid w:val="00390E22"/>
    <w:rsid w:val="003A0BDB"/>
    <w:rsid w:val="003A3ACE"/>
    <w:rsid w:val="003A3C85"/>
    <w:rsid w:val="003A745E"/>
    <w:rsid w:val="003B6750"/>
    <w:rsid w:val="003D3E6B"/>
    <w:rsid w:val="003E7F29"/>
    <w:rsid w:val="003F0556"/>
    <w:rsid w:val="003F09CC"/>
    <w:rsid w:val="003F4719"/>
    <w:rsid w:val="003F55E0"/>
    <w:rsid w:val="00400BB8"/>
    <w:rsid w:val="00401B7E"/>
    <w:rsid w:val="00402FEC"/>
    <w:rsid w:val="00405653"/>
    <w:rsid w:val="0041006F"/>
    <w:rsid w:val="00413A65"/>
    <w:rsid w:val="0041402E"/>
    <w:rsid w:val="004312A9"/>
    <w:rsid w:val="00436146"/>
    <w:rsid w:val="004427D0"/>
    <w:rsid w:val="00443541"/>
    <w:rsid w:val="00447ABB"/>
    <w:rsid w:val="00452C01"/>
    <w:rsid w:val="00466F84"/>
    <w:rsid w:val="00470655"/>
    <w:rsid w:val="00470EC7"/>
    <w:rsid w:val="004718BC"/>
    <w:rsid w:val="0047725C"/>
    <w:rsid w:val="0048171A"/>
    <w:rsid w:val="00482318"/>
    <w:rsid w:val="004912F2"/>
    <w:rsid w:val="00493325"/>
    <w:rsid w:val="004973AC"/>
    <w:rsid w:val="004A5F51"/>
    <w:rsid w:val="004A6DD6"/>
    <w:rsid w:val="004C0DA8"/>
    <w:rsid w:val="004C170E"/>
    <w:rsid w:val="004C2060"/>
    <w:rsid w:val="004D58D8"/>
    <w:rsid w:val="004E2358"/>
    <w:rsid w:val="004E4C36"/>
    <w:rsid w:val="005017DB"/>
    <w:rsid w:val="00503B94"/>
    <w:rsid w:val="00505832"/>
    <w:rsid w:val="00506AD4"/>
    <w:rsid w:val="00511A11"/>
    <w:rsid w:val="00514256"/>
    <w:rsid w:val="00517AE3"/>
    <w:rsid w:val="00517D68"/>
    <w:rsid w:val="00521966"/>
    <w:rsid w:val="005223E4"/>
    <w:rsid w:val="00522714"/>
    <w:rsid w:val="0053259C"/>
    <w:rsid w:val="005331E3"/>
    <w:rsid w:val="00534956"/>
    <w:rsid w:val="00542CA2"/>
    <w:rsid w:val="005440D5"/>
    <w:rsid w:val="00545B50"/>
    <w:rsid w:val="005505BB"/>
    <w:rsid w:val="00562425"/>
    <w:rsid w:val="0056533C"/>
    <w:rsid w:val="005752F8"/>
    <w:rsid w:val="00583196"/>
    <w:rsid w:val="00583A82"/>
    <w:rsid w:val="00585817"/>
    <w:rsid w:val="00592E49"/>
    <w:rsid w:val="00594FE0"/>
    <w:rsid w:val="0059694B"/>
    <w:rsid w:val="00597C88"/>
    <w:rsid w:val="005A4340"/>
    <w:rsid w:val="005B38FB"/>
    <w:rsid w:val="005B52E4"/>
    <w:rsid w:val="005B7CB1"/>
    <w:rsid w:val="005C49B1"/>
    <w:rsid w:val="005C6FFE"/>
    <w:rsid w:val="005E48E9"/>
    <w:rsid w:val="005E7739"/>
    <w:rsid w:val="00606E7B"/>
    <w:rsid w:val="006119E8"/>
    <w:rsid w:val="00611AFA"/>
    <w:rsid w:val="00615E32"/>
    <w:rsid w:val="00617A4B"/>
    <w:rsid w:val="00621C1E"/>
    <w:rsid w:val="00622DC5"/>
    <w:rsid w:val="006242DE"/>
    <w:rsid w:val="00626618"/>
    <w:rsid w:val="00631127"/>
    <w:rsid w:val="00632AFD"/>
    <w:rsid w:val="006330DA"/>
    <w:rsid w:val="0064460E"/>
    <w:rsid w:val="00644A26"/>
    <w:rsid w:val="00650541"/>
    <w:rsid w:val="006553DE"/>
    <w:rsid w:val="00663916"/>
    <w:rsid w:val="006653F7"/>
    <w:rsid w:val="0067359A"/>
    <w:rsid w:val="00673864"/>
    <w:rsid w:val="00675481"/>
    <w:rsid w:val="00685B00"/>
    <w:rsid w:val="006904AC"/>
    <w:rsid w:val="00692D77"/>
    <w:rsid w:val="00695B00"/>
    <w:rsid w:val="006960EC"/>
    <w:rsid w:val="006A3AD8"/>
    <w:rsid w:val="006A5780"/>
    <w:rsid w:val="006A7D4F"/>
    <w:rsid w:val="006B121D"/>
    <w:rsid w:val="006D12D4"/>
    <w:rsid w:val="006E2C69"/>
    <w:rsid w:val="006E5DAC"/>
    <w:rsid w:val="006E7137"/>
    <w:rsid w:val="006F3F4A"/>
    <w:rsid w:val="007104C8"/>
    <w:rsid w:val="007108F1"/>
    <w:rsid w:val="00711DAF"/>
    <w:rsid w:val="00712B1D"/>
    <w:rsid w:val="00712C28"/>
    <w:rsid w:val="00714F19"/>
    <w:rsid w:val="00715CAC"/>
    <w:rsid w:val="007166C8"/>
    <w:rsid w:val="00722956"/>
    <w:rsid w:val="00727B93"/>
    <w:rsid w:val="00730586"/>
    <w:rsid w:val="007359FC"/>
    <w:rsid w:val="00741BAB"/>
    <w:rsid w:val="00743FE0"/>
    <w:rsid w:val="00746956"/>
    <w:rsid w:val="00767A3B"/>
    <w:rsid w:val="00781E3B"/>
    <w:rsid w:val="0078635D"/>
    <w:rsid w:val="007A2EBE"/>
    <w:rsid w:val="007B47DF"/>
    <w:rsid w:val="007B4CC7"/>
    <w:rsid w:val="007C6F97"/>
    <w:rsid w:val="007D5120"/>
    <w:rsid w:val="007E378D"/>
    <w:rsid w:val="007E528B"/>
    <w:rsid w:val="007E5F69"/>
    <w:rsid w:val="007F021C"/>
    <w:rsid w:val="007F615F"/>
    <w:rsid w:val="00812FFB"/>
    <w:rsid w:val="00814281"/>
    <w:rsid w:val="00817FC5"/>
    <w:rsid w:val="008251DF"/>
    <w:rsid w:val="00837A72"/>
    <w:rsid w:val="0085242B"/>
    <w:rsid w:val="00861A2F"/>
    <w:rsid w:val="00865F03"/>
    <w:rsid w:val="0086644D"/>
    <w:rsid w:val="00875BA0"/>
    <w:rsid w:val="00877F76"/>
    <w:rsid w:val="008856EF"/>
    <w:rsid w:val="00891A34"/>
    <w:rsid w:val="0089319B"/>
    <w:rsid w:val="00895FE6"/>
    <w:rsid w:val="00896672"/>
    <w:rsid w:val="00896968"/>
    <w:rsid w:val="00896ADB"/>
    <w:rsid w:val="00897AA1"/>
    <w:rsid w:val="008A4C13"/>
    <w:rsid w:val="008B2A35"/>
    <w:rsid w:val="008C236B"/>
    <w:rsid w:val="008C5873"/>
    <w:rsid w:val="008D15E6"/>
    <w:rsid w:val="008D6ACB"/>
    <w:rsid w:val="008E0CBF"/>
    <w:rsid w:val="008E59CF"/>
    <w:rsid w:val="008F3D30"/>
    <w:rsid w:val="008F5B17"/>
    <w:rsid w:val="009034D3"/>
    <w:rsid w:val="00914EA5"/>
    <w:rsid w:val="00921181"/>
    <w:rsid w:val="0092150A"/>
    <w:rsid w:val="00921861"/>
    <w:rsid w:val="0092410F"/>
    <w:rsid w:val="00934395"/>
    <w:rsid w:val="00937FFC"/>
    <w:rsid w:val="00945427"/>
    <w:rsid w:val="0095260B"/>
    <w:rsid w:val="00955FE5"/>
    <w:rsid w:val="00966A4C"/>
    <w:rsid w:val="00974CB1"/>
    <w:rsid w:val="0098000B"/>
    <w:rsid w:val="00984823"/>
    <w:rsid w:val="009922DC"/>
    <w:rsid w:val="00994925"/>
    <w:rsid w:val="009960AC"/>
    <w:rsid w:val="00996E13"/>
    <w:rsid w:val="0099760A"/>
    <w:rsid w:val="009A0662"/>
    <w:rsid w:val="009A1682"/>
    <w:rsid w:val="009A2648"/>
    <w:rsid w:val="009B0669"/>
    <w:rsid w:val="009B088A"/>
    <w:rsid w:val="009B1757"/>
    <w:rsid w:val="009B1945"/>
    <w:rsid w:val="009B3CB7"/>
    <w:rsid w:val="009B5134"/>
    <w:rsid w:val="009B632B"/>
    <w:rsid w:val="009C57D3"/>
    <w:rsid w:val="009C76B3"/>
    <w:rsid w:val="009D24A6"/>
    <w:rsid w:val="009D4682"/>
    <w:rsid w:val="009E0326"/>
    <w:rsid w:val="009E2294"/>
    <w:rsid w:val="009E3E1B"/>
    <w:rsid w:val="009F16FE"/>
    <w:rsid w:val="009F17BB"/>
    <w:rsid w:val="009F3611"/>
    <w:rsid w:val="009F7A28"/>
    <w:rsid w:val="009F7FCC"/>
    <w:rsid w:val="00A033CD"/>
    <w:rsid w:val="00A055D9"/>
    <w:rsid w:val="00A115AE"/>
    <w:rsid w:val="00A27E3C"/>
    <w:rsid w:val="00A4721B"/>
    <w:rsid w:val="00A537D8"/>
    <w:rsid w:val="00A564A9"/>
    <w:rsid w:val="00A669C5"/>
    <w:rsid w:val="00A80280"/>
    <w:rsid w:val="00A81000"/>
    <w:rsid w:val="00A8332F"/>
    <w:rsid w:val="00A8602B"/>
    <w:rsid w:val="00A93D0C"/>
    <w:rsid w:val="00A960E1"/>
    <w:rsid w:val="00A967B5"/>
    <w:rsid w:val="00A96BFC"/>
    <w:rsid w:val="00AA0BC0"/>
    <w:rsid w:val="00AB2395"/>
    <w:rsid w:val="00AB58EB"/>
    <w:rsid w:val="00AB7DD7"/>
    <w:rsid w:val="00AC0F2A"/>
    <w:rsid w:val="00AC3EDA"/>
    <w:rsid w:val="00AC6E22"/>
    <w:rsid w:val="00AD50AC"/>
    <w:rsid w:val="00AE0663"/>
    <w:rsid w:val="00AE12BA"/>
    <w:rsid w:val="00AE7A36"/>
    <w:rsid w:val="00B06D1B"/>
    <w:rsid w:val="00B07656"/>
    <w:rsid w:val="00B17F5B"/>
    <w:rsid w:val="00B20BB2"/>
    <w:rsid w:val="00B25555"/>
    <w:rsid w:val="00B269E5"/>
    <w:rsid w:val="00B323C3"/>
    <w:rsid w:val="00B41BF3"/>
    <w:rsid w:val="00B45CBF"/>
    <w:rsid w:val="00B502BE"/>
    <w:rsid w:val="00B5365C"/>
    <w:rsid w:val="00B55276"/>
    <w:rsid w:val="00B617C2"/>
    <w:rsid w:val="00B8460B"/>
    <w:rsid w:val="00B8653B"/>
    <w:rsid w:val="00B91AB0"/>
    <w:rsid w:val="00B92347"/>
    <w:rsid w:val="00BA0E34"/>
    <w:rsid w:val="00BA3298"/>
    <w:rsid w:val="00BA42AB"/>
    <w:rsid w:val="00BA5987"/>
    <w:rsid w:val="00BA6AAF"/>
    <w:rsid w:val="00BB22B7"/>
    <w:rsid w:val="00BB3D8F"/>
    <w:rsid w:val="00BB774D"/>
    <w:rsid w:val="00BC2D91"/>
    <w:rsid w:val="00BD42FC"/>
    <w:rsid w:val="00BF0530"/>
    <w:rsid w:val="00BF0AD3"/>
    <w:rsid w:val="00C009E9"/>
    <w:rsid w:val="00C01802"/>
    <w:rsid w:val="00C02395"/>
    <w:rsid w:val="00C061E0"/>
    <w:rsid w:val="00C07792"/>
    <w:rsid w:val="00C23562"/>
    <w:rsid w:val="00C27E09"/>
    <w:rsid w:val="00C35083"/>
    <w:rsid w:val="00C41ABE"/>
    <w:rsid w:val="00C428E9"/>
    <w:rsid w:val="00C51B9F"/>
    <w:rsid w:val="00C53CF5"/>
    <w:rsid w:val="00C6269C"/>
    <w:rsid w:val="00C71CC7"/>
    <w:rsid w:val="00C81EC0"/>
    <w:rsid w:val="00CA0D95"/>
    <w:rsid w:val="00CA14E4"/>
    <w:rsid w:val="00CA1C11"/>
    <w:rsid w:val="00CA232F"/>
    <w:rsid w:val="00CB27A1"/>
    <w:rsid w:val="00CB2936"/>
    <w:rsid w:val="00CB7C2C"/>
    <w:rsid w:val="00CC0E2D"/>
    <w:rsid w:val="00CC2E05"/>
    <w:rsid w:val="00CE2BA2"/>
    <w:rsid w:val="00CE35A0"/>
    <w:rsid w:val="00CF0830"/>
    <w:rsid w:val="00CF153E"/>
    <w:rsid w:val="00CF1F50"/>
    <w:rsid w:val="00CF3D00"/>
    <w:rsid w:val="00CF7BC5"/>
    <w:rsid w:val="00D04809"/>
    <w:rsid w:val="00D06005"/>
    <w:rsid w:val="00D06AD9"/>
    <w:rsid w:val="00D06FBB"/>
    <w:rsid w:val="00D12635"/>
    <w:rsid w:val="00D12E3C"/>
    <w:rsid w:val="00D13179"/>
    <w:rsid w:val="00D166C0"/>
    <w:rsid w:val="00D202D5"/>
    <w:rsid w:val="00D214D7"/>
    <w:rsid w:val="00D240E8"/>
    <w:rsid w:val="00D27EFA"/>
    <w:rsid w:val="00D30339"/>
    <w:rsid w:val="00D3342F"/>
    <w:rsid w:val="00D35DCB"/>
    <w:rsid w:val="00D35F4E"/>
    <w:rsid w:val="00D441D8"/>
    <w:rsid w:val="00D6752A"/>
    <w:rsid w:val="00D745BB"/>
    <w:rsid w:val="00D776BC"/>
    <w:rsid w:val="00D94369"/>
    <w:rsid w:val="00D96DD5"/>
    <w:rsid w:val="00D9704E"/>
    <w:rsid w:val="00DA0BEA"/>
    <w:rsid w:val="00DA184E"/>
    <w:rsid w:val="00DA3A2B"/>
    <w:rsid w:val="00DB09AE"/>
    <w:rsid w:val="00DB2AB6"/>
    <w:rsid w:val="00DB6ED2"/>
    <w:rsid w:val="00DC26BA"/>
    <w:rsid w:val="00DD0121"/>
    <w:rsid w:val="00DD3382"/>
    <w:rsid w:val="00DE1390"/>
    <w:rsid w:val="00DE4C3F"/>
    <w:rsid w:val="00DF32D0"/>
    <w:rsid w:val="00DF4D9B"/>
    <w:rsid w:val="00E00157"/>
    <w:rsid w:val="00E101D8"/>
    <w:rsid w:val="00E13F05"/>
    <w:rsid w:val="00E214F6"/>
    <w:rsid w:val="00E218AB"/>
    <w:rsid w:val="00E25B16"/>
    <w:rsid w:val="00E27D5F"/>
    <w:rsid w:val="00E3186E"/>
    <w:rsid w:val="00E401A8"/>
    <w:rsid w:val="00E41487"/>
    <w:rsid w:val="00E41692"/>
    <w:rsid w:val="00E41DD9"/>
    <w:rsid w:val="00E42CFB"/>
    <w:rsid w:val="00E43A3E"/>
    <w:rsid w:val="00E507C5"/>
    <w:rsid w:val="00E56665"/>
    <w:rsid w:val="00E62413"/>
    <w:rsid w:val="00E64E36"/>
    <w:rsid w:val="00E67718"/>
    <w:rsid w:val="00E719EB"/>
    <w:rsid w:val="00E74002"/>
    <w:rsid w:val="00E75B0B"/>
    <w:rsid w:val="00E860F5"/>
    <w:rsid w:val="00E94B9B"/>
    <w:rsid w:val="00EA3154"/>
    <w:rsid w:val="00EA39CD"/>
    <w:rsid w:val="00EA586E"/>
    <w:rsid w:val="00EA5E38"/>
    <w:rsid w:val="00EA5F07"/>
    <w:rsid w:val="00EA64F0"/>
    <w:rsid w:val="00EA7CD7"/>
    <w:rsid w:val="00EB0CC6"/>
    <w:rsid w:val="00EB111D"/>
    <w:rsid w:val="00EB1CB5"/>
    <w:rsid w:val="00EB3293"/>
    <w:rsid w:val="00EC0283"/>
    <w:rsid w:val="00EC78AC"/>
    <w:rsid w:val="00ED1485"/>
    <w:rsid w:val="00ED6F73"/>
    <w:rsid w:val="00EE0C47"/>
    <w:rsid w:val="00EE46A6"/>
    <w:rsid w:val="00EE5827"/>
    <w:rsid w:val="00F1163D"/>
    <w:rsid w:val="00F243F6"/>
    <w:rsid w:val="00F33930"/>
    <w:rsid w:val="00F40060"/>
    <w:rsid w:val="00F42969"/>
    <w:rsid w:val="00F4399F"/>
    <w:rsid w:val="00F44310"/>
    <w:rsid w:val="00F55A78"/>
    <w:rsid w:val="00F5647E"/>
    <w:rsid w:val="00F70207"/>
    <w:rsid w:val="00F717E9"/>
    <w:rsid w:val="00F76B8A"/>
    <w:rsid w:val="00F83B9D"/>
    <w:rsid w:val="00F85C08"/>
    <w:rsid w:val="00F876F3"/>
    <w:rsid w:val="00F91C8B"/>
    <w:rsid w:val="00F9201A"/>
    <w:rsid w:val="00F97379"/>
    <w:rsid w:val="00FA0C07"/>
    <w:rsid w:val="00FA2A3A"/>
    <w:rsid w:val="00FA2DFB"/>
    <w:rsid w:val="00FA66BD"/>
    <w:rsid w:val="00FA7EB1"/>
    <w:rsid w:val="00FB13BD"/>
    <w:rsid w:val="00FB1FC9"/>
    <w:rsid w:val="00FB4757"/>
    <w:rsid w:val="00FC3F3F"/>
    <w:rsid w:val="00FD2105"/>
    <w:rsid w:val="00FD3229"/>
    <w:rsid w:val="00FD417C"/>
    <w:rsid w:val="00FD55FB"/>
    <w:rsid w:val="00FD5EA0"/>
    <w:rsid w:val="00FE3F53"/>
    <w:rsid w:val="00FE4BAA"/>
    <w:rsid w:val="00FE52FE"/>
    <w:rsid w:val="00FF4124"/>
    <w:rsid w:val="00FF4EE1"/>
    <w:rsid w:val="00FF7EF9"/>
    <w:rsid w:val="01183040"/>
    <w:rsid w:val="011B7B8A"/>
    <w:rsid w:val="017B3420"/>
    <w:rsid w:val="01F26837"/>
    <w:rsid w:val="028265A2"/>
    <w:rsid w:val="028B36A9"/>
    <w:rsid w:val="034C4249"/>
    <w:rsid w:val="03AB0A4C"/>
    <w:rsid w:val="03AB7B6C"/>
    <w:rsid w:val="03FE2B54"/>
    <w:rsid w:val="042A414A"/>
    <w:rsid w:val="048A0E19"/>
    <w:rsid w:val="04A5009E"/>
    <w:rsid w:val="04AB2E7B"/>
    <w:rsid w:val="05101F48"/>
    <w:rsid w:val="051536FE"/>
    <w:rsid w:val="05706B86"/>
    <w:rsid w:val="05740860"/>
    <w:rsid w:val="05A141DD"/>
    <w:rsid w:val="05A70A57"/>
    <w:rsid w:val="05BF74F0"/>
    <w:rsid w:val="061406A8"/>
    <w:rsid w:val="06672BA5"/>
    <w:rsid w:val="066B6E68"/>
    <w:rsid w:val="06B3170F"/>
    <w:rsid w:val="06DD649D"/>
    <w:rsid w:val="07242238"/>
    <w:rsid w:val="075A3207"/>
    <w:rsid w:val="078903A8"/>
    <w:rsid w:val="07921036"/>
    <w:rsid w:val="07B02B10"/>
    <w:rsid w:val="07CE00E3"/>
    <w:rsid w:val="08055CAB"/>
    <w:rsid w:val="081A01B6"/>
    <w:rsid w:val="08DD4532"/>
    <w:rsid w:val="094E014B"/>
    <w:rsid w:val="09646A02"/>
    <w:rsid w:val="098C020D"/>
    <w:rsid w:val="09B74D83"/>
    <w:rsid w:val="0A21302B"/>
    <w:rsid w:val="0A283ED3"/>
    <w:rsid w:val="0A486323"/>
    <w:rsid w:val="0A64315D"/>
    <w:rsid w:val="0B077F8D"/>
    <w:rsid w:val="0B2A4D43"/>
    <w:rsid w:val="0BAA46B7"/>
    <w:rsid w:val="0BB21AB2"/>
    <w:rsid w:val="0BB97F87"/>
    <w:rsid w:val="0BCF36CB"/>
    <w:rsid w:val="0BF84E2F"/>
    <w:rsid w:val="0BF97047"/>
    <w:rsid w:val="0C095FE2"/>
    <w:rsid w:val="0C163C4D"/>
    <w:rsid w:val="0C8E433A"/>
    <w:rsid w:val="0C957759"/>
    <w:rsid w:val="0C961CF8"/>
    <w:rsid w:val="0CAC2B99"/>
    <w:rsid w:val="0CB35CD6"/>
    <w:rsid w:val="0CB41A4E"/>
    <w:rsid w:val="0D6829DB"/>
    <w:rsid w:val="0D850A7B"/>
    <w:rsid w:val="0E004A36"/>
    <w:rsid w:val="0E112ACF"/>
    <w:rsid w:val="0E15476E"/>
    <w:rsid w:val="0E530817"/>
    <w:rsid w:val="0E7B7208"/>
    <w:rsid w:val="0E963B01"/>
    <w:rsid w:val="0ED71A24"/>
    <w:rsid w:val="0F006637"/>
    <w:rsid w:val="0F6322D4"/>
    <w:rsid w:val="0F790616"/>
    <w:rsid w:val="0F9A505F"/>
    <w:rsid w:val="0FEC2B56"/>
    <w:rsid w:val="0FF6412E"/>
    <w:rsid w:val="103105FA"/>
    <w:rsid w:val="103A58C6"/>
    <w:rsid w:val="10612CBB"/>
    <w:rsid w:val="10B304A7"/>
    <w:rsid w:val="10DB1C9F"/>
    <w:rsid w:val="110D341B"/>
    <w:rsid w:val="115858F4"/>
    <w:rsid w:val="11B524F0"/>
    <w:rsid w:val="11B67C1F"/>
    <w:rsid w:val="120E1C01"/>
    <w:rsid w:val="1222745A"/>
    <w:rsid w:val="12816ACE"/>
    <w:rsid w:val="129D747A"/>
    <w:rsid w:val="12B26899"/>
    <w:rsid w:val="12BC340B"/>
    <w:rsid w:val="12BC78AF"/>
    <w:rsid w:val="12CE699E"/>
    <w:rsid w:val="1332191F"/>
    <w:rsid w:val="1337478E"/>
    <w:rsid w:val="13920CCD"/>
    <w:rsid w:val="13A10F7E"/>
    <w:rsid w:val="13BF0570"/>
    <w:rsid w:val="14007318"/>
    <w:rsid w:val="140B464A"/>
    <w:rsid w:val="14247FD3"/>
    <w:rsid w:val="14515DD5"/>
    <w:rsid w:val="1491410A"/>
    <w:rsid w:val="14D91AF4"/>
    <w:rsid w:val="154E3E7A"/>
    <w:rsid w:val="155252B3"/>
    <w:rsid w:val="1568787A"/>
    <w:rsid w:val="157D3325"/>
    <w:rsid w:val="157E628E"/>
    <w:rsid w:val="15AB144A"/>
    <w:rsid w:val="15EF3AF7"/>
    <w:rsid w:val="161D2412"/>
    <w:rsid w:val="16DB3641"/>
    <w:rsid w:val="16EA0A0B"/>
    <w:rsid w:val="16EE1BB5"/>
    <w:rsid w:val="17093C39"/>
    <w:rsid w:val="173E0892"/>
    <w:rsid w:val="174F484D"/>
    <w:rsid w:val="17A32DEB"/>
    <w:rsid w:val="17C50FB3"/>
    <w:rsid w:val="18041ADC"/>
    <w:rsid w:val="1809518A"/>
    <w:rsid w:val="180F7530"/>
    <w:rsid w:val="181F06C4"/>
    <w:rsid w:val="184039D1"/>
    <w:rsid w:val="18866995"/>
    <w:rsid w:val="189A0977"/>
    <w:rsid w:val="18B44E70"/>
    <w:rsid w:val="18C638D9"/>
    <w:rsid w:val="19267830"/>
    <w:rsid w:val="194505FE"/>
    <w:rsid w:val="196547FC"/>
    <w:rsid w:val="19742C91"/>
    <w:rsid w:val="19831126"/>
    <w:rsid w:val="1A074196"/>
    <w:rsid w:val="1A1664D1"/>
    <w:rsid w:val="1A4D33D5"/>
    <w:rsid w:val="1A8B202E"/>
    <w:rsid w:val="1AC66313"/>
    <w:rsid w:val="1AED1ED8"/>
    <w:rsid w:val="1AF06347"/>
    <w:rsid w:val="1C64296B"/>
    <w:rsid w:val="1C662842"/>
    <w:rsid w:val="1C9D605B"/>
    <w:rsid w:val="1CCC2BE7"/>
    <w:rsid w:val="1CF739BD"/>
    <w:rsid w:val="1D091942"/>
    <w:rsid w:val="1D5801D4"/>
    <w:rsid w:val="1DC5622E"/>
    <w:rsid w:val="1E10576C"/>
    <w:rsid w:val="1E26368C"/>
    <w:rsid w:val="1E431149"/>
    <w:rsid w:val="1EA13E22"/>
    <w:rsid w:val="1EB67938"/>
    <w:rsid w:val="1EBA79F6"/>
    <w:rsid w:val="1F2F00AB"/>
    <w:rsid w:val="1F7A6B27"/>
    <w:rsid w:val="1FBB5A25"/>
    <w:rsid w:val="1FD02A04"/>
    <w:rsid w:val="1FEF18BC"/>
    <w:rsid w:val="1FFF0558"/>
    <w:rsid w:val="2016722C"/>
    <w:rsid w:val="20566C4C"/>
    <w:rsid w:val="20663E68"/>
    <w:rsid w:val="20924822"/>
    <w:rsid w:val="20966122"/>
    <w:rsid w:val="20C55B80"/>
    <w:rsid w:val="20ED2784"/>
    <w:rsid w:val="214B077B"/>
    <w:rsid w:val="216A6083"/>
    <w:rsid w:val="219172B9"/>
    <w:rsid w:val="2197751D"/>
    <w:rsid w:val="21B46707"/>
    <w:rsid w:val="21BA4060"/>
    <w:rsid w:val="21BB02A7"/>
    <w:rsid w:val="21C951FE"/>
    <w:rsid w:val="21CA0455"/>
    <w:rsid w:val="21CA3057"/>
    <w:rsid w:val="21DA20BE"/>
    <w:rsid w:val="222328AF"/>
    <w:rsid w:val="225F6042"/>
    <w:rsid w:val="22762B89"/>
    <w:rsid w:val="22A53FD5"/>
    <w:rsid w:val="22A61760"/>
    <w:rsid w:val="22AF08B2"/>
    <w:rsid w:val="22D35D24"/>
    <w:rsid w:val="23057254"/>
    <w:rsid w:val="232A7A81"/>
    <w:rsid w:val="235A047B"/>
    <w:rsid w:val="246F0255"/>
    <w:rsid w:val="24BC54EC"/>
    <w:rsid w:val="24FF13E5"/>
    <w:rsid w:val="25A20B86"/>
    <w:rsid w:val="25B87A4E"/>
    <w:rsid w:val="265C78EF"/>
    <w:rsid w:val="266D211B"/>
    <w:rsid w:val="2674531B"/>
    <w:rsid w:val="26BB73DE"/>
    <w:rsid w:val="26BC58A5"/>
    <w:rsid w:val="26EB3E67"/>
    <w:rsid w:val="270C275B"/>
    <w:rsid w:val="271A3FBC"/>
    <w:rsid w:val="273B3040"/>
    <w:rsid w:val="276A5B88"/>
    <w:rsid w:val="27A401A2"/>
    <w:rsid w:val="27A41BF6"/>
    <w:rsid w:val="27C923FA"/>
    <w:rsid w:val="27EB411E"/>
    <w:rsid w:val="28650EE9"/>
    <w:rsid w:val="28C22931"/>
    <w:rsid w:val="28E4794F"/>
    <w:rsid w:val="296C100A"/>
    <w:rsid w:val="29714AF7"/>
    <w:rsid w:val="29A0718A"/>
    <w:rsid w:val="29C27A8F"/>
    <w:rsid w:val="29E54312"/>
    <w:rsid w:val="2A22427F"/>
    <w:rsid w:val="2A3E2123"/>
    <w:rsid w:val="2A6F03E8"/>
    <w:rsid w:val="2A954815"/>
    <w:rsid w:val="2AFC1751"/>
    <w:rsid w:val="2B3C1734"/>
    <w:rsid w:val="2B3C767A"/>
    <w:rsid w:val="2B557FFC"/>
    <w:rsid w:val="2B81687D"/>
    <w:rsid w:val="2B822FEC"/>
    <w:rsid w:val="2B870602"/>
    <w:rsid w:val="2B8B0ED8"/>
    <w:rsid w:val="2B9E191F"/>
    <w:rsid w:val="2C6C59B1"/>
    <w:rsid w:val="2C7F2D93"/>
    <w:rsid w:val="2C8763E0"/>
    <w:rsid w:val="2CF61039"/>
    <w:rsid w:val="2CFE2B46"/>
    <w:rsid w:val="2D151C3D"/>
    <w:rsid w:val="2D9F01BE"/>
    <w:rsid w:val="2DAA73C4"/>
    <w:rsid w:val="2DB651CE"/>
    <w:rsid w:val="2DC518B5"/>
    <w:rsid w:val="2DC53663"/>
    <w:rsid w:val="2DD70495"/>
    <w:rsid w:val="2DD80D37"/>
    <w:rsid w:val="2DF31F7F"/>
    <w:rsid w:val="2E2508C8"/>
    <w:rsid w:val="2E3B4564"/>
    <w:rsid w:val="2E4F4710"/>
    <w:rsid w:val="2ED55B28"/>
    <w:rsid w:val="2F725125"/>
    <w:rsid w:val="2F8724AA"/>
    <w:rsid w:val="2F9162F2"/>
    <w:rsid w:val="306F5936"/>
    <w:rsid w:val="30980BBB"/>
    <w:rsid w:val="30A44265"/>
    <w:rsid w:val="31172428"/>
    <w:rsid w:val="311741D6"/>
    <w:rsid w:val="31174C00"/>
    <w:rsid w:val="31300DF3"/>
    <w:rsid w:val="31321010"/>
    <w:rsid w:val="314E4A9B"/>
    <w:rsid w:val="316617D1"/>
    <w:rsid w:val="319A6E11"/>
    <w:rsid w:val="31A71971"/>
    <w:rsid w:val="3233326A"/>
    <w:rsid w:val="32427E1D"/>
    <w:rsid w:val="32663614"/>
    <w:rsid w:val="326F1AC3"/>
    <w:rsid w:val="327F64D7"/>
    <w:rsid w:val="32B01391"/>
    <w:rsid w:val="32CD6CD6"/>
    <w:rsid w:val="32DD119A"/>
    <w:rsid w:val="33590AD6"/>
    <w:rsid w:val="33A53D1B"/>
    <w:rsid w:val="33A627F1"/>
    <w:rsid w:val="33E31A45"/>
    <w:rsid w:val="33F072EF"/>
    <w:rsid w:val="33F52B8E"/>
    <w:rsid w:val="345474EF"/>
    <w:rsid w:val="346D54B0"/>
    <w:rsid w:val="34927F4E"/>
    <w:rsid w:val="34A55F7B"/>
    <w:rsid w:val="34A70C18"/>
    <w:rsid w:val="350F0F1C"/>
    <w:rsid w:val="35523A2F"/>
    <w:rsid w:val="358E42B1"/>
    <w:rsid w:val="358F1B68"/>
    <w:rsid w:val="35C22CBA"/>
    <w:rsid w:val="35D92F9C"/>
    <w:rsid w:val="361C228F"/>
    <w:rsid w:val="36236DD3"/>
    <w:rsid w:val="36486BE0"/>
    <w:rsid w:val="365657A0"/>
    <w:rsid w:val="368D10CA"/>
    <w:rsid w:val="36E25286"/>
    <w:rsid w:val="37517D16"/>
    <w:rsid w:val="37864A27"/>
    <w:rsid w:val="37DA4923"/>
    <w:rsid w:val="37FF59C4"/>
    <w:rsid w:val="38174ABC"/>
    <w:rsid w:val="381A0BC4"/>
    <w:rsid w:val="38481119"/>
    <w:rsid w:val="38CC58A6"/>
    <w:rsid w:val="38D30D6F"/>
    <w:rsid w:val="38E07DF0"/>
    <w:rsid w:val="391D7C02"/>
    <w:rsid w:val="39275D20"/>
    <w:rsid w:val="3941703B"/>
    <w:rsid w:val="399A3BF6"/>
    <w:rsid w:val="39B02D1E"/>
    <w:rsid w:val="39BA4298"/>
    <w:rsid w:val="39E93E40"/>
    <w:rsid w:val="3A115F36"/>
    <w:rsid w:val="3A164F48"/>
    <w:rsid w:val="3A433664"/>
    <w:rsid w:val="3A4678DA"/>
    <w:rsid w:val="3A5E78D7"/>
    <w:rsid w:val="3A830258"/>
    <w:rsid w:val="3AAC64DB"/>
    <w:rsid w:val="3AE0388B"/>
    <w:rsid w:val="3B0534C7"/>
    <w:rsid w:val="3B291D75"/>
    <w:rsid w:val="3B736379"/>
    <w:rsid w:val="3B8C57C0"/>
    <w:rsid w:val="3B937D6D"/>
    <w:rsid w:val="3BA90120"/>
    <w:rsid w:val="3BD11425"/>
    <w:rsid w:val="3C5067EE"/>
    <w:rsid w:val="3C70144A"/>
    <w:rsid w:val="3C7626F9"/>
    <w:rsid w:val="3C7C3A87"/>
    <w:rsid w:val="3C8F4657"/>
    <w:rsid w:val="3C9568F7"/>
    <w:rsid w:val="3CB56D79"/>
    <w:rsid w:val="3CD236A7"/>
    <w:rsid w:val="3D43781F"/>
    <w:rsid w:val="3D511B93"/>
    <w:rsid w:val="3DB904AF"/>
    <w:rsid w:val="3DD05E38"/>
    <w:rsid w:val="3DDF7E2A"/>
    <w:rsid w:val="3E0C2BE9"/>
    <w:rsid w:val="3E17594F"/>
    <w:rsid w:val="3E1E6BA3"/>
    <w:rsid w:val="3E23065E"/>
    <w:rsid w:val="3E2359BF"/>
    <w:rsid w:val="3E2E7003"/>
    <w:rsid w:val="3E321C06"/>
    <w:rsid w:val="3E3F1794"/>
    <w:rsid w:val="3E492841"/>
    <w:rsid w:val="3EA57202"/>
    <w:rsid w:val="3EB23790"/>
    <w:rsid w:val="3EF47905"/>
    <w:rsid w:val="3F7153F9"/>
    <w:rsid w:val="3F9C0DF2"/>
    <w:rsid w:val="3FDE0E9A"/>
    <w:rsid w:val="3FFF6F74"/>
    <w:rsid w:val="403A3A3D"/>
    <w:rsid w:val="406B1E48"/>
    <w:rsid w:val="41AF2C30"/>
    <w:rsid w:val="41C00274"/>
    <w:rsid w:val="41F410CA"/>
    <w:rsid w:val="424471EC"/>
    <w:rsid w:val="4267663F"/>
    <w:rsid w:val="42D33CD5"/>
    <w:rsid w:val="42F61767"/>
    <w:rsid w:val="432F3601"/>
    <w:rsid w:val="439C056B"/>
    <w:rsid w:val="44227714"/>
    <w:rsid w:val="44A1052F"/>
    <w:rsid w:val="44AD318B"/>
    <w:rsid w:val="44BB06D3"/>
    <w:rsid w:val="44E26451"/>
    <w:rsid w:val="44F93EC7"/>
    <w:rsid w:val="45467F62"/>
    <w:rsid w:val="45612C48"/>
    <w:rsid w:val="4568104C"/>
    <w:rsid w:val="45B63B66"/>
    <w:rsid w:val="45C2075D"/>
    <w:rsid w:val="45FD5A07"/>
    <w:rsid w:val="460537F8"/>
    <w:rsid w:val="46061EF1"/>
    <w:rsid w:val="461B60BF"/>
    <w:rsid w:val="46B81B60"/>
    <w:rsid w:val="46CF66C7"/>
    <w:rsid w:val="47474B5E"/>
    <w:rsid w:val="477F61D9"/>
    <w:rsid w:val="47CB75C8"/>
    <w:rsid w:val="47D47CB9"/>
    <w:rsid w:val="47DA4671"/>
    <w:rsid w:val="47DB5B06"/>
    <w:rsid w:val="483866F3"/>
    <w:rsid w:val="488F583C"/>
    <w:rsid w:val="48B64CF3"/>
    <w:rsid w:val="48DC7D87"/>
    <w:rsid w:val="4932027F"/>
    <w:rsid w:val="49630847"/>
    <w:rsid w:val="49866B78"/>
    <w:rsid w:val="49DC7913"/>
    <w:rsid w:val="4A1B282D"/>
    <w:rsid w:val="4A230DD9"/>
    <w:rsid w:val="4A2371CC"/>
    <w:rsid w:val="4A2C2648"/>
    <w:rsid w:val="4A5454ED"/>
    <w:rsid w:val="4A985F30"/>
    <w:rsid w:val="4B075AB1"/>
    <w:rsid w:val="4B154506"/>
    <w:rsid w:val="4B427847"/>
    <w:rsid w:val="4B5838B5"/>
    <w:rsid w:val="4B6C5EE1"/>
    <w:rsid w:val="4B7D359C"/>
    <w:rsid w:val="4B92297F"/>
    <w:rsid w:val="4BFC7012"/>
    <w:rsid w:val="4C5C0B94"/>
    <w:rsid w:val="4CDE22D8"/>
    <w:rsid w:val="4CDE51FA"/>
    <w:rsid w:val="4CEC28DA"/>
    <w:rsid w:val="4D045244"/>
    <w:rsid w:val="4D5F0F87"/>
    <w:rsid w:val="4D73058E"/>
    <w:rsid w:val="4D857417"/>
    <w:rsid w:val="4DD05DCC"/>
    <w:rsid w:val="4DD36962"/>
    <w:rsid w:val="4DF17176"/>
    <w:rsid w:val="4DF96CE5"/>
    <w:rsid w:val="4E0416AC"/>
    <w:rsid w:val="4E555EE6"/>
    <w:rsid w:val="4ED90B67"/>
    <w:rsid w:val="4F235CEF"/>
    <w:rsid w:val="4F29374E"/>
    <w:rsid w:val="4F4C767B"/>
    <w:rsid w:val="4F7F7492"/>
    <w:rsid w:val="5043323B"/>
    <w:rsid w:val="505548E5"/>
    <w:rsid w:val="506D1983"/>
    <w:rsid w:val="509D0E2F"/>
    <w:rsid w:val="51053BF3"/>
    <w:rsid w:val="516F3256"/>
    <w:rsid w:val="51C71BE5"/>
    <w:rsid w:val="51DF281A"/>
    <w:rsid w:val="51FA45D3"/>
    <w:rsid w:val="51FA6C3D"/>
    <w:rsid w:val="520039D2"/>
    <w:rsid w:val="52243871"/>
    <w:rsid w:val="5247070E"/>
    <w:rsid w:val="52C35B14"/>
    <w:rsid w:val="52C378C2"/>
    <w:rsid w:val="539727C4"/>
    <w:rsid w:val="53B54AA9"/>
    <w:rsid w:val="53B755D4"/>
    <w:rsid w:val="53D0673A"/>
    <w:rsid w:val="53D46E01"/>
    <w:rsid w:val="54191D8E"/>
    <w:rsid w:val="549A28A4"/>
    <w:rsid w:val="54AE7C55"/>
    <w:rsid w:val="54B971CF"/>
    <w:rsid w:val="54D47B64"/>
    <w:rsid w:val="54ED6E78"/>
    <w:rsid w:val="550B5550"/>
    <w:rsid w:val="550D12C8"/>
    <w:rsid w:val="55255B74"/>
    <w:rsid w:val="558E736C"/>
    <w:rsid w:val="56A93F00"/>
    <w:rsid w:val="56CF2673"/>
    <w:rsid w:val="56D26326"/>
    <w:rsid w:val="56F9686B"/>
    <w:rsid w:val="5735222B"/>
    <w:rsid w:val="577009F4"/>
    <w:rsid w:val="57772648"/>
    <w:rsid w:val="57CA524F"/>
    <w:rsid w:val="58392B1D"/>
    <w:rsid w:val="58466363"/>
    <w:rsid w:val="589F26F3"/>
    <w:rsid w:val="58D02E43"/>
    <w:rsid w:val="590F56FD"/>
    <w:rsid w:val="591E3AA4"/>
    <w:rsid w:val="594F41D0"/>
    <w:rsid w:val="59710B6E"/>
    <w:rsid w:val="59743CA7"/>
    <w:rsid w:val="59A4508E"/>
    <w:rsid w:val="59B41C86"/>
    <w:rsid w:val="59B47CFA"/>
    <w:rsid w:val="59D6437F"/>
    <w:rsid w:val="59EB2FC3"/>
    <w:rsid w:val="59FF4E7D"/>
    <w:rsid w:val="5A4D25D2"/>
    <w:rsid w:val="5A593D80"/>
    <w:rsid w:val="5A5E02CB"/>
    <w:rsid w:val="5A6B0F6B"/>
    <w:rsid w:val="5ABA0896"/>
    <w:rsid w:val="5B0376CF"/>
    <w:rsid w:val="5B5D32A0"/>
    <w:rsid w:val="5B6A3128"/>
    <w:rsid w:val="5B9242D5"/>
    <w:rsid w:val="5BAB7B51"/>
    <w:rsid w:val="5BB04FB2"/>
    <w:rsid w:val="5BDD6953"/>
    <w:rsid w:val="5C02166B"/>
    <w:rsid w:val="5C3125CF"/>
    <w:rsid w:val="5C806FAE"/>
    <w:rsid w:val="5C990812"/>
    <w:rsid w:val="5CA067FC"/>
    <w:rsid w:val="5CB31064"/>
    <w:rsid w:val="5CC579DF"/>
    <w:rsid w:val="5D157F04"/>
    <w:rsid w:val="5D6B3030"/>
    <w:rsid w:val="5D9E1657"/>
    <w:rsid w:val="5DBC4A01"/>
    <w:rsid w:val="5DEE2D45"/>
    <w:rsid w:val="5E043DAE"/>
    <w:rsid w:val="5E086AD1"/>
    <w:rsid w:val="5E0B398D"/>
    <w:rsid w:val="5E121C77"/>
    <w:rsid w:val="5E14541A"/>
    <w:rsid w:val="5E3B2A02"/>
    <w:rsid w:val="5E567766"/>
    <w:rsid w:val="5E5A59E3"/>
    <w:rsid w:val="5FD209F0"/>
    <w:rsid w:val="600E1625"/>
    <w:rsid w:val="604C0EF7"/>
    <w:rsid w:val="605D3104"/>
    <w:rsid w:val="605F5B58"/>
    <w:rsid w:val="60683E8C"/>
    <w:rsid w:val="608B186E"/>
    <w:rsid w:val="608C1886"/>
    <w:rsid w:val="60927A27"/>
    <w:rsid w:val="60972E67"/>
    <w:rsid w:val="613F280A"/>
    <w:rsid w:val="614141F6"/>
    <w:rsid w:val="619E1C26"/>
    <w:rsid w:val="61A134C4"/>
    <w:rsid w:val="61F47390"/>
    <w:rsid w:val="62086BFE"/>
    <w:rsid w:val="620A72BB"/>
    <w:rsid w:val="622540F5"/>
    <w:rsid w:val="62810F0E"/>
    <w:rsid w:val="628264D3"/>
    <w:rsid w:val="628570A6"/>
    <w:rsid w:val="62913539"/>
    <w:rsid w:val="62CA2B63"/>
    <w:rsid w:val="6307298E"/>
    <w:rsid w:val="63074EBD"/>
    <w:rsid w:val="638E1826"/>
    <w:rsid w:val="63AB13AC"/>
    <w:rsid w:val="63BE2A42"/>
    <w:rsid w:val="63D21F33"/>
    <w:rsid w:val="63E47698"/>
    <w:rsid w:val="64612478"/>
    <w:rsid w:val="646C1BA4"/>
    <w:rsid w:val="64772897"/>
    <w:rsid w:val="64830C9E"/>
    <w:rsid w:val="64A84B6A"/>
    <w:rsid w:val="6506411F"/>
    <w:rsid w:val="65653592"/>
    <w:rsid w:val="65D961A6"/>
    <w:rsid w:val="65F1774C"/>
    <w:rsid w:val="65FA31A3"/>
    <w:rsid w:val="664157E3"/>
    <w:rsid w:val="66424284"/>
    <w:rsid w:val="665E1984"/>
    <w:rsid w:val="666F6ED5"/>
    <w:rsid w:val="6686712D"/>
    <w:rsid w:val="669058B5"/>
    <w:rsid w:val="66EC1DF0"/>
    <w:rsid w:val="6705090F"/>
    <w:rsid w:val="671169F6"/>
    <w:rsid w:val="67825B46"/>
    <w:rsid w:val="67896ED4"/>
    <w:rsid w:val="67C352B0"/>
    <w:rsid w:val="68147564"/>
    <w:rsid w:val="6832131A"/>
    <w:rsid w:val="686F5BBE"/>
    <w:rsid w:val="6879376B"/>
    <w:rsid w:val="68ED6FEF"/>
    <w:rsid w:val="68FD36D6"/>
    <w:rsid w:val="69821E2D"/>
    <w:rsid w:val="69EC09C3"/>
    <w:rsid w:val="6A0C7949"/>
    <w:rsid w:val="6A1D769E"/>
    <w:rsid w:val="6A202C56"/>
    <w:rsid w:val="6A2E78BF"/>
    <w:rsid w:val="6A7D0E05"/>
    <w:rsid w:val="6AB3118F"/>
    <w:rsid w:val="6ACE43D9"/>
    <w:rsid w:val="6ACF7FCF"/>
    <w:rsid w:val="6B012885"/>
    <w:rsid w:val="6B075F49"/>
    <w:rsid w:val="6B3F2100"/>
    <w:rsid w:val="6B693321"/>
    <w:rsid w:val="6BE64D01"/>
    <w:rsid w:val="6C272818"/>
    <w:rsid w:val="6C7B11C2"/>
    <w:rsid w:val="6C7C4328"/>
    <w:rsid w:val="6C975BF0"/>
    <w:rsid w:val="6C98243C"/>
    <w:rsid w:val="6CD04B80"/>
    <w:rsid w:val="6CF47BA8"/>
    <w:rsid w:val="6D0D4104"/>
    <w:rsid w:val="6D2D0302"/>
    <w:rsid w:val="6D662321"/>
    <w:rsid w:val="6D6F26C8"/>
    <w:rsid w:val="6DDE19BF"/>
    <w:rsid w:val="6E8977BA"/>
    <w:rsid w:val="6E8B1784"/>
    <w:rsid w:val="6EC204ED"/>
    <w:rsid w:val="6EE960E7"/>
    <w:rsid w:val="6F3239AE"/>
    <w:rsid w:val="6F7115BA"/>
    <w:rsid w:val="6FA23C81"/>
    <w:rsid w:val="6FCD1928"/>
    <w:rsid w:val="6FCF38F2"/>
    <w:rsid w:val="6FDD600F"/>
    <w:rsid w:val="70025A76"/>
    <w:rsid w:val="702436C9"/>
    <w:rsid w:val="702A28D7"/>
    <w:rsid w:val="70450C96"/>
    <w:rsid w:val="70566BC6"/>
    <w:rsid w:val="70CB230C"/>
    <w:rsid w:val="71350834"/>
    <w:rsid w:val="715B3690"/>
    <w:rsid w:val="715C2F64"/>
    <w:rsid w:val="71744156"/>
    <w:rsid w:val="718B0CBE"/>
    <w:rsid w:val="71A05546"/>
    <w:rsid w:val="71FF4BBA"/>
    <w:rsid w:val="72234A47"/>
    <w:rsid w:val="72404633"/>
    <w:rsid w:val="72563E57"/>
    <w:rsid w:val="72872262"/>
    <w:rsid w:val="72D746F5"/>
    <w:rsid w:val="73092C77"/>
    <w:rsid w:val="732E340E"/>
    <w:rsid w:val="734819F2"/>
    <w:rsid w:val="73572653"/>
    <w:rsid w:val="73733135"/>
    <w:rsid w:val="7396721F"/>
    <w:rsid w:val="73BD2408"/>
    <w:rsid w:val="741D6057"/>
    <w:rsid w:val="744846FD"/>
    <w:rsid w:val="7495322A"/>
    <w:rsid w:val="749613E3"/>
    <w:rsid w:val="74BF6341"/>
    <w:rsid w:val="751C145E"/>
    <w:rsid w:val="754B2483"/>
    <w:rsid w:val="757D42F0"/>
    <w:rsid w:val="75F73F1C"/>
    <w:rsid w:val="75FE0A8D"/>
    <w:rsid w:val="766C3C49"/>
    <w:rsid w:val="76D73053"/>
    <w:rsid w:val="76F8372F"/>
    <w:rsid w:val="77025661"/>
    <w:rsid w:val="770976EA"/>
    <w:rsid w:val="77386D91"/>
    <w:rsid w:val="774776EA"/>
    <w:rsid w:val="77537150"/>
    <w:rsid w:val="777803CC"/>
    <w:rsid w:val="777D2805"/>
    <w:rsid w:val="778E29AF"/>
    <w:rsid w:val="7798281C"/>
    <w:rsid w:val="77AF04CA"/>
    <w:rsid w:val="77B6402F"/>
    <w:rsid w:val="782D565A"/>
    <w:rsid w:val="78EA0C03"/>
    <w:rsid w:val="79353E82"/>
    <w:rsid w:val="79587431"/>
    <w:rsid w:val="798B6ADC"/>
    <w:rsid w:val="79EB4038"/>
    <w:rsid w:val="7A342CD0"/>
    <w:rsid w:val="7A441F30"/>
    <w:rsid w:val="7A68455E"/>
    <w:rsid w:val="7A886B78"/>
    <w:rsid w:val="7AAD2A82"/>
    <w:rsid w:val="7AC75E72"/>
    <w:rsid w:val="7AFC4E70"/>
    <w:rsid w:val="7B0326A2"/>
    <w:rsid w:val="7B254D93"/>
    <w:rsid w:val="7B3C31F3"/>
    <w:rsid w:val="7B694BFB"/>
    <w:rsid w:val="7B810197"/>
    <w:rsid w:val="7BA43054"/>
    <w:rsid w:val="7BC2430B"/>
    <w:rsid w:val="7C336EAD"/>
    <w:rsid w:val="7C8B61BE"/>
    <w:rsid w:val="7D141F76"/>
    <w:rsid w:val="7D467C65"/>
    <w:rsid w:val="7D697134"/>
    <w:rsid w:val="7D9C5A0F"/>
    <w:rsid w:val="7DB36601"/>
    <w:rsid w:val="7E7E09BD"/>
    <w:rsid w:val="7E8A4BF4"/>
    <w:rsid w:val="7ECA6179"/>
    <w:rsid w:val="7F4B3706"/>
    <w:rsid w:val="7F7B6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heme="minorBidi"/>
      <w:kern w:val="2"/>
      <w:sz w:val="24"/>
      <w:szCs w:val="22"/>
      <w:lang w:val="en-US" w:eastAsia="zh-CN" w:bidi="ar-SA"/>
    </w:rPr>
  </w:style>
  <w:style w:type="paragraph" w:styleId="2">
    <w:name w:val="heading 1"/>
    <w:basedOn w:val="1"/>
    <w:next w:val="1"/>
    <w:link w:val="37"/>
    <w:qFormat/>
    <w:uiPriority w:val="9"/>
    <w:pPr>
      <w:outlineLvl w:val="0"/>
    </w:pPr>
    <w:rPr>
      <w:rFonts w:cs="Times New Roman" w:eastAsiaTheme="minorEastAsia"/>
      <w:b/>
      <w:bCs/>
      <w:szCs w:val="40"/>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8"/>
    <w:basedOn w:val="1"/>
    <w:next w:val="1"/>
    <w:link w:val="44"/>
    <w:semiHidden/>
    <w:unhideWhenUsed/>
    <w:qFormat/>
    <w:uiPriority w:val="9"/>
    <w:pPr>
      <w:keepNext/>
      <w:keepLines/>
      <w:spacing w:before="240" w:after="64" w:line="320" w:lineRule="auto"/>
      <w:outlineLvl w:val="7"/>
    </w:pPr>
    <w:rPr>
      <w:rFonts w:asciiTheme="majorHAnsi" w:hAnsiTheme="majorHAnsi" w:eastAsiaTheme="majorEastAsia" w:cstheme="majorBidi"/>
      <w:szCs w:val="24"/>
    </w:rPr>
  </w:style>
  <w:style w:type="character" w:default="1" w:styleId="23">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Theme="minorHAnsi" w:hAnsiTheme="minorHAnsi" w:eastAsiaTheme="minorEastAsia"/>
      <w:sz w:val="21"/>
      <w14:ligatures w14:val="standardContextual"/>
    </w:rPr>
  </w:style>
  <w:style w:type="paragraph" w:styleId="7">
    <w:name w:val="annotation text"/>
    <w:basedOn w:val="1"/>
    <w:link w:val="51"/>
    <w:semiHidden/>
    <w:unhideWhenUsed/>
    <w:qFormat/>
    <w:uiPriority w:val="99"/>
    <w:pPr>
      <w:jc w:val="left"/>
    </w:pPr>
  </w:style>
  <w:style w:type="paragraph" w:styleId="8">
    <w:name w:val="toc 5"/>
    <w:basedOn w:val="1"/>
    <w:next w:val="1"/>
    <w:unhideWhenUsed/>
    <w:qFormat/>
    <w:uiPriority w:val="39"/>
    <w:pPr>
      <w:ind w:left="1680" w:leftChars="800"/>
    </w:pPr>
    <w:rPr>
      <w:rFonts w:asciiTheme="minorHAnsi" w:hAnsiTheme="minorHAnsi" w:eastAsiaTheme="minorEastAsia"/>
      <w:sz w:val="21"/>
      <w14:ligatures w14:val="standardContextual"/>
    </w:rPr>
  </w:style>
  <w:style w:type="paragraph" w:styleId="9">
    <w:name w:val="toc 3"/>
    <w:basedOn w:val="1"/>
    <w:next w:val="1"/>
    <w:unhideWhenUsed/>
    <w:qFormat/>
    <w:uiPriority w:val="39"/>
    <w:pPr>
      <w:ind w:left="840" w:leftChars="400"/>
    </w:pPr>
    <w:rPr>
      <w:rFonts w:asciiTheme="minorHAnsi" w:hAnsiTheme="minorHAnsi" w:eastAsiaTheme="minorEastAsia"/>
      <w:sz w:val="21"/>
      <w14:ligatures w14:val="standardContextual"/>
    </w:rPr>
  </w:style>
  <w:style w:type="paragraph" w:styleId="10">
    <w:name w:val="toc 8"/>
    <w:basedOn w:val="1"/>
    <w:next w:val="1"/>
    <w:unhideWhenUsed/>
    <w:qFormat/>
    <w:uiPriority w:val="39"/>
    <w:pPr>
      <w:ind w:left="2940" w:leftChars="1400"/>
    </w:pPr>
    <w:rPr>
      <w:rFonts w:asciiTheme="minorHAnsi" w:hAnsiTheme="minorHAnsi" w:eastAsiaTheme="minorEastAsia"/>
      <w:sz w:val="21"/>
      <w14:ligatures w14:val="standardContextual"/>
    </w:rPr>
  </w:style>
  <w:style w:type="paragraph" w:styleId="11">
    <w:name w:val="Balloon Text"/>
    <w:basedOn w:val="1"/>
    <w:link w:val="27"/>
    <w:semiHidden/>
    <w:unhideWhenUsed/>
    <w:qFormat/>
    <w:uiPriority w:val="99"/>
    <w:rPr>
      <w:sz w:val="18"/>
      <w:szCs w:val="18"/>
    </w:rPr>
  </w:style>
  <w:style w:type="paragraph" w:styleId="12">
    <w:name w:val="footer"/>
    <w:basedOn w:val="1"/>
    <w:link w:val="29"/>
    <w:unhideWhenUsed/>
    <w:qFormat/>
    <w:uiPriority w:val="99"/>
    <w:pPr>
      <w:tabs>
        <w:tab w:val="center" w:pos="4153"/>
        <w:tab w:val="right" w:pos="8306"/>
      </w:tabs>
      <w:snapToGrid w:val="0"/>
      <w:jc w:val="left"/>
    </w:pPr>
    <w:rPr>
      <w:sz w:val="18"/>
      <w:szCs w:val="18"/>
    </w:rPr>
  </w:style>
  <w:style w:type="paragraph" w:styleId="13">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oc 4"/>
    <w:basedOn w:val="1"/>
    <w:next w:val="1"/>
    <w:unhideWhenUsed/>
    <w:qFormat/>
    <w:uiPriority w:val="39"/>
    <w:pPr>
      <w:ind w:left="1260" w:leftChars="600"/>
    </w:pPr>
    <w:rPr>
      <w:rFonts w:asciiTheme="minorHAnsi" w:hAnsiTheme="minorHAnsi" w:eastAsiaTheme="minorEastAsia"/>
      <w:sz w:val="21"/>
      <w14:ligatures w14:val="standardContextual"/>
    </w:rPr>
  </w:style>
  <w:style w:type="paragraph" w:styleId="16">
    <w:name w:val="toc 6"/>
    <w:basedOn w:val="1"/>
    <w:next w:val="1"/>
    <w:unhideWhenUsed/>
    <w:qFormat/>
    <w:uiPriority w:val="39"/>
    <w:pPr>
      <w:ind w:left="2100" w:leftChars="1000"/>
    </w:pPr>
    <w:rPr>
      <w:rFonts w:asciiTheme="minorHAnsi" w:hAnsiTheme="minorHAnsi" w:eastAsiaTheme="minorEastAsia"/>
      <w:sz w:val="21"/>
      <w14:ligatures w14:val="standardContextual"/>
    </w:rPr>
  </w:style>
  <w:style w:type="paragraph" w:styleId="17">
    <w:name w:val="toc 2"/>
    <w:basedOn w:val="1"/>
    <w:next w:val="1"/>
    <w:unhideWhenUsed/>
    <w:qFormat/>
    <w:uiPriority w:val="39"/>
    <w:pPr>
      <w:ind w:left="420" w:leftChars="200"/>
    </w:pPr>
    <w:rPr>
      <w:rFonts w:asciiTheme="minorHAnsi" w:hAnsiTheme="minorHAnsi" w:eastAsiaTheme="minorEastAsia"/>
      <w:sz w:val="21"/>
      <w14:ligatures w14:val="standardContextual"/>
    </w:rPr>
  </w:style>
  <w:style w:type="paragraph" w:styleId="18">
    <w:name w:val="toc 9"/>
    <w:basedOn w:val="1"/>
    <w:next w:val="1"/>
    <w:unhideWhenUsed/>
    <w:qFormat/>
    <w:uiPriority w:val="39"/>
    <w:pPr>
      <w:ind w:left="3360" w:leftChars="1600"/>
    </w:pPr>
    <w:rPr>
      <w:rFonts w:asciiTheme="minorHAnsi" w:hAnsiTheme="minorHAnsi" w:eastAsiaTheme="minorEastAsia"/>
      <w:sz w:val="21"/>
      <w14:ligatures w14:val="standardContextual"/>
    </w:rPr>
  </w:style>
  <w:style w:type="paragraph" w:styleId="19">
    <w:name w:val="Normal (Web)"/>
    <w:basedOn w:val="1"/>
    <w:unhideWhenUsed/>
    <w:qFormat/>
    <w:uiPriority w:val="99"/>
    <w:rPr>
      <w:rFonts w:cs="Times New Roman"/>
      <w:szCs w:val="24"/>
    </w:rPr>
  </w:style>
  <w:style w:type="paragraph" w:styleId="20">
    <w:name w:val="annotation subject"/>
    <w:basedOn w:val="7"/>
    <w:next w:val="7"/>
    <w:link w:val="52"/>
    <w:semiHidden/>
    <w:unhideWhenUsed/>
    <w:qFormat/>
    <w:uiPriority w:val="99"/>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Emphasis"/>
    <w:basedOn w:val="23"/>
    <w:qFormat/>
    <w:uiPriority w:val="20"/>
    <w:rPr>
      <w:i/>
    </w:rPr>
  </w:style>
  <w:style w:type="character" w:styleId="25">
    <w:name w:val="Hyperlink"/>
    <w:basedOn w:val="23"/>
    <w:unhideWhenUsed/>
    <w:qFormat/>
    <w:uiPriority w:val="99"/>
    <w:rPr>
      <w:color w:val="0000FF" w:themeColor="hyperlink"/>
      <w:u w:val="single"/>
      <w14:textFill>
        <w14:solidFill>
          <w14:schemeClr w14:val="hlink"/>
        </w14:solidFill>
      </w14:textFill>
    </w:rPr>
  </w:style>
  <w:style w:type="character" w:styleId="26">
    <w:name w:val="annotation reference"/>
    <w:basedOn w:val="23"/>
    <w:semiHidden/>
    <w:unhideWhenUsed/>
    <w:qFormat/>
    <w:uiPriority w:val="99"/>
    <w:rPr>
      <w:sz w:val="21"/>
      <w:szCs w:val="21"/>
    </w:rPr>
  </w:style>
  <w:style w:type="character" w:customStyle="1" w:styleId="27">
    <w:name w:val="批注框文本 字符"/>
    <w:basedOn w:val="23"/>
    <w:link w:val="11"/>
    <w:semiHidden/>
    <w:qFormat/>
    <w:uiPriority w:val="99"/>
    <w:rPr>
      <w:sz w:val="18"/>
      <w:szCs w:val="18"/>
    </w:rPr>
  </w:style>
  <w:style w:type="character" w:customStyle="1" w:styleId="28">
    <w:name w:val="页眉 字符"/>
    <w:basedOn w:val="23"/>
    <w:link w:val="13"/>
    <w:qFormat/>
    <w:uiPriority w:val="99"/>
    <w:rPr>
      <w:sz w:val="18"/>
      <w:szCs w:val="18"/>
    </w:rPr>
  </w:style>
  <w:style w:type="character" w:customStyle="1" w:styleId="29">
    <w:name w:val="页脚 字符"/>
    <w:basedOn w:val="23"/>
    <w:link w:val="12"/>
    <w:qFormat/>
    <w:uiPriority w:val="99"/>
    <w:rPr>
      <w:sz w:val="18"/>
      <w:szCs w:val="18"/>
    </w:rPr>
  </w:style>
  <w:style w:type="table" w:customStyle="1" w:styleId="30">
    <w:name w:val="网格型1"/>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1">
    <w:name w:val="EndNote Bibliography Title"/>
    <w:basedOn w:val="1"/>
    <w:link w:val="32"/>
    <w:qFormat/>
    <w:uiPriority w:val="0"/>
    <w:pPr>
      <w:jc w:val="center"/>
    </w:pPr>
    <w:rPr>
      <w:rFonts w:cs="Times New Roman"/>
      <w:sz w:val="20"/>
    </w:rPr>
  </w:style>
  <w:style w:type="character" w:customStyle="1" w:styleId="32">
    <w:name w:val="EndNote Bibliography Title Char"/>
    <w:basedOn w:val="23"/>
    <w:link w:val="31"/>
    <w:qFormat/>
    <w:uiPriority w:val="0"/>
    <w:rPr>
      <w:rFonts w:eastAsia="Times New Roman"/>
      <w:kern w:val="2"/>
      <w:szCs w:val="22"/>
    </w:rPr>
  </w:style>
  <w:style w:type="paragraph" w:customStyle="1" w:styleId="33">
    <w:name w:val="EndNote Bibliography"/>
    <w:basedOn w:val="1"/>
    <w:link w:val="34"/>
    <w:qFormat/>
    <w:uiPriority w:val="0"/>
    <w:rPr>
      <w:rFonts w:cs="Times New Roman"/>
      <w:sz w:val="20"/>
    </w:rPr>
  </w:style>
  <w:style w:type="character" w:customStyle="1" w:styleId="34">
    <w:name w:val="EndNote Bibliography Char"/>
    <w:basedOn w:val="23"/>
    <w:link w:val="33"/>
    <w:qFormat/>
    <w:uiPriority w:val="0"/>
    <w:rPr>
      <w:rFonts w:eastAsia="Times New Roman"/>
      <w:kern w:val="2"/>
      <w:szCs w:val="22"/>
    </w:rPr>
  </w:style>
  <w:style w:type="paragraph" w:customStyle="1" w:styleId="35">
    <w:name w:val="TA_Main_Text"/>
    <w:basedOn w:val="1"/>
    <w:qFormat/>
    <w:uiPriority w:val="0"/>
    <w:pPr>
      <w:widowControl/>
      <w:spacing w:after="60"/>
    </w:pPr>
    <w:rPr>
      <w:rFonts w:eastAsia="宋体" w:cs="Calibri"/>
      <w:color w:val="000000"/>
      <w:kern w:val="21"/>
      <w:sz w:val="22"/>
    </w:rPr>
  </w:style>
  <w:style w:type="character" w:customStyle="1" w:styleId="36">
    <w:name w:val="skip"/>
    <w:basedOn w:val="23"/>
    <w:qFormat/>
    <w:uiPriority w:val="0"/>
  </w:style>
  <w:style w:type="character" w:customStyle="1" w:styleId="37">
    <w:name w:val="标题 1 字符"/>
    <w:basedOn w:val="23"/>
    <w:link w:val="2"/>
    <w:qFormat/>
    <w:uiPriority w:val="9"/>
    <w:rPr>
      <w:rFonts w:eastAsiaTheme="minorEastAsia"/>
      <w:b/>
      <w:bCs/>
      <w:kern w:val="2"/>
      <w:sz w:val="24"/>
      <w:szCs w:val="40"/>
    </w:rPr>
  </w:style>
  <w:style w:type="paragraph" w:customStyle="1" w:styleId="38">
    <w:name w:val="TOC 标题1"/>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color w:val="376092" w:themeColor="accent1" w:themeShade="BF"/>
      <w:kern w:val="0"/>
      <w:sz w:val="32"/>
      <w:szCs w:val="32"/>
    </w:rPr>
  </w:style>
  <w:style w:type="character" w:customStyle="1" w:styleId="39">
    <w:name w:val="标题 2 字符"/>
    <w:basedOn w:val="23"/>
    <w:link w:val="3"/>
    <w:qFormat/>
    <w:uiPriority w:val="9"/>
    <w:rPr>
      <w:rFonts w:asciiTheme="majorHAnsi" w:hAnsiTheme="majorHAnsi" w:eastAsiaTheme="majorEastAsia" w:cstheme="majorBidi"/>
      <w:b/>
      <w:bCs/>
      <w:sz w:val="32"/>
      <w:szCs w:val="32"/>
    </w:rPr>
  </w:style>
  <w:style w:type="paragraph" w:customStyle="1" w:styleId="4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styleId="41">
    <w:name w:val="Placeholder Text"/>
    <w:basedOn w:val="23"/>
    <w:semiHidden/>
    <w:qFormat/>
    <w:uiPriority w:val="99"/>
    <w:rPr>
      <w:color w:val="808080"/>
    </w:rPr>
  </w:style>
  <w:style w:type="character" w:customStyle="1" w:styleId="42">
    <w:name w:val="未处理的提及1"/>
    <w:basedOn w:val="23"/>
    <w:semiHidden/>
    <w:unhideWhenUsed/>
    <w:qFormat/>
    <w:uiPriority w:val="99"/>
    <w:rPr>
      <w:color w:val="605E5C"/>
      <w:shd w:val="clear" w:color="auto" w:fill="E1DFDD"/>
    </w:rPr>
  </w:style>
  <w:style w:type="paragraph" w:customStyle="1" w:styleId="43">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4">
    <w:name w:val="标题 8 字符"/>
    <w:basedOn w:val="23"/>
    <w:link w:val="5"/>
    <w:semiHidden/>
    <w:qFormat/>
    <w:uiPriority w:val="9"/>
    <w:rPr>
      <w:rFonts w:asciiTheme="majorHAnsi" w:hAnsiTheme="majorHAnsi" w:eastAsiaTheme="majorEastAsia" w:cstheme="majorBidi"/>
      <w:kern w:val="2"/>
      <w:sz w:val="24"/>
      <w:szCs w:val="24"/>
    </w:rPr>
  </w:style>
  <w:style w:type="character" w:customStyle="1" w:styleId="45">
    <w:name w:val="未处理的提及2"/>
    <w:basedOn w:val="23"/>
    <w:semiHidden/>
    <w:unhideWhenUsed/>
    <w:qFormat/>
    <w:uiPriority w:val="99"/>
    <w:rPr>
      <w:color w:val="605E5C"/>
      <w:shd w:val="clear" w:color="auto" w:fill="E1DFDD"/>
    </w:rPr>
  </w:style>
  <w:style w:type="paragraph" w:customStyle="1" w:styleId="46">
    <w:name w:val="修订3"/>
    <w:hidden/>
    <w:semiHidden/>
    <w:qFormat/>
    <w:uiPriority w:val="99"/>
    <w:rPr>
      <w:rFonts w:ascii="Times New Roman" w:hAnsi="Times New Roman" w:eastAsia="Times New Roman" w:cstheme="minorBidi"/>
      <w:kern w:val="2"/>
      <w:sz w:val="24"/>
      <w:szCs w:val="22"/>
      <w:lang w:val="en-US" w:eastAsia="zh-CN" w:bidi="ar-SA"/>
    </w:rPr>
  </w:style>
  <w:style w:type="paragraph" w:styleId="47">
    <w:name w:val="List Paragraph"/>
    <w:basedOn w:val="1"/>
    <w:qFormat/>
    <w:uiPriority w:val="99"/>
    <w:pPr>
      <w:ind w:firstLine="420" w:firstLineChars="200"/>
    </w:pPr>
  </w:style>
  <w:style w:type="paragraph" w:customStyle="1" w:styleId="48">
    <w:name w:val="修订4"/>
    <w:hidden/>
    <w:semiHidden/>
    <w:qFormat/>
    <w:uiPriority w:val="99"/>
    <w:rPr>
      <w:rFonts w:ascii="Times New Roman" w:hAnsi="Times New Roman" w:eastAsia="Times New Roman" w:cstheme="minorBidi"/>
      <w:kern w:val="2"/>
      <w:sz w:val="24"/>
      <w:szCs w:val="22"/>
      <w:lang w:val="en-US" w:eastAsia="zh-CN" w:bidi="ar-SA"/>
    </w:rPr>
  </w:style>
  <w:style w:type="character" w:customStyle="1" w:styleId="49">
    <w:name w:val="未处理的提及3"/>
    <w:basedOn w:val="23"/>
    <w:semiHidden/>
    <w:unhideWhenUsed/>
    <w:qFormat/>
    <w:uiPriority w:val="99"/>
    <w:rPr>
      <w:color w:val="605E5C"/>
      <w:shd w:val="clear" w:color="auto" w:fill="E1DFDD"/>
    </w:rPr>
  </w:style>
  <w:style w:type="character" w:customStyle="1" w:styleId="50">
    <w:name w:val="未处理的提及4"/>
    <w:basedOn w:val="23"/>
    <w:semiHidden/>
    <w:unhideWhenUsed/>
    <w:qFormat/>
    <w:uiPriority w:val="99"/>
    <w:rPr>
      <w:color w:val="605E5C"/>
      <w:shd w:val="clear" w:color="auto" w:fill="E1DFDD"/>
    </w:rPr>
  </w:style>
  <w:style w:type="character" w:customStyle="1" w:styleId="51">
    <w:name w:val="批注文字 字符"/>
    <w:basedOn w:val="23"/>
    <w:link w:val="7"/>
    <w:semiHidden/>
    <w:qFormat/>
    <w:uiPriority w:val="99"/>
    <w:rPr>
      <w:rFonts w:eastAsia="Times New Roman" w:cstheme="minorBidi"/>
      <w:kern w:val="2"/>
      <w:sz w:val="24"/>
      <w:szCs w:val="22"/>
    </w:rPr>
  </w:style>
  <w:style w:type="character" w:customStyle="1" w:styleId="52">
    <w:name w:val="批注主题 字符"/>
    <w:basedOn w:val="51"/>
    <w:link w:val="20"/>
    <w:semiHidden/>
    <w:qFormat/>
    <w:uiPriority w:val="99"/>
    <w:rPr>
      <w:rFonts w:eastAsia="Times New Roman" w:cstheme="minorBidi"/>
      <w:b/>
      <w:bCs/>
      <w:kern w:val="2"/>
      <w:sz w:val="24"/>
      <w:szCs w:val="22"/>
    </w:rPr>
  </w:style>
  <w:style w:type="paragraph" w:customStyle="1" w:styleId="53">
    <w:name w:val="修订5"/>
    <w:hidden/>
    <w:unhideWhenUsed/>
    <w:qFormat/>
    <w:uiPriority w:val="99"/>
    <w:rPr>
      <w:rFonts w:ascii="Times New Roman" w:hAnsi="Times New Roman" w:eastAsia="Times New Roman" w:cstheme="minorBidi"/>
      <w:kern w:val="2"/>
      <w:sz w:val="24"/>
      <w:szCs w:val="22"/>
      <w:lang w:val="en-US" w:eastAsia="zh-CN" w:bidi="ar-SA"/>
    </w:rPr>
  </w:style>
  <w:style w:type="character" w:customStyle="1" w:styleId="54">
    <w:name w:val="未处理的提及5"/>
    <w:basedOn w:val="23"/>
    <w:semiHidden/>
    <w:unhideWhenUsed/>
    <w:qFormat/>
    <w:uiPriority w:val="99"/>
    <w:rPr>
      <w:color w:val="605E5C"/>
      <w:shd w:val="clear" w:color="auto" w:fill="E1DFDD"/>
    </w:rPr>
  </w:style>
  <w:style w:type="paragraph" w:customStyle="1" w:styleId="55">
    <w:name w:val="修订6"/>
    <w:hidden/>
    <w:unhideWhenUsed/>
    <w:qFormat/>
    <w:uiPriority w:val="99"/>
    <w:rPr>
      <w:rFonts w:ascii="Times New Roman" w:hAnsi="Times New Roman" w:eastAsia="Times New Roman"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jpeg"/><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numbering" Target="numbering.xml"/><Relationship Id="rId24" Type="http://schemas.openxmlformats.org/officeDocument/2006/relationships/image" Target="media/image20.tiff"/><Relationship Id="rId23" Type="http://schemas.openxmlformats.org/officeDocument/2006/relationships/image" Target="media/image19.jpeg"/><Relationship Id="rId22" Type="http://schemas.openxmlformats.org/officeDocument/2006/relationships/image" Target="media/image18.tiff"/><Relationship Id="rId21" Type="http://schemas.openxmlformats.org/officeDocument/2006/relationships/image" Target="media/image17.jpeg"/><Relationship Id="rId20" Type="http://schemas.openxmlformats.org/officeDocument/2006/relationships/image" Target="media/image16.tiff"/><Relationship Id="rId2" Type="http://schemas.openxmlformats.org/officeDocument/2006/relationships/settings" Target="settings.xml"/><Relationship Id="rId19" Type="http://schemas.openxmlformats.org/officeDocument/2006/relationships/image" Target="media/image15.tiff"/><Relationship Id="rId18" Type="http://schemas.openxmlformats.org/officeDocument/2006/relationships/image" Target="media/image14.tiff"/><Relationship Id="rId17" Type="http://schemas.openxmlformats.org/officeDocument/2006/relationships/image" Target="media/image13.jpeg"/><Relationship Id="rId16" Type="http://schemas.openxmlformats.org/officeDocument/2006/relationships/image" Target="media/image12.tiff"/><Relationship Id="rId15" Type="http://schemas.openxmlformats.org/officeDocument/2006/relationships/image" Target="media/image11.tiff"/><Relationship Id="rId14" Type="http://schemas.openxmlformats.org/officeDocument/2006/relationships/image" Target="media/image10.tiff"/><Relationship Id="rId13" Type="http://schemas.openxmlformats.org/officeDocument/2006/relationships/image" Target="media/image9.tiff"/><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3B9E0-1926-4221-AD17-F639BCA17D5B}">
  <ds:schemaRefs/>
</ds:datastoreItem>
</file>

<file path=docProps/app.xml><?xml version="1.0" encoding="utf-8"?>
<Properties xmlns="http://schemas.openxmlformats.org/officeDocument/2006/extended-properties" xmlns:vt="http://schemas.openxmlformats.org/officeDocument/2006/docPropsVTypes">
  <Template>Normal</Template>
  <Pages>31</Pages>
  <Words>3884</Words>
  <Characters>22140</Characters>
  <Lines>184</Lines>
  <Paragraphs>51</Paragraphs>
  <TotalTime>182</TotalTime>
  <ScaleCrop>false</ScaleCrop>
  <LinksUpToDate>false</LinksUpToDate>
  <CharactersWithSpaces>25973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2023-12-04T06:11:00Z</dcterms:created>
  <dc:creator>admin</dc:creator>
  <cp:lastModifiedBy>安好</cp:lastModifiedBy>
  <cp:lastPrinted>2023-12-05T12:44:00Z</cp:lastPrinted>
  <dcterms:modified xsi:type="dcterms:W3CDTF">2023-12-05T12:47:04Z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72D657E886C24C71A30D5EF72FDAC1DF_13</vt:lpwstr>
  </property>
  <property fmtid="{D5CDD505-2E9C-101B-9397-08002B2CF9AE}" pid="4" name="GrammarlyDocumentId">
    <vt:lpwstr>f182e31888b2033de452846cf70aa57552f9dfe1b9b659ba40255a903d5220e6</vt:lpwstr>
  </property>
</Properties>
</file>