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4DB2" w:rsidRPr="00456FF8" w:rsidRDefault="00B94DB2" w:rsidP="00B94DB2">
      <w:pPr>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 xml:space="preserve">The quality of and women’s satisfaction with maternal referral practices in sub-Saharan African low and lower-middle income countries: A systematic review </w:t>
      </w: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sz w:val="24"/>
          <w:szCs w:val="24"/>
        </w:rPr>
      </w:pPr>
    </w:p>
    <w:p w:rsidR="00B94DB2" w:rsidRPr="00456FF8" w:rsidRDefault="00B94DB2" w:rsidP="00B94DB2">
      <w:pPr>
        <w:spacing w:line="480" w:lineRule="auto"/>
        <w:jc w:val="both"/>
        <w:rPr>
          <w:rFonts w:ascii="Times New Roman" w:hAnsi="Times New Roman" w:cs="Times New Roman"/>
          <w:sz w:val="24"/>
          <w:szCs w:val="24"/>
          <w:vertAlign w:val="superscript"/>
        </w:rPr>
      </w:pPr>
      <w:r w:rsidRPr="00456FF8">
        <w:rPr>
          <w:rFonts w:ascii="Times New Roman" w:hAnsi="Times New Roman" w:cs="Times New Roman"/>
          <w:sz w:val="24"/>
          <w:szCs w:val="24"/>
        </w:rPr>
        <w:t>Edward Kwabena Ameyaw</w:t>
      </w:r>
      <w:r w:rsidRPr="00456FF8">
        <w:rPr>
          <w:rFonts w:ascii="Times New Roman" w:hAnsi="Times New Roman" w:cs="Times New Roman"/>
          <w:sz w:val="24"/>
          <w:szCs w:val="24"/>
          <w:vertAlign w:val="superscript"/>
        </w:rPr>
        <w:t>1*</w:t>
      </w:r>
      <w:r w:rsidRPr="00456FF8">
        <w:rPr>
          <w:rFonts w:ascii="Times New Roman" w:hAnsi="Times New Roman" w:cs="Times New Roman"/>
          <w:sz w:val="24"/>
          <w:szCs w:val="24"/>
        </w:rPr>
        <w:t>, Carolyne Njue</w:t>
      </w:r>
      <w:r w:rsidRPr="00456FF8">
        <w:rPr>
          <w:rFonts w:ascii="Times New Roman" w:hAnsi="Times New Roman" w:cs="Times New Roman"/>
          <w:sz w:val="24"/>
          <w:szCs w:val="24"/>
          <w:vertAlign w:val="superscript"/>
        </w:rPr>
        <w:t>1</w:t>
      </w:r>
      <w:r w:rsidRPr="00456FF8">
        <w:rPr>
          <w:rFonts w:ascii="Times New Roman" w:hAnsi="Times New Roman" w:cs="Times New Roman"/>
          <w:sz w:val="24"/>
          <w:szCs w:val="24"/>
        </w:rPr>
        <w:t>, Nguyen Toan Tran</w:t>
      </w:r>
      <w:r w:rsidRPr="00456FF8">
        <w:rPr>
          <w:rFonts w:ascii="Times New Roman" w:hAnsi="Times New Roman" w:cs="Times New Roman"/>
          <w:sz w:val="24"/>
          <w:szCs w:val="24"/>
          <w:vertAlign w:val="superscript"/>
        </w:rPr>
        <w:t>2</w:t>
      </w:r>
      <w:r w:rsidRPr="00456FF8">
        <w:rPr>
          <w:rFonts w:ascii="Times New Roman" w:hAnsi="Times New Roman" w:cs="Times New Roman"/>
          <w:sz w:val="24"/>
          <w:szCs w:val="24"/>
        </w:rPr>
        <w:t>, Angela Dawson</w:t>
      </w:r>
      <w:r w:rsidRPr="00456FF8">
        <w:rPr>
          <w:rFonts w:ascii="Times New Roman" w:hAnsi="Times New Roman" w:cs="Times New Roman"/>
          <w:sz w:val="24"/>
          <w:szCs w:val="24"/>
          <w:vertAlign w:val="superscript"/>
        </w:rPr>
        <w:t>1</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vertAlign w:val="superscript"/>
        </w:rPr>
        <w:t>1</w:t>
      </w:r>
      <w:r w:rsidRPr="00456FF8">
        <w:rPr>
          <w:rFonts w:ascii="Times New Roman" w:hAnsi="Times New Roman" w:cs="Times New Roman"/>
          <w:sz w:val="24"/>
          <w:szCs w:val="24"/>
        </w:rPr>
        <w:t>The Australian Centre for Public and Population Health Research (ACPPHR), Faculty of Health, University of Technology Sydney, Australia</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vertAlign w:val="superscript"/>
        </w:rPr>
        <w:t>2</w:t>
      </w:r>
      <w:r w:rsidRPr="00456FF8">
        <w:rPr>
          <w:rFonts w:ascii="Times New Roman" w:hAnsi="Times New Roman" w:cs="Times New Roman"/>
          <w:sz w:val="24"/>
          <w:szCs w:val="24"/>
        </w:rPr>
        <w:t>Faculty of Health, University of Technology Sydney, Australia</w:t>
      </w:r>
    </w:p>
    <w:p w:rsidR="00B94DB2" w:rsidRPr="00456FF8" w:rsidRDefault="00B94DB2" w:rsidP="00B94DB2">
      <w:pPr>
        <w:spacing w:line="480" w:lineRule="auto"/>
        <w:jc w:val="both"/>
        <w:rPr>
          <w:rFonts w:ascii="Times New Roman" w:hAnsi="Times New Roman" w:cs="Times New Roman"/>
          <w:sz w:val="24"/>
          <w:szCs w:val="24"/>
        </w:rPr>
      </w:pPr>
    </w:p>
    <w:p w:rsidR="00B94DB2" w:rsidRPr="00456FF8" w:rsidRDefault="00B94DB2" w:rsidP="00B94DB2">
      <w:pPr>
        <w:spacing w:line="480" w:lineRule="auto"/>
        <w:jc w:val="both"/>
        <w:rPr>
          <w:rFonts w:ascii="Times New Roman" w:hAnsi="Times New Roman" w:cs="Times New Roman"/>
          <w:sz w:val="24"/>
          <w:szCs w:val="24"/>
        </w:rPr>
      </w:pP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Corresponding Author: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EKA: edward.k.ameyaw@student.uts.edu.au</w:t>
      </w:r>
    </w:p>
    <w:p w:rsidR="00B94DB2" w:rsidRPr="00456FF8" w:rsidRDefault="00B94DB2" w:rsidP="00B94DB2">
      <w:pPr>
        <w:spacing w:line="480" w:lineRule="auto"/>
        <w:jc w:val="both"/>
        <w:rPr>
          <w:rFonts w:ascii="Times New Roman" w:hAnsi="Times New Roman" w:cs="Times New Roman"/>
          <w:sz w:val="24"/>
          <w:szCs w:val="24"/>
        </w:rPr>
      </w:pPr>
    </w:p>
    <w:p w:rsidR="00B94DB2" w:rsidRPr="00456FF8" w:rsidRDefault="00B94DB2" w:rsidP="00B94DB2">
      <w:pPr>
        <w:spacing w:line="480" w:lineRule="auto"/>
        <w:jc w:val="both"/>
        <w:rPr>
          <w:rFonts w:ascii="Times New Roman" w:hAnsi="Times New Roman" w:cs="Times New Roman"/>
          <w:sz w:val="24"/>
          <w:szCs w:val="24"/>
        </w:rPr>
      </w:pPr>
    </w:p>
    <w:p w:rsidR="00B94DB2" w:rsidRPr="00456FF8" w:rsidRDefault="00B94DB2" w:rsidP="00B94DB2">
      <w:pPr>
        <w:spacing w:line="480" w:lineRule="auto"/>
        <w:jc w:val="both"/>
        <w:rPr>
          <w:rFonts w:ascii="Times New Roman" w:hAnsi="Times New Roman" w:cs="Times New Roman"/>
          <w:sz w:val="24"/>
          <w:szCs w:val="24"/>
        </w:rPr>
      </w:pPr>
    </w:p>
    <w:p w:rsidR="00B94DB2" w:rsidRPr="00456FF8" w:rsidRDefault="00B94DB2" w:rsidP="00B94DB2">
      <w:pPr>
        <w:spacing w:line="480" w:lineRule="auto"/>
        <w:jc w:val="both"/>
        <w:rPr>
          <w:rFonts w:ascii="Times New Roman" w:hAnsi="Times New Roman" w:cs="Times New Roman"/>
          <w:sz w:val="24"/>
          <w:szCs w:val="24"/>
        </w:rPr>
      </w:pPr>
    </w:p>
    <w:p w:rsidR="00B94DB2" w:rsidRPr="00456FF8" w:rsidRDefault="00B94DB2" w:rsidP="00B94DB2">
      <w:pPr>
        <w:spacing w:line="480" w:lineRule="auto"/>
        <w:jc w:val="both"/>
        <w:rPr>
          <w:rFonts w:ascii="Times New Roman" w:hAnsi="Times New Roman" w:cs="Times New Roman"/>
          <w:sz w:val="24"/>
          <w:szCs w:val="24"/>
        </w:rPr>
      </w:pPr>
    </w:p>
    <w:p w:rsidR="00B94DB2" w:rsidRPr="00456FF8" w:rsidRDefault="00B94DB2" w:rsidP="00B94DB2">
      <w:pPr>
        <w:spacing w:line="480" w:lineRule="auto"/>
        <w:jc w:val="both"/>
        <w:rPr>
          <w:rFonts w:ascii="Times New Roman" w:hAnsi="Times New Roman" w:cs="Times New Roman"/>
          <w:sz w:val="24"/>
          <w:szCs w:val="24"/>
        </w:rPr>
      </w:pPr>
    </w:p>
    <w:p w:rsidR="00B94DB2" w:rsidRPr="00456FF8" w:rsidRDefault="00B94DB2" w:rsidP="00B94DB2">
      <w:pPr>
        <w:spacing w:line="480" w:lineRule="auto"/>
        <w:jc w:val="both"/>
        <w:rPr>
          <w:rFonts w:ascii="Times New Roman" w:hAnsi="Times New Roman" w:cs="Times New Roman"/>
          <w:sz w:val="24"/>
          <w:szCs w:val="24"/>
        </w:rPr>
      </w:pPr>
    </w:p>
    <w:p w:rsidR="00B94DB2" w:rsidRPr="00456FF8" w:rsidRDefault="00B94DB2" w:rsidP="00B94DB2">
      <w:pPr>
        <w:spacing w:line="480" w:lineRule="auto"/>
        <w:jc w:val="both"/>
        <w:rPr>
          <w:rFonts w:ascii="Times New Roman" w:hAnsi="Times New Roman" w:cs="Times New Roman"/>
          <w:sz w:val="24"/>
          <w:szCs w:val="24"/>
        </w:rPr>
      </w:pPr>
    </w:p>
    <w:p w:rsidR="00B94DB2" w:rsidRPr="00456FF8" w:rsidRDefault="00B94DB2" w:rsidP="00B94DB2">
      <w:pPr>
        <w:spacing w:line="480" w:lineRule="auto"/>
        <w:jc w:val="both"/>
        <w:rPr>
          <w:rFonts w:ascii="Times New Roman" w:hAnsi="Times New Roman" w:cs="Times New Roman"/>
          <w:sz w:val="24"/>
          <w:szCs w:val="24"/>
        </w:rPr>
      </w:pPr>
    </w:p>
    <w:p w:rsidR="00B94DB2" w:rsidRPr="00456FF8" w:rsidRDefault="00B94DB2" w:rsidP="00B94DB2">
      <w:pPr>
        <w:autoSpaceDE w:val="0"/>
        <w:autoSpaceDN w:val="0"/>
        <w:adjustRightInd w:val="0"/>
        <w:spacing w:after="0" w:line="480" w:lineRule="auto"/>
        <w:jc w:val="center"/>
        <w:rPr>
          <w:rFonts w:ascii="Times New Roman" w:hAnsi="Times New Roman" w:cs="Times New Roman"/>
          <w:b/>
          <w:sz w:val="24"/>
          <w:szCs w:val="24"/>
        </w:rPr>
      </w:pPr>
      <w:r w:rsidRPr="00456FF8">
        <w:rPr>
          <w:rFonts w:ascii="Times New Roman" w:hAnsi="Times New Roman" w:cs="Times New Roman"/>
          <w:b/>
          <w:sz w:val="24"/>
          <w:szCs w:val="24"/>
        </w:rPr>
        <w:t>Abstract</w:t>
      </w:r>
    </w:p>
    <w:p w:rsidR="00B94DB2" w:rsidRPr="00456FF8" w:rsidRDefault="00B94DB2" w:rsidP="00B94DB2">
      <w:pPr>
        <w:autoSpaceDE w:val="0"/>
        <w:autoSpaceDN w:val="0"/>
        <w:adjustRightInd w:val="0"/>
        <w:spacing w:after="0" w:line="480" w:lineRule="auto"/>
        <w:jc w:val="both"/>
        <w:rPr>
          <w:rFonts w:ascii="Times New Roman" w:hAnsi="Times New Roman" w:cs="Times New Roman"/>
          <w:sz w:val="24"/>
          <w:szCs w:val="24"/>
        </w:rPr>
      </w:pPr>
      <w:r w:rsidRPr="00456FF8">
        <w:rPr>
          <w:rFonts w:ascii="Times New Roman" w:hAnsi="Times New Roman" w:cs="Times New Roman"/>
          <w:b/>
          <w:sz w:val="24"/>
          <w:szCs w:val="24"/>
        </w:rPr>
        <w:t xml:space="preserve">Background: </w:t>
      </w:r>
      <w:r w:rsidRPr="00456FF8">
        <w:rPr>
          <w:rFonts w:ascii="Times New Roman" w:hAnsi="Times New Roman" w:cs="Times New Roman"/>
          <w:sz w:val="24"/>
          <w:szCs w:val="24"/>
        </w:rPr>
        <w:t xml:space="preserve">Sub-Saharan African Low and Lower-Middle Income Countries (SSA LLMICs) have the highest burden of maternal and </w:t>
      </w:r>
      <w:r>
        <w:rPr>
          <w:rFonts w:ascii="Times New Roman" w:hAnsi="Times New Roman" w:cs="Times New Roman"/>
          <w:sz w:val="24"/>
          <w:szCs w:val="24"/>
        </w:rPr>
        <w:t>perinatal</w:t>
      </w:r>
      <w:r w:rsidRPr="00456FF8">
        <w:rPr>
          <w:rFonts w:ascii="Times New Roman" w:hAnsi="Times New Roman" w:cs="Times New Roman"/>
          <w:sz w:val="24"/>
          <w:szCs w:val="24"/>
        </w:rPr>
        <w:t xml:space="preserve"> morbidity and mortality in the world. Timely and appropriate obstetric referral to a suitable health facility is an indicator of effective health systems. In this systematic review we aimed to identify which referral practices are delivered according to accepted standards for pregnant women and newborns in SSA LLMICs by competent healthcare providers in line with the needs and wishes of pregnant women.</w:t>
      </w:r>
    </w:p>
    <w:p w:rsidR="00B94DB2" w:rsidRPr="00456FF8" w:rsidRDefault="00B94DB2" w:rsidP="00B94DB2">
      <w:pPr>
        <w:spacing w:after="0" w:line="480" w:lineRule="auto"/>
        <w:jc w:val="both"/>
        <w:rPr>
          <w:rFonts w:ascii="Times New Roman" w:hAnsi="Times New Roman" w:cs="Times New Roman"/>
          <w:sz w:val="24"/>
          <w:szCs w:val="24"/>
        </w:rPr>
      </w:pPr>
      <w:r w:rsidRPr="00456FF8">
        <w:rPr>
          <w:rFonts w:ascii="Times New Roman" w:hAnsi="Times New Roman" w:cs="Times New Roman"/>
          <w:b/>
          <w:sz w:val="24"/>
          <w:szCs w:val="24"/>
        </w:rPr>
        <w:t xml:space="preserve">Methods: </w:t>
      </w:r>
      <w:r w:rsidRPr="00456FF8">
        <w:rPr>
          <w:rFonts w:ascii="Times New Roman" w:hAnsi="Times New Roman" w:cs="Times New Roman"/>
          <w:sz w:val="24"/>
          <w:szCs w:val="24"/>
        </w:rPr>
        <w:t>Six electronic databases were systematically searched for primary data studies (2009-2018) in English reporting on maternal referral practices and their effectiveness. We conducted a content analysis guided by a framework for assessing the quality of maternal referral. The studies defined quality referral as: timely identification of signal functions, established guidelines or standards, adequate documentation, staff accompaniment and prompt care by competent healthcare providers in the receiving facility.</w:t>
      </w:r>
    </w:p>
    <w:p w:rsidR="00B94DB2" w:rsidRPr="00456FF8" w:rsidRDefault="00B94DB2" w:rsidP="00B94DB2">
      <w:pPr>
        <w:spacing w:after="0" w:line="480" w:lineRule="auto"/>
        <w:jc w:val="both"/>
        <w:rPr>
          <w:rFonts w:ascii="Times New Roman" w:hAnsi="Times New Roman" w:cs="Times New Roman"/>
          <w:sz w:val="24"/>
          <w:szCs w:val="24"/>
        </w:rPr>
      </w:pPr>
      <w:r w:rsidRPr="00456FF8">
        <w:rPr>
          <w:rFonts w:ascii="Times New Roman" w:hAnsi="Times New Roman" w:cs="Times New Roman"/>
          <w:b/>
          <w:sz w:val="24"/>
          <w:szCs w:val="24"/>
        </w:rPr>
        <w:t>Results:</w:t>
      </w:r>
      <w:r w:rsidRPr="00456FF8">
        <w:rPr>
          <w:rFonts w:ascii="Times New Roman" w:hAnsi="Times New Roman" w:cs="Times New Roman"/>
          <w:sz w:val="24"/>
          <w:szCs w:val="24"/>
        </w:rPr>
        <w:t xml:space="preserve"> Seventeen articles were included in the study. Most studies were quantitative (n=11). Two studies reported that women were dissatisfied due to delays in referral processes that affected their health.</w:t>
      </w:r>
      <w:r w:rsidRPr="00456FF8">
        <w:rPr>
          <w:rFonts w:ascii="Times New Roman" w:hAnsi="Times New Roman" w:cs="Times New Roman"/>
          <w:color w:val="C00000"/>
          <w:sz w:val="24"/>
          <w:szCs w:val="24"/>
        </w:rPr>
        <w:t xml:space="preserve"> </w:t>
      </w:r>
      <w:r w:rsidRPr="00456FF8">
        <w:rPr>
          <w:rFonts w:ascii="Times New Roman" w:hAnsi="Times New Roman" w:cs="Times New Roman"/>
          <w:sz w:val="24"/>
          <w:szCs w:val="24"/>
        </w:rPr>
        <w:t>Most articles (10) reported that women were not accompanied to higher levels of healthcare, delays in referral processes, transport challenges and poor referral documentation. Some healthcare providers administered essential drugs such as misoprostol prior to referral.</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b/>
          <w:sz w:val="24"/>
          <w:szCs w:val="24"/>
        </w:rPr>
        <w:t xml:space="preserve">Conclusions: </w:t>
      </w:r>
      <w:r w:rsidRPr="00456FF8">
        <w:rPr>
          <w:rFonts w:ascii="Times New Roman" w:hAnsi="Times New Roman" w:cs="Times New Roman"/>
          <w:sz w:val="24"/>
          <w:szCs w:val="24"/>
        </w:rPr>
        <w:t xml:space="preserve">Efforts to improve maternal health in LLMICs should aim to enhance maternal healthcare providers’ ability to identify conditions that demand referral. Low cost transport is needed to mitigate barriers of referral. To ensure quality maternal referral, mechanisms should be instituted for health managers at district level to monitor and evaluate referral documentation, quality and efficiency of maternal referrals on a regular basis.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b/>
          <w:sz w:val="24"/>
          <w:szCs w:val="24"/>
        </w:rPr>
        <w:t>Systematic review registration:</w:t>
      </w:r>
      <w:r w:rsidRPr="00456FF8">
        <w:rPr>
          <w:rFonts w:ascii="Times New Roman" w:hAnsi="Times New Roman" w:cs="Times New Roman"/>
          <w:sz w:val="24"/>
          <w:szCs w:val="24"/>
        </w:rPr>
        <w:t xml:space="preserve"> PROSPERO registration CRD42018114261</w:t>
      </w:r>
    </w:p>
    <w:p w:rsidR="00B94DB2" w:rsidRPr="00456FF8" w:rsidRDefault="00B94DB2" w:rsidP="00B94DB2">
      <w:pPr>
        <w:spacing w:line="480" w:lineRule="auto"/>
        <w:jc w:val="both"/>
        <w:rPr>
          <w:rFonts w:ascii="Times New Roman" w:hAnsi="Times New Roman" w:cs="Times New Roman"/>
        </w:rPr>
      </w:pPr>
      <w:r w:rsidRPr="00456FF8">
        <w:rPr>
          <w:rFonts w:ascii="Times New Roman" w:hAnsi="Times New Roman" w:cs="Times New Roman"/>
          <w:b/>
          <w:sz w:val="24"/>
          <w:szCs w:val="24"/>
        </w:rPr>
        <w:t>Key words:</w:t>
      </w:r>
      <w:r w:rsidRPr="00456FF8">
        <w:rPr>
          <w:rFonts w:ascii="Times New Roman" w:hAnsi="Times New Roman" w:cs="Times New Roman"/>
          <w:sz w:val="24"/>
          <w:szCs w:val="24"/>
        </w:rPr>
        <w:t xml:space="preserve"> Quality maternal referral, maternal referral practices, sub-Saharan Africa, signal functions, referral standards, women’s satisfaction, referral guidelines</w:t>
      </w: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Background</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Timely referral to an appropriate health facility to address obstetric needs is a key indicator of a functional health system </w:t>
      </w:r>
      <w:r w:rsidRPr="00456FF8">
        <w:rPr>
          <w:rFonts w:ascii="Times New Roman" w:hAnsi="Times New Roman" w:cs="Times New Roman"/>
          <w:noProof/>
          <w:sz w:val="24"/>
          <w:szCs w:val="24"/>
        </w:rPr>
        <w:t>[1, 2]</w:t>
      </w:r>
      <w:r w:rsidRPr="00456FF8">
        <w:rPr>
          <w:rFonts w:ascii="Times New Roman" w:hAnsi="Times New Roman" w:cs="Times New Roman"/>
          <w:sz w:val="24"/>
          <w:szCs w:val="24"/>
        </w:rPr>
        <w:t xml:space="preserve">. Efficient referral can result in a reduction of neonatal deaths with 18%, stillbirths with 27% and maternal deaths with 50% </w:t>
      </w:r>
      <w:r w:rsidRPr="00456FF8">
        <w:rPr>
          <w:rFonts w:ascii="Times New Roman" w:hAnsi="Times New Roman" w:cs="Times New Roman"/>
          <w:noProof/>
          <w:sz w:val="24"/>
          <w:szCs w:val="24"/>
        </w:rPr>
        <w:t>[3]</w:t>
      </w:r>
      <w:r w:rsidRPr="00456FF8">
        <w:rPr>
          <w:rFonts w:ascii="Times New Roman" w:hAnsi="Times New Roman" w:cs="Times New Roman"/>
          <w:sz w:val="24"/>
          <w:szCs w:val="24"/>
        </w:rPr>
        <w:t xml:space="preserve">.  High quality referral is critical in low and lower-middle income countries (LLMICs) to prevent severe maternal morbidity that occurs in 8% of births in health facilities </w:t>
      </w:r>
      <w:r w:rsidRPr="00456FF8">
        <w:rPr>
          <w:rFonts w:ascii="Times New Roman" w:hAnsi="Times New Roman" w:cs="Times New Roman"/>
          <w:noProof/>
          <w:sz w:val="24"/>
          <w:szCs w:val="24"/>
        </w:rPr>
        <w:t>[4, 5]</w:t>
      </w:r>
      <w:r w:rsidRPr="00456FF8">
        <w:rPr>
          <w:rFonts w:ascii="Times New Roman" w:hAnsi="Times New Roman" w:cs="Times New Roman"/>
          <w:sz w:val="24"/>
          <w:szCs w:val="24"/>
        </w:rPr>
        <w:t xml:space="preserve">. In sub-Saharan Africa (SSA), obstructed labour, hypertensive disorders, unsafe abortion, sepsis and haemorrhage are the principal causes of maternal morbidity </w:t>
      </w:r>
      <w:r w:rsidRPr="00456FF8">
        <w:rPr>
          <w:rFonts w:ascii="Times New Roman" w:hAnsi="Times New Roman" w:cs="Times New Roman"/>
          <w:noProof/>
          <w:sz w:val="24"/>
          <w:szCs w:val="24"/>
        </w:rPr>
        <w:t>[6]</w:t>
      </w:r>
      <w:r w:rsidRPr="00456FF8">
        <w:rPr>
          <w:rFonts w:ascii="Times New Roman" w:hAnsi="Times New Roman" w:cs="Times New Roman"/>
          <w:sz w:val="24"/>
          <w:szCs w:val="24"/>
        </w:rPr>
        <w:t>. Multi-sectoral collaboration and well-coordinated levels of care, linking communities with essential maternal and newborn health services is a necessary component of a high-quality referral system. Poor detection and  treatment delays of complications is a major cause of maternal and</w:t>
      </w:r>
      <w:r>
        <w:rPr>
          <w:rFonts w:ascii="Times New Roman" w:hAnsi="Times New Roman" w:cs="Times New Roman"/>
          <w:sz w:val="24"/>
          <w:szCs w:val="24"/>
        </w:rPr>
        <w:t xml:space="preserve"> perinatal</w:t>
      </w:r>
      <w:r w:rsidRPr="00456FF8">
        <w:rPr>
          <w:rFonts w:ascii="Times New Roman" w:hAnsi="Times New Roman" w:cs="Times New Roman"/>
          <w:sz w:val="24"/>
          <w:szCs w:val="24"/>
        </w:rPr>
        <w:t xml:space="preserve"> mortality in LLMICs, particularly in SSA </w:t>
      </w:r>
      <w:r w:rsidRPr="00456FF8">
        <w:rPr>
          <w:rFonts w:ascii="Times New Roman" w:hAnsi="Times New Roman" w:cs="Times New Roman"/>
          <w:noProof/>
          <w:sz w:val="24"/>
          <w:szCs w:val="24"/>
        </w:rPr>
        <w:t>[7]</w:t>
      </w:r>
      <w:r w:rsidRPr="00456FF8">
        <w:rPr>
          <w:rFonts w:ascii="Times New Roman" w:hAnsi="Times New Roman" w:cs="Times New Roman"/>
          <w:sz w:val="24"/>
          <w:szCs w:val="24"/>
        </w:rPr>
        <w:t xml:space="preserve"> where efforts are focused on improving standards of maternal and newborn referral </w:t>
      </w:r>
      <w:r w:rsidRPr="00456FF8">
        <w:rPr>
          <w:rFonts w:ascii="Times New Roman" w:hAnsi="Times New Roman" w:cs="Times New Roman"/>
          <w:noProof/>
          <w:sz w:val="24"/>
          <w:szCs w:val="24"/>
        </w:rPr>
        <w:t>[8, 9]</w:t>
      </w:r>
      <w:r w:rsidRPr="00456FF8">
        <w:rPr>
          <w:rFonts w:ascii="Times New Roman" w:hAnsi="Times New Roman" w:cs="Times New Roman"/>
          <w:sz w:val="24"/>
          <w:szCs w:val="24"/>
        </w:rPr>
        <w:t>.</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Maternal services that require referral are usually the result of complications that necessitate the use of </w:t>
      </w:r>
      <w:r w:rsidRPr="00456FF8">
        <w:rPr>
          <w:rStyle w:val="st"/>
          <w:rFonts w:ascii="Times New Roman" w:hAnsi="Times New Roman" w:cs="Times New Roman"/>
          <w:sz w:val="24"/>
          <w:szCs w:val="24"/>
        </w:rPr>
        <w:t>life-saving services, or '</w:t>
      </w:r>
      <w:r w:rsidRPr="00456FF8">
        <w:rPr>
          <w:rStyle w:val="Emphasis"/>
          <w:rFonts w:ascii="Times New Roman" w:hAnsi="Times New Roman" w:cs="Times New Roman"/>
          <w:sz w:val="24"/>
          <w:szCs w:val="24"/>
        </w:rPr>
        <w:t>signal functions</w:t>
      </w:r>
      <w:r w:rsidRPr="00456FF8">
        <w:rPr>
          <w:rStyle w:val="st"/>
          <w:rFonts w:ascii="Times New Roman" w:hAnsi="Times New Roman" w:cs="Times New Roman"/>
          <w:sz w:val="24"/>
          <w:szCs w:val="24"/>
        </w:rPr>
        <w:t xml:space="preserve">' </w:t>
      </w:r>
      <w:r w:rsidRPr="00456FF8">
        <w:rPr>
          <w:rFonts w:ascii="Times New Roman" w:hAnsi="Times New Roman" w:cs="Times New Roman"/>
          <w:sz w:val="24"/>
          <w:szCs w:val="24"/>
        </w:rPr>
        <w:t xml:space="preserve">recommended by the World Health Organization (WHO) </w:t>
      </w:r>
      <w:r w:rsidRPr="00456FF8">
        <w:rPr>
          <w:rFonts w:ascii="Times New Roman" w:hAnsi="Times New Roman" w:cs="Times New Roman"/>
          <w:noProof/>
          <w:sz w:val="24"/>
          <w:szCs w:val="24"/>
        </w:rPr>
        <w:t>[10]</w:t>
      </w:r>
      <w:r w:rsidRPr="00456FF8">
        <w:rPr>
          <w:rFonts w:ascii="Times New Roman" w:hAnsi="Times New Roman" w:cs="Times New Roman"/>
          <w:sz w:val="24"/>
          <w:szCs w:val="24"/>
        </w:rPr>
        <w:t xml:space="preserve"> that cannot be provided by the receiving facility. Seven signal functions are recommended for basic emergency obstetrics and neonatal care (BEmONC):  administration of parenteral (1) antibiotics; (2) uterotonic drugs (e.g. oxytocin); (3) anticonvulsants (e.g. magnesium sulphate); (4) manual removal of retained placenta; (5) removal of other products of conception; (6) performing assisted vaginal birth and (7) neonatal resuscitation. Two additional services are recommended in the case of comprehensive EmONC (CEmONC) care: caesarean section and blood transfusion </w:t>
      </w:r>
      <w:r w:rsidRPr="00456FF8">
        <w:rPr>
          <w:rFonts w:ascii="Times New Roman" w:hAnsi="Times New Roman" w:cs="Times New Roman"/>
          <w:noProof/>
          <w:sz w:val="24"/>
          <w:szCs w:val="24"/>
        </w:rPr>
        <w:t>[10]</w:t>
      </w:r>
      <w:r w:rsidRPr="00456FF8">
        <w:rPr>
          <w:rFonts w:ascii="Times New Roman" w:hAnsi="Times New Roman" w:cs="Times New Roman"/>
          <w:sz w:val="24"/>
          <w:szCs w:val="24"/>
        </w:rPr>
        <w:t>. Any of these services may warrant referral.</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According to WHO,</w:t>
      </w:r>
      <w:r w:rsidRPr="00456FF8">
        <w:rPr>
          <w:rFonts w:ascii="Times New Roman" w:hAnsi="Times New Roman" w:cs="Times New Roman"/>
          <w:bCs/>
          <w:sz w:val="24"/>
          <w:szCs w:val="24"/>
        </w:rPr>
        <w:t xml:space="preserve"> all pregnant women should be correctly </w:t>
      </w:r>
      <w:r w:rsidRPr="00456FF8">
        <w:rPr>
          <w:rFonts w:ascii="Times New Roman" w:hAnsi="Times New Roman" w:cs="Times New Roman"/>
          <w:sz w:val="24"/>
          <w:szCs w:val="24"/>
        </w:rPr>
        <w:t xml:space="preserve">assessed upon presentation whether they can be attended to and if not immediately referred using a standard protocol.  This should involve ‘appropriate information exchange and feedback to relevant health care staff’ </w:t>
      </w:r>
      <w:r w:rsidRPr="00456FF8">
        <w:rPr>
          <w:rFonts w:ascii="Times New Roman" w:hAnsi="Times New Roman" w:cs="Times New Roman"/>
          <w:noProof/>
          <w:sz w:val="24"/>
          <w:szCs w:val="24"/>
        </w:rPr>
        <w:t>[11]</w:t>
      </w:r>
      <w:r w:rsidRPr="00456FF8">
        <w:rPr>
          <w:rFonts w:ascii="Times New Roman" w:hAnsi="Times New Roman" w:cs="Times New Roman"/>
          <w:sz w:val="24"/>
          <w:szCs w:val="24"/>
        </w:rPr>
        <w:t xml:space="preserve">. Healthcare providers thus must communicate with the receiving facility in order for the woman to be managed efficiently. The receiving facility is also required to provide feedback on the outcome of the woman’s status </w:t>
      </w:r>
      <w:r w:rsidRPr="00456FF8">
        <w:rPr>
          <w:rFonts w:ascii="Times New Roman" w:hAnsi="Times New Roman" w:cs="Times New Roman"/>
          <w:noProof/>
          <w:sz w:val="24"/>
          <w:szCs w:val="24"/>
        </w:rPr>
        <w:t>[11]</w:t>
      </w:r>
      <w:r w:rsidRPr="00456FF8">
        <w:rPr>
          <w:rFonts w:ascii="Times New Roman" w:hAnsi="Times New Roman" w:cs="Times New Roman"/>
          <w:sz w:val="24"/>
          <w:szCs w:val="24"/>
        </w:rPr>
        <w:t>.</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Some international standards and guidelines </w:t>
      </w:r>
      <w:r w:rsidRPr="00456FF8">
        <w:rPr>
          <w:rFonts w:ascii="Times New Roman" w:hAnsi="Times New Roman" w:cs="Times New Roman"/>
          <w:noProof/>
          <w:sz w:val="24"/>
          <w:szCs w:val="24"/>
        </w:rPr>
        <w:t>[11, 12]</w:t>
      </w:r>
      <w:r w:rsidRPr="00456FF8">
        <w:rPr>
          <w:rFonts w:ascii="Times New Roman" w:hAnsi="Times New Roman" w:cs="Times New Roman"/>
          <w:sz w:val="24"/>
          <w:szCs w:val="24"/>
        </w:rPr>
        <w:t xml:space="preserve"> may be difficult to implement in some settings in sub-Saharan Africa due to limited human resources, funding, geographic challenges and cultural factors </w:t>
      </w:r>
      <w:r w:rsidRPr="00456FF8">
        <w:rPr>
          <w:rFonts w:ascii="Times New Roman" w:hAnsi="Times New Roman" w:cs="Times New Roman"/>
          <w:noProof/>
          <w:sz w:val="24"/>
          <w:szCs w:val="24"/>
        </w:rPr>
        <w:t>[13]</w:t>
      </w:r>
      <w:r w:rsidRPr="00456FF8">
        <w:rPr>
          <w:rFonts w:ascii="Times New Roman" w:hAnsi="Times New Roman" w:cs="Times New Roman"/>
          <w:sz w:val="24"/>
          <w:szCs w:val="24"/>
        </w:rPr>
        <w:t xml:space="preserve">. As a result, some countries such as Ethiopia, Ghana and Kenya have developed country-specific national level referral guidelines </w:t>
      </w:r>
      <w:r w:rsidRPr="00456FF8">
        <w:rPr>
          <w:rFonts w:ascii="Times New Roman" w:hAnsi="Times New Roman" w:cs="Times New Roman"/>
          <w:noProof/>
          <w:sz w:val="24"/>
          <w:szCs w:val="24"/>
        </w:rPr>
        <w:t>[14-16]</w:t>
      </w:r>
      <w:r w:rsidRPr="00456FF8">
        <w:rPr>
          <w:rFonts w:ascii="Times New Roman" w:hAnsi="Times New Roman" w:cs="Times New Roman"/>
          <w:sz w:val="24"/>
          <w:szCs w:val="24"/>
        </w:rPr>
        <w:t xml:space="preserve">. However, none of these is tailored towards maternal and newborn conditions.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Some systematic reviews on maternal and newborn referrals have been conducted in LLMICs, but these studies are based on evidence that is over a decade old </w:t>
      </w:r>
      <w:r w:rsidRPr="00456FF8">
        <w:rPr>
          <w:rFonts w:ascii="Times New Roman" w:hAnsi="Times New Roman" w:cs="Times New Roman"/>
          <w:noProof/>
          <w:sz w:val="24"/>
          <w:szCs w:val="24"/>
        </w:rPr>
        <w:t>[17, 2]</w:t>
      </w:r>
      <w:r w:rsidRPr="00456FF8">
        <w:rPr>
          <w:rFonts w:ascii="Times New Roman" w:hAnsi="Times New Roman" w:cs="Times New Roman"/>
          <w:sz w:val="24"/>
          <w:szCs w:val="24"/>
        </w:rPr>
        <w:t xml:space="preserve">. The review by </w:t>
      </w:r>
      <w:r w:rsidRPr="00456FF8">
        <w:rPr>
          <w:rFonts w:ascii="Times New Roman" w:hAnsi="Times New Roman" w:cs="Times New Roman"/>
          <w:noProof/>
          <w:sz w:val="24"/>
          <w:szCs w:val="24"/>
        </w:rPr>
        <w:t>Das, Gopalan [18]</w:t>
      </w:r>
      <w:r w:rsidRPr="00456FF8">
        <w:rPr>
          <w:rFonts w:ascii="Times New Roman" w:hAnsi="Times New Roman" w:cs="Times New Roman"/>
          <w:sz w:val="24"/>
          <w:szCs w:val="24"/>
        </w:rPr>
        <w:t xml:space="preserve"> excluded women who accessed the service. </w:t>
      </w:r>
      <w:r w:rsidRPr="00456FF8">
        <w:rPr>
          <w:rFonts w:ascii="Times New Roman" w:hAnsi="Times New Roman" w:cs="Times New Roman"/>
          <w:noProof/>
          <w:sz w:val="24"/>
          <w:szCs w:val="24"/>
        </w:rPr>
        <w:t>Fikre [19]</w:t>
      </w:r>
      <w:r w:rsidRPr="00456FF8">
        <w:rPr>
          <w:rFonts w:ascii="Times New Roman" w:hAnsi="Times New Roman" w:cs="Times New Roman"/>
          <w:sz w:val="24"/>
          <w:szCs w:val="24"/>
        </w:rPr>
        <w:t xml:space="preserve"> and </w:t>
      </w:r>
      <w:r w:rsidRPr="00456FF8">
        <w:rPr>
          <w:rFonts w:ascii="Times New Roman" w:hAnsi="Times New Roman" w:cs="Times New Roman"/>
          <w:noProof/>
          <w:sz w:val="24"/>
          <w:szCs w:val="24"/>
        </w:rPr>
        <w:t>Mahato</w:t>
      </w:r>
      <w:r>
        <w:rPr>
          <w:rFonts w:ascii="Times New Roman" w:hAnsi="Times New Roman" w:cs="Times New Roman"/>
          <w:noProof/>
          <w:sz w:val="24"/>
          <w:szCs w:val="24"/>
        </w:rPr>
        <w:t xml:space="preserve"> et al</w:t>
      </w:r>
      <w:r w:rsidRPr="00456FF8">
        <w:rPr>
          <w:rFonts w:ascii="Times New Roman" w:hAnsi="Times New Roman" w:cs="Times New Roman"/>
          <w:noProof/>
          <w:sz w:val="24"/>
          <w:szCs w:val="24"/>
        </w:rPr>
        <w:t xml:space="preserve"> [20]</w:t>
      </w:r>
      <w:r w:rsidRPr="00456FF8">
        <w:rPr>
          <w:rFonts w:ascii="Times New Roman" w:hAnsi="Times New Roman" w:cs="Times New Roman"/>
          <w:sz w:val="24"/>
          <w:szCs w:val="24"/>
        </w:rPr>
        <w:t xml:space="preserve"> limited their reviews to BEmOC, narrowing the scope of maternal and newborn care. None of these recent studies examined the quality of maternal and newborn referral practices and women’s satisfaction across SSA-LLMICs. This study, therefore, synthesised the findings from studies that reported primary data to examine patterns of obstetric referral, quality of referral and women’s experiences of the process to provide insights to improving referral in SSA-LLMICs. </w:t>
      </w:r>
    </w:p>
    <w:p w:rsidR="00B94DB2" w:rsidRPr="00456FF8" w:rsidRDefault="00B94DB2" w:rsidP="00B94DB2">
      <w:pPr>
        <w:spacing w:line="480" w:lineRule="auto"/>
        <w:jc w:val="both"/>
        <w:rPr>
          <w:rFonts w:ascii="Times New Roman" w:hAnsi="Times New Roman" w:cs="Times New Roman"/>
          <w:sz w:val="24"/>
          <w:szCs w:val="24"/>
        </w:rPr>
      </w:pP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b/>
        </w:rPr>
        <w:t>Methods</w:t>
      </w:r>
    </w:p>
    <w:p w:rsidR="00B94DB2" w:rsidRPr="00456FF8" w:rsidRDefault="00B94DB2" w:rsidP="00B94DB2">
      <w:pPr>
        <w:spacing w:line="480" w:lineRule="auto"/>
        <w:jc w:val="both"/>
        <w:rPr>
          <w:rFonts w:ascii="Times New Roman" w:hAnsi="Times New Roman" w:cs="Times New Roman"/>
          <w:b/>
        </w:rPr>
      </w:pPr>
      <w:r w:rsidRPr="00456FF8">
        <w:rPr>
          <w:rFonts w:ascii="Times New Roman" w:hAnsi="Times New Roman" w:cs="Times New Roman"/>
          <w:b/>
        </w:rPr>
        <w:t>Study design</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Our research question was: "What referral practices are delivered according to accepted standards for pregnant women and newborns in sub-Saharan African low and lower-middle income countries by competent healthcare providers and in line with the need and wishes of women?” This was guided by Population, Interventions, Comparators, Outcomes (PICO) framework </w:t>
      </w:r>
      <w:r w:rsidRPr="00456FF8">
        <w:rPr>
          <w:rFonts w:ascii="Times New Roman" w:hAnsi="Times New Roman" w:cs="Times New Roman"/>
          <w:noProof/>
          <w:sz w:val="24"/>
          <w:szCs w:val="24"/>
        </w:rPr>
        <w:t>[21]</w:t>
      </w:r>
      <w:r w:rsidRPr="00456FF8">
        <w:rPr>
          <w:rFonts w:ascii="Times New Roman" w:hAnsi="Times New Roman" w:cs="Times New Roman"/>
          <w:sz w:val="24"/>
          <w:szCs w:val="24"/>
        </w:rPr>
        <w:t>. Outcomes broadly fall under three key areas: quality of care (providers, referral system, information, medicines, and guidelines), satisfaction (women and family experience of referral) and effectiveness where available (health outcomes associated with referral). This systematic review was carried out following a priori protocol registered with PROSPERO [CRD42018114261].</w:t>
      </w:r>
    </w:p>
    <w:p w:rsidR="00B94DB2" w:rsidRPr="00456FF8" w:rsidRDefault="00B94DB2" w:rsidP="00B94DB2">
      <w:pPr>
        <w:spacing w:line="480" w:lineRule="auto"/>
        <w:jc w:val="both"/>
        <w:rPr>
          <w:rFonts w:ascii="Times New Roman" w:hAnsi="Times New Roman" w:cs="Times New Roman"/>
          <w:b/>
          <w:bCs/>
          <w:color w:val="131413"/>
          <w:sz w:val="24"/>
          <w:szCs w:val="24"/>
        </w:rPr>
      </w:pPr>
      <w:r w:rsidRPr="00456FF8">
        <w:rPr>
          <w:rFonts w:ascii="Times New Roman" w:hAnsi="Times New Roman" w:cs="Times New Roman"/>
          <w:b/>
          <w:bCs/>
          <w:color w:val="131413"/>
          <w:sz w:val="24"/>
          <w:szCs w:val="24"/>
        </w:rPr>
        <w:t xml:space="preserve">Definitional and conceptual issues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A framework is a useful way to examine maternal and newborn referral, particularly in assessing the elements of quality that are necessary for effective referral</w:t>
      </w:r>
      <w:r>
        <w:rPr>
          <w:rFonts w:ascii="Times New Roman" w:hAnsi="Times New Roman" w:cs="Times New Roman"/>
          <w:sz w:val="24"/>
          <w:szCs w:val="24"/>
        </w:rPr>
        <w:t xml:space="preserve"> </w:t>
      </w:r>
      <w:r>
        <w:rPr>
          <w:rFonts w:ascii="Times New Roman" w:hAnsi="Times New Roman" w:cs="Times New Roman"/>
        </w:rPr>
        <w:t>(S1)</w:t>
      </w:r>
      <w:r w:rsidRPr="00456FF8">
        <w:rPr>
          <w:rFonts w:ascii="Times New Roman" w:hAnsi="Times New Roman" w:cs="Times New Roman"/>
          <w:sz w:val="24"/>
          <w:szCs w:val="24"/>
        </w:rPr>
        <w:t xml:space="preserve">. This framework has been adapted from the work of </w:t>
      </w:r>
      <w:r w:rsidRPr="00456FF8">
        <w:rPr>
          <w:rFonts w:ascii="Times New Roman" w:hAnsi="Times New Roman" w:cs="Times New Roman"/>
          <w:noProof/>
          <w:sz w:val="24"/>
          <w:szCs w:val="24"/>
        </w:rPr>
        <w:t>Hulton, Matthews [22]</w:t>
      </w:r>
      <w:r w:rsidRPr="00456FF8">
        <w:rPr>
          <w:rFonts w:ascii="Times New Roman" w:hAnsi="Times New Roman" w:cs="Times New Roman"/>
          <w:sz w:val="24"/>
          <w:szCs w:val="24"/>
        </w:rPr>
        <w:t xml:space="preserve"> and seeks to </w:t>
      </w:r>
      <w:r w:rsidRPr="00456FF8">
        <w:rPr>
          <w:rFonts w:ascii="Times New Roman" w:hAnsi="Times New Roman" w:cs="Times New Roman"/>
          <w:bCs/>
          <w:color w:val="131413"/>
          <w:sz w:val="24"/>
          <w:szCs w:val="24"/>
        </w:rPr>
        <w:t xml:space="preserve">assess the quality of maternal referral </w:t>
      </w:r>
      <w:r w:rsidRPr="00456FF8">
        <w:rPr>
          <w:rFonts w:ascii="Times New Roman" w:hAnsi="Times New Roman" w:cs="Times New Roman"/>
          <w:sz w:val="24"/>
          <w:szCs w:val="24"/>
        </w:rPr>
        <w:t xml:space="preserve">by linking some key distinct components of institutional healthcare provision. These components comprise health facility management, medicines and psychosocial support. Newborn referral is subsumed under maternal referral by the framework. The framework has two main components: 1. provision of maternal referral as provided by the health care system (supply) and 2. experience of the referral service as reported by women who utilise health facilities (demand). Most components under the supply section reflect elements of WHO’s health system building blocks indicating that strengthening maternal and child health services and referrals could also improve the health system in general </w:t>
      </w:r>
      <w:r w:rsidRPr="00456FF8">
        <w:rPr>
          <w:rFonts w:ascii="Times New Roman" w:hAnsi="Times New Roman" w:cs="Times New Roman"/>
          <w:noProof/>
          <w:sz w:val="24"/>
          <w:szCs w:val="24"/>
        </w:rPr>
        <w:t>[23]</w:t>
      </w:r>
      <w:r w:rsidRPr="00456FF8">
        <w:rPr>
          <w:rFonts w:ascii="Times New Roman" w:hAnsi="Times New Roman" w:cs="Times New Roman"/>
          <w:sz w:val="24"/>
          <w:szCs w:val="24"/>
        </w:rPr>
        <w:t>.</w:t>
      </w:r>
    </w:p>
    <w:p w:rsidR="00B94DB2" w:rsidRPr="00456FF8" w:rsidRDefault="00B94DB2" w:rsidP="00B94DB2">
      <w:pPr>
        <w:spacing w:line="480" w:lineRule="auto"/>
        <w:jc w:val="both"/>
        <w:rPr>
          <w:rFonts w:ascii="Times New Roman" w:hAnsi="Times New Roman" w:cs="Times New Roman"/>
          <w:color w:val="131413"/>
          <w:sz w:val="24"/>
          <w:szCs w:val="24"/>
        </w:rPr>
      </w:pPr>
      <w:r w:rsidRPr="00456FF8">
        <w:rPr>
          <w:rFonts w:ascii="Times New Roman" w:hAnsi="Times New Roman" w:cs="Times New Roman"/>
          <w:sz w:val="24"/>
          <w:szCs w:val="24"/>
        </w:rPr>
        <w:t xml:space="preserve">The </w:t>
      </w:r>
      <w:r w:rsidRPr="00456FF8">
        <w:rPr>
          <w:rFonts w:ascii="Times New Roman" w:hAnsi="Times New Roman" w:cs="Times New Roman"/>
          <w:i/>
          <w:color w:val="131413"/>
          <w:sz w:val="24"/>
          <w:szCs w:val="24"/>
        </w:rPr>
        <w:t>Referral system</w:t>
      </w:r>
      <w:r w:rsidRPr="00456FF8">
        <w:rPr>
          <w:rFonts w:ascii="Times New Roman" w:hAnsi="Times New Roman" w:cs="Times New Roman"/>
          <w:color w:val="131413"/>
          <w:sz w:val="24"/>
          <w:szCs w:val="24"/>
        </w:rPr>
        <w:t xml:space="preserve"> implies how referrals are initiated and conducted, from BEmOC to Comprehensive Emergency Obstetric Care (CEmOC) services or from one CEmOC facility to another CEmOC level of care. Referral practice should be in line with </w:t>
      </w:r>
      <w:r w:rsidRPr="00456FF8">
        <w:rPr>
          <w:rFonts w:ascii="Times New Roman" w:hAnsi="Times New Roman" w:cs="Times New Roman"/>
          <w:sz w:val="24"/>
          <w:szCs w:val="24"/>
        </w:rPr>
        <w:t xml:space="preserve">internationally accepted standards </w:t>
      </w:r>
      <w:r w:rsidRPr="00456FF8">
        <w:rPr>
          <w:rFonts w:ascii="Times New Roman" w:hAnsi="Times New Roman" w:cs="Times New Roman"/>
          <w:noProof/>
          <w:sz w:val="24"/>
          <w:szCs w:val="24"/>
        </w:rPr>
        <w:t>[10, 11]</w:t>
      </w:r>
      <w:r w:rsidRPr="00456FF8">
        <w:rPr>
          <w:rFonts w:ascii="Times New Roman" w:hAnsi="Times New Roman" w:cs="Times New Roman"/>
          <w:i/>
          <w:sz w:val="24"/>
          <w:szCs w:val="24"/>
        </w:rPr>
        <w:t>. Human resources for health</w:t>
      </w:r>
      <w:r w:rsidRPr="00456FF8">
        <w:rPr>
          <w:rFonts w:ascii="Times New Roman" w:hAnsi="Times New Roman" w:cs="Times New Roman"/>
          <w:sz w:val="24"/>
          <w:szCs w:val="24"/>
        </w:rPr>
        <w:t xml:space="preserve"> as indicated in the framework refer to the availability, competency and motivation of healthcare providers to recognise and refer cases to the appropriate facilities in a timely manner. It also encompasses the satisfaction of women about healthcare providers’ referral practices. </w:t>
      </w:r>
      <w:r w:rsidRPr="00456FF8">
        <w:rPr>
          <w:rFonts w:ascii="Times New Roman" w:hAnsi="Times New Roman" w:cs="Times New Roman"/>
          <w:i/>
          <w:color w:val="131413"/>
          <w:sz w:val="24"/>
          <w:szCs w:val="24"/>
        </w:rPr>
        <w:t>Maternity information systems</w:t>
      </w:r>
      <w:r w:rsidRPr="00456FF8">
        <w:rPr>
          <w:rFonts w:ascii="Times New Roman" w:hAnsi="Times New Roman" w:cs="Times New Roman"/>
          <w:color w:val="131413"/>
          <w:sz w:val="24"/>
          <w:szCs w:val="24"/>
        </w:rPr>
        <w:t xml:space="preserve"> focus on the documentation of referred cases including what data is collected, where and by whom. </w:t>
      </w:r>
      <w:r w:rsidRPr="00456FF8">
        <w:rPr>
          <w:rFonts w:ascii="Times New Roman" w:hAnsi="Times New Roman" w:cs="Times New Roman"/>
          <w:i/>
          <w:sz w:val="24"/>
          <w:szCs w:val="24"/>
        </w:rPr>
        <w:t xml:space="preserve">Medicines and equipment </w:t>
      </w:r>
      <w:r w:rsidRPr="00456FF8">
        <w:rPr>
          <w:rFonts w:ascii="Times New Roman" w:hAnsi="Times New Roman" w:cs="Times New Roman"/>
          <w:sz w:val="24"/>
          <w:szCs w:val="24"/>
        </w:rPr>
        <w:t xml:space="preserve">involve the availability and appropriate use of essential lifesaving commodities for maternal and newborn health </w:t>
      </w:r>
      <w:r w:rsidRPr="00456FF8">
        <w:rPr>
          <w:rFonts w:ascii="Times New Roman" w:hAnsi="Times New Roman" w:cs="Times New Roman"/>
          <w:color w:val="131413"/>
          <w:sz w:val="24"/>
          <w:szCs w:val="24"/>
        </w:rPr>
        <w:t xml:space="preserve">such as the provision of </w:t>
      </w:r>
      <w:r w:rsidRPr="00456FF8">
        <w:rPr>
          <w:rFonts w:ascii="Times New Roman" w:hAnsi="Times New Roman" w:cs="Times New Roman"/>
          <w:sz w:val="24"/>
          <w:szCs w:val="24"/>
        </w:rPr>
        <w:t xml:space="preserve">a pre-referral loading dose of magnesium sulfate. </w:t>
      </w:r>
    </w:p>
    <w:p w:rsidR="00B94DB2" w:rsidRPr="00456FF8" w:rsidRDefault="00B94DB2" w:rsidP="00B94DB2">
      <w:pPr>
        <w:autoSpaceDE w:val="0"/>
        <w:autoSpaceDN w:val="0"/>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In terms of the demand side</w:t>
      </w:r>
      <w:r w:rsidRPr="00456FF8">
        <w:rPr>
          <w:rFonts w:ascii="Times New Roman" w:hAnsi="Times New Roman" w:cs="Times New Roman"/>
          <w:i/>
          <w:sz w:val="24"/>
          <w:szCs w:val="24"/>
        </w:rPr>
        <w:t xml:space="preserve">, Cognition </w:t>
      </w:r>
      <w:r w:rsidRPr="00456FF8">
        <w:rPr>
          <w:rFonts w:ascii="Times New Roman" w:hAnsi="Times New Roman" w:cs="Times New Roman"/>
          <w:sz w:val="24"/>
          <w:szCs w:val="24"/>
        </w:rPr>
        <w:t xml:space="preserve">focuses on whether women understood and were satisfied with the explanations given to them by healthcare providers. </w:t>
      </w:r>
      <w:r w:rsidRPr="00456FF8">
        <w:rPr>
          <w:rFonts w:ascii="Times New Roman" w:hAnsi="Times New Roman" w:cs="Times New Roman"/>
          <w:i/>
          <w:sz w:val="24"/>
          <w:szCs w:val="24"/>
        </w:rPr>
        <w:t xml:space="preserve">Respect, dignity, and equity </w:t>
      </w:r>
      <w:r w:rsidRPr="00456FF8">
        <w:rPr>
          <w:rFonts w:ascii="Times New Roman" w:hAnsi="Times New Roman" w:cs="Times New Roman"/>
          <w:sz w:val="24"/>
          <w:szCs w:val="24"/>
        </w:rPr>
        <w:t xml:space="preserve">are concerned with whether women felt to have received respectful and equitable care. Women’s views about the level of cleanliness, availability of medicines and equipment in health facilities as well as value for money are mirrored by </w:t>
      </w:r>
      <w:r w:rsidRPr="00456FF8">
        <w:rPr>
          <w:rFonts w:ascii="Times New Roman" w:hAnsi="Times New Roman" w:cs="Times New Roman"/>
          <w:i/>
          <w:sz w:val="24"/>
          <w:szCs w:val="24"/>
        </w:rPr>
        <w:t xml:space="preserve">satisfaction with facility, commodities, and costs. </w:t>
      </w:r>
      <w:r w:rsidRPr="00456FF8">
        <w:rPr>
          <w:rFonts w:ascii="Times New Roman" w:hAnsi="Times New Roman" w:cs="Times New Roman"/>
          <w:sz w:val="24"/>
          <w:szCs w:val="24"/>
        </w:rPr>
        <w:t xml:space="preserve">Lastly, </w:t>
      </w:r>
      <w:r w:rsidRPr="00456FF8">
        <w:rPr>
          <w:rFonts w:ascii="Times New Roman" w:hAnsi="Times New Roman" w:cs="Times New Roman"/>
          <w:i/>
          <w:sz w:val="24"/>
          <w:szCs w:val="24"/>
        </w:rPr>
        <w:t>e</w:t>
      </w:r>
      <w:r w:rsidRPr="00456FF8">
        <w:rPr>
          <w:rFonts w:ascii="Times New Roman" w:hAnsi="Times New Roman" w:cs="Times New Roman"/>
          <w:i/>
          <w:color w:val="131413"/>
          <w:sz w:val="24"/>
          <w:szCs w:val="24"/>
        </w:rPr>
        <w:t>motional support</w:t>
      </w:r>
      <w:r w:rsidRPr="00456FF8">
        <w:rPr>
          <w:rFonts w:ascii="Times New Roman" w:hAnsi="Times New Roman" w:cs="Times New Roman"/>
          <w:color w:val="131413"/>
          <w:sz w:val="24"/>
          <w:szCs w:val="24"/>
        </w:rPr>
        <w:t xml:space="preserve"> is related with women’s perceptions of sensitive and responsive support by health professionals. </w:t>
      </w:r>
    </w:p>
    <w:p w:rsidR="00B94DB2" w:rsidRPr="00456FF8" w:rsidRDefault="00B94DB2" w:rsidP="00B94DB2">
      <w:pPr>
        <w:spacing w:line="480" w:lineRule="auto"/>
        <w:jc w:val="both"/>
        <w:rPr>
          <w:rFonts w:ascii="Times New Roman" w:hAnsi="Times New Roman" w:cs="Times New Roman"/>
          <w:b/>
        </w:rPr>
      </w:pPr>
    </w:p>
    <w:p w:rsidR="00B94DB2" w:rsidRPr="00456FF8" w:rsidRDefault="00B94DB2" w:rsidP="00B94DB2">
      <w:pPr>
        <w:spacing w:line="480" w:lineRule="auto"/>
        <w:jc w:val="both"/>
        <w:rPr>
          <w:rFonts w:ascii="Times New Roman" w:hAnsi="Times New Roman" w:cs="Times New Roman"/>
          <w:b/>
        </w:rPr>
      </w:pPr>
      <w:r w:rsidRPr="00456FF8">
        <w:rPr>
          <w:rFonts w:ascii="Times New Roman" w:hAnsi="Times New Roman" w:cs="Times New Roman"/>
          <w:b/>
        </w:rPr>
        <w:t>Data sources and search strategy</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We searched six databases: African Journals Online (AJOL), CINAHL (Ebsco), Embase (Ovid), MEDLINE (Ovid), Pubmed and Scopus for quantitative, qualitative or mixed-method articles. The search focused on studies published in English between 2009 and 2018 and conducted in SSA-LLMICs according to the World Bank definition </w:t>
      </w:r>
      <w:r w:rsidRPr="00456FF8">
        <w:rPr>
          <w:rFonts w:ascii="Times New Roman" w:hAnsi="Times New Roman" w:cs="Times New Roman"/>
          <w:noProof/>
          <w:sz w:val="24"/>
          <w:szCs w:val="24"/>
        </w:rPr>
        <w:t>[24]</w:t>
      </w:r>
      <w:r w:rsidRPr="00456FF8">
        <w:rPr>
          <w:rFonts w:ascii="Times New Roman" w:hAnsi="Times New Roman" w:cs="Times New Roman"/>
          <w:sz w:val="24"/>
          <w:szCs w:val="24"/>
        </w:rPr>
        <w:t>. The following search terms were used to identify relevant peer-reviewed articles: “maternal referral” OR “obstetric referral” OR “referral practice” OR “obstetrics” OR “pregnancy complications” OR “maternal health services” OR “maternal and child health” OR “emergency obstetrics and newborn care (EmONC)” OR “</w:t>
      </w:r>
      <w:r w:rsidRPr="00456FF8">
        <w:rPr>
          <w:rFonts w:ascii="Times New Roman" w:hAnsi="Times New Roman" w:cs="Times New Roman"/>
          <w:bCs/>
          <w:sz w:val="24"/>
          <w:szCs w:val="24"/>
        </w:rPr>
        <w:t>comprehensive emergency obstetric and newborn care (</w:t>
      </w:r>
      <w:r w:rsidRPr="00456FF8">
        <w:rPr>
          <w:rFonts w:ascii="Times New Roman" w:hAnsi="Times New Roman" w:cs="Times New Roman"/>
          <w:sz w:val="24"/>
          <w:szCs w:val="24"/>
        </w:rPr>
        <w:t>CEmONC)” OR “referral guidelines” OR “referral standards” OR “referral effectiveness” OR “signal functions” OR “women satisfaction” OR “family’s satisfaction” AND “sub-Saharan Africa” OR “Africa South of the Sahara” AND “low income countries” OR “lower-middle income countries”. Relevant references from bibliographies were hand-searched in order to identify all relevant peer-review articles. All searches were conducted from 22</w:t>
      </w:r>
      <w:r w:rsidRPr="00456FF8">
        <w:rPr>
          <w:rFonts w:ascii="Times New Roman" w:hAnsi="Times New Roman" w:cs="Times New Roman"/>
          <w:sz w:val="24"/>
          <w:szCs w:val="24"/>
          <w:vertAlign w:val="superscript"/>
        </w:rPr>
        <w:t xml:space="preserve">nd </w:t>
      </w:r>
      <w:r w:rsidRPr="00456FF8">
        <w:rPr>
          <w:rFonts w:ascii="Times New Roman" w:hAnsi="Times New Roman" w:cs="Times New Roman"/>
          <w:sz w:val="24"/>
          <w:szCs w:val="24"/>
        </w:rPr>
        <w:t>October to 29</w:t>
      </w:r>
      <w:r w:rsidRPr="00456FF8">
        <w:rPr>
          <w:rFonts w:ascii="Times New Roman" w:hAnsi="Times New Roman" w:cs="Times New Roman"/>
          <w:sz w:val="24"/>
          <w:szCs w:val="24"/>
          <w:vertAlign w:val="superscript"/>
        </w:rPr>
        <w:t>th</w:t>
      </w:r>
      <w:r w:rsidRPr="00456FF8">
        <w:rPr>
          <w:rFonts w:ascii="Times New Roman" w:hAnsi="Times New Roman" w:cs="Times New Roman"/>
          <w:sz w:val="24"/>
          <w:szCs w:val="24"/>
        </w:rPr>
        <w:t xml:space="preserve"> November 2018.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Of the 1,186 articles, 1,153 were excluded after screening because they did not have the outcomes of interest. A total of 33 were subjected to quality assessment after which 17 were included in our final analysis. Sixteen articles were excluded due to lack of clear methodology and limitations in the outcome of interest. The 17 articles included eleven quantitative, four qualitative and two mixed-method studies (Figure 1) </w:t>
      </w:r>
      <w:r w:rsidRPr="00456FF8">
        <w:rPr>
          <w:rFonts w:ascii="Times New Roman" w:hAnsi="Times New Roman" w:cs="Times New Roman"/>
          <w:noProof/>
          <w:sz w:val="24"/>
          <w:szCs w:val="24"/>
        </w:rPr>
        <w:t>[25]</w:t>
      </w:r>
      <w:r w:rsidRPr="00456FF8">
        <w:rPr>
          <w:rFonts w:ascii="Times New Roman" w:hAnsi="Times New Roman" w:cs="Times New Roman"/>
          <w:sz w:val="24"/>
          <w:szCs w:val="24"/>
        </w:rPr>
        <w:t xml:space="preserve">. </w:t>
      </w:r>
    </w:p>
    <w:p w:rsidR="00B94DB2" w:rsidRPr="00456FF8" w:rsidRDefault="00B94DB2" w:rsidP="00B94DB2">
      <w:pPr>
        <w:spacing w:line="480" w:lineRule="auto"/>
        <w:jc w:val="both"/>
        <w:rPr>
          <w:rFonts w:ascii="Times New Roman" w:hAnsi="Times New Roman" w:cs="Times New Roman"/>
          <w:sz w:val="24"/>
          <w:szCs w:val="24"/>
        </w:rPr>
      </w:pP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INSERT FIGURE 1 HERE</w:t>
      </w:r>
    </w:p>
    <w:p w:rsidR="00B94DB2" w:rsidRPr="00456FF8" w:rsidRDefault="00B94DB2" w:rsidP="00B94DB2">
      <w:pPr>
        <w:spacing w:line="480" w:lineRule="auto"/>
        <w:jc w:val="both"/>
        <w:rPr>
          <w:rFonts w:ascii="Times New Roman" w:hAnsi="Times New Roman" w:cs="Times New Roman"/>
          <w:sz w:val="24"/>
          <w:szCs w:val="24"/>
        </w:rPr>
      </w:pPr>
    </w:p>
    <w:p w:rsidR="00B94DB2" w:rsidRPr="00456FF8" w:rsidRDefault="00B94DB2" w:rsidP="00B94DB2">
      <w:pPr>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Quality assessment and data extraction</w:t>
      </w:r>
    </w:p>
    <w:p w:rsidR="00B94DB2" w:rsidRPr="00456FF8" w:rsidRDefault="00B94DB2" w:rsidP="00B94DB2">
      <w:pPr>
        <w:spacing w:line="480" w:lineRule="auto"/>
        <w:jc w:val="both"/>
        <w:rPr>
          <w:rStyle w:val="st"/>
          <w:rFonts w:ascii="Times New Roman" w:hAnsi="Times New Roman" w:cs="Times New Roman"/>
          <w:sz w:val="24"/>
          <w:szCs w:val="24"/>
        </w:rPr>
      </w:pPr>
      <w:r w:rsidRPr="00456FF8">
        <w:rPr>
          <w:rFonts w:ascii="Times New Roman" w:hAnsi="Times New Roman" w:cs="Times New Roman"/>
          <w:sz w:val="24"/>
          <w:szCs w:val="24"/>
        </w:rPr>
        <w:t xml:space="preserve">The Critical Appraisal Skills Program (CASP) tool for qualitative research was used for assessing the qualitative studies </w:t>
      </w:r>
      <w:r w:rsidRPr="00456FF8">
        <w:rPr>
          <w:rFonts w:ascii="Times New Roman" w:hAnsi="Times New Roman" w:cs="Times New Roman"/>
          <w:noProof/>
          <w:sz w:val="24"/>
          <w:szCs w:val="24"/>
        </w:rPr>
        <w:t>[26]</w:t>
      </w:r>
      <w:r w:rsidRPr="00456FF8">
        <w:rPr>
          <w:rFonts w:ascii="Times New Roman" w:hAnsi="Times New Roman" w:cs="Times New Roman"/>
          <w:sz w:val="24"/>
          <w:szCs w:val="24"/>
        </w:rPr>
        <w:t xml:space="preserve">. The McMaster Critical review form for quantitative studies was also used </w:t>
      </w:r>
      <w:r w:rsidRPr="00456FF8">
        <w:rPr>
          <w:rStyle w:val="st"/>
          <w:rFonts w:ascii="Times New Roman" w:hAnsi="Times New Roman" w:cs="Times New Roman"/>
          <w:noProof/>
          <w:sz w:val="24"/>
          <w:szCs w:val="24"/>
        </w:rPr>
        <w:t>[27]</w:t>
      </w:r>
      <w:r w:rsidRPr="00456FF8">
        <w:rPr>
          <w:rStyle w:val="st"/>
          <w:rFonts w:ascii="Times New Roman" w:hAnsi="Times New Roman" w:cs="Times New Roman"/>
          <w:sz w:val="24"/>
          <w:szCs w:val="24"/>
        </w:rPr>
        <w:t xml:space="preserve">. In the case of mixed-method studies, quantitative aspects were assessed by </w:t>
      </w:r>
      <w:r w:rsidRPr="00456FF8">
        <w:rPr>
          <w:rFonts w:ascii="Times New Roman" w:hAnsi="Times New Roman" w:cs="Times New Roman"/>
          <w:sz w:val="24"/>
          <w:szCs w:val="24"/>
        </w:rPr>
        <w:t xml:space="preserve">McMaster Critical review form whilst the </w:t>
      </w:r>
      <w:r w:rsidRPr="00456FF8">
        <w:rPr>
          <w:rStyle w:val="st"/>
          <w:rFonts w:ascii="Times New Roman" w:hAnsi="Times New Roman" w:cs="Times New Roman"/>
          <w:sz w:val="24"/>
          <w:szCs w:val="24"/>
        </w:rPr>
        <w:t xml:space="preserve">CASP tool was used for the qualitative aspects. </w:t>
      </w:r>
    </w:p>
    <w:p w:rsidR="00B94DB2" w:rsidRPr="00456FF8" w:rsidRDefault="00B94DB2" w:rsidP="00B94DB2">
      <w:pPr>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Data analysis</w:t>
      </w:r>
    </w:p>
    <w:p w:rsidR="00B94DB2" w:rsidRPr="00456FF8" w:rsidRDefault="00B94DB2" w:rsidP="00B94DB2">
      <w:pPr>
        <w:spacing w:line="480" w:lineRule="auto"/>
        <w:jc w:val="both"/>
        <w:rPr>
          <w:rFonts w:ascii="Times New Roman" w:hAnsi="Times New Roman" w:cs="Times New Roman"/>
          <w:color w:val="C00000"/>
          <w:sz w:val="24"/>
          <w:szCs w:val="24"/>
        </w:rPr>
      </w:pPr>
      <w:r w:rsidRPr="00456FF8">
        <w:rPr>
          <w:rFonts w:ascii="Times New Roman" w:hAnsi="Times New Roman" w:cs="Times New Roman"/>
          <w:bCs/>
          <w:sz w:val="24"/>
          <w:szCs w:val="24"/>
        </w:rPr>
        <w:t xml:space="preserve">Content analysis </w:t>
      </w:r>
      <w:r w:rsidRPr="00456FF8">
        <w:rPr>
          <w:rFonts w:ascii="Times New Roman" w:hAnsi="Times New Roman" w:cs="Times New Roman"/>
          <w:bCs/>
          <w:noProof/>
          <w:sz w:val="24"/>
          <w:szCs w:val="24"/>
        </w:rPr>
        <w:t>[28]</w:t>
      </w:r>
      <w:r w:rsidRPr="00456FF8">
        <w:rPr>
          <w:rFonts w:ascii="Times New Roman" w:hAnsi="Times New Roman" w:cs="Times New Roman"/>
          <w:bCs/>
          <w:sz w:val="24"/>
          <w:szCs w:val="24"/>
        </w:rPr>
        <w:t xml:space="preserve"> was applied guided by the framework for assessing quality care in maternity services (</w:t>
      </w:r>
      <w:r w:rsidRPr="00456FF8">
        <w:rPr>
          <w:rFonts w:ascii="Times New Roman" w:hAnsi="Times New Roman" w:cs="Times New Roman"/>
          <w:b/>
          <w:sz w:val="24"/>
          <w:szCs w:val="24"/>
        </w:rPr>
        <w:fldChar w:fldCharType="begin"/>
      </w:r>
      <w:r w:rsidRPr="00456FF8">
        <w:rPr>
          <w:rFonts w:ascii="Times New Roman" w:hAnsi="Times New Roman" w:cs="Times New Roman"/>
          <w:b/>
          <w:sz w:val="24"/>
          <w:szCs w:val="24"/>
        </w:rPr>
        <w:instrText xml:space="preserve"> REF _Ref10728415  \* MERGEFORMAT </w:instrText>
      </w:r>
      <w:r w:rsidRPr="00456FF8">
        <w:rPr>
          <w:rFonts w:ascii="Times New Roman" w:hAnsi="Times New Roman" w:cs="Times New Roman"/>
          <w:b/>
          <w:sz w:val="24"/>
          <w:szCs w:val="24"/>
        </w:rPr>
        <w:fldChar w:fldCharType="separate"/>
      </w:r>
      <w:r w:rsidRPr="00456FF8">
        <w:rPr>
          <w:rFonts w:ascii="Times New Roman" w:hAnsi="Times New Roman" w:cs="Times New Roman"/>
          <w:sz w:val="24"/>
          <w:szCs w:val="24"/>
        </w:rPr>
        <w:t>S</w:t>
      </w:r>
      <w:r w:rsidRPr="00456FF8">
        <w:rPr>
          <w:rFonts w:ascii="Times New Roman" w:hAnsi="Times New Roman" w:cs="Times New Roman"/>
          <w:noProof/>
          <w:sz w:val="24"/>
          <w:szCs w:val="24"/>
        </w:rPr>
        <w:t>1</w:t>
      </w:r>
      <w:r w:rsidRPr="00456FF8">
        <w:rPr>
          <w:rFonts w:ascii="Times New Roman" w:hAnsi="Times New Roman" w:cs="Times New Roman"/>
          <w:b/>
          <w:sz w:val="24"/>
          <w:szCs w:val="24"/>
        </w:rPr>
        <w:fldChar w:fldCharType="end"/>
      </w:r>
      <w:r w:rsidRPr="00456FF8">
        <w:rPr>
          <w:rFonts w:ascii="Times New Roman" w:hAnsi="Times New Roman" w:cs="Times New Roman"/>
          <w:bCs/>
          <w:sz w:val="24"/>
          <w:szCs w:val="24"/>
        </w:rPr>
        <w:t xml:space="preserve">) </w:t>
      </w:r>
      <w:r w:rsidRPr="00456FF8">
        <w:rPr>
          <w:rFonts w:ascii="Times New Roman" w:hAnsi="Times New Roman" w:cs="Times New Roman"/>
          <w:noProof/>
          <w:sz w:val="24"/>
          <w:szCs w:val="24"/>
        </w:rPr>
        <w:t>[22]</w:t>
      </w:r>
      <w:r w:rsidRPr="00456FF8">
        <w:rPr>
          <w:rFonts w:ascii="Times New Roman" w:hAnsi="Times New Roman" w:cs="Times New Roman"/>
          <w:sz w:val="24"/>
          <w:szCs w:val="24"/>
        </w:rPr>
        <w:t xml:space="preserve">. Content analysis involves systematic and objective identification of key characteristics of texts in order to make inferences </w:t>
      </w:r>
      <w:r w:rsidRPr="00456FF8">
        <w:rPr>
          <w:rFonts w:ascii="Times New Roman" w:hAnsi="Times New Roman" w:cs="Times New Roman"/>
          <w:noProof/>
          <w:sz w:val="24"/>
          <w:szCs w:val="24"/>
        </w:rPr>
        <w:t>[28]</w:t>
      </w:r>
      <w:r w:rsidRPr="00456FF8">
        <w:rPr>
          <w:rFonts w:ascii="Times New Roman" w:hAnsi="Times New Roman" w:cs="Times New Roman"/>
          <w:sz w:val="24"/>
          <w:szCs w:val="24"/>
        </w:rPr>
        <w:t xml:space="preserve">.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The findings section of the papers were then scrutinised to identify key outcomes of interest. Findings related to these were extracted and examined in the light of the main components of the framework. These findings comprised direct quotations and quantitative data that were then examined in terms of their relevance to the main supply and demand components of the framework for assessing quality of maternal referrals. Consequently, all quotations in the results section are from the original papers.</w:t>
      </w:r>
    </w:p>
    <w:p w:rsidR="00B94DB2" w:rsidRPr="00456FF8" w:rsidRDefault="00B94DB2" w:rsidP="00B94DB2">
      <w:pPr>
        <w:spacing w:line="480" w:lineRule="auto"/>
        <w:jc w:val="both"/>
        <w:rPr>
          <w:rFonts w:ascii="Times New Roman" w:hAnsi="Times New Roman" w:cs="Times New Roman"/>
          <w:color w:val="222222"/>
          <w:sz w:val="20"/>
          <w:szCs w:val="20"/>
          <w:shd w:val="clear" w:color="auto" w:fill="FFFFFF"/>
        </w:rPr>
      </w:pPr>
    </w:p>
    <w:p w:rsidR="00B94DB2" w:rsidRPr="00456FF8" w:rsidRDefault="00B94DB2" w:rsidP="00B94DB2">
      <w:pPr>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Results</w:t>
      </w:r>
    </w:p>
    <w:p w:rsidR="00B94DB2" w:rsidRPr="00456FF8" w:rsidRDefault="00B94DB2" w:rsidP="00B94DB2">
      <w:pPr>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Characteristics of included studies</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Seventeen articles were included in this review. Study aim, context, methodology and relevant findings are summarised in table 1. Most studies (n=13) investigated the quality of referral from the perspective of healthcare providers either through interviews or audit of health facility records </w:t>
      </w:r>
      <w:r w:rsidRPr="00456FF8">
        <w:rPr>
          <w:rFonts w:ascii="Times New Roman" w:hAnsi="Times New Roman" w:cs="Times New Roman"/>
          <w:noProof/>
          <w:sz w:val="24"/>
          <w:szCs w:val="24"/>
        </w:rPr>
        <w:t>[1, 8, 29-39]</w:t>
      </w:r>
      <w:r w:rsidRPr="00456FF8">
        <w:rPr>
          <w:rFonts w:ascii="Times New Roman" w:hAnsi="Times New Roman" w:cs="Times New Roman"/>
          <w:sz w:val="24"/>
          <w:szCs w:val="24"/>
        </w:rPr>
        <w:t xml:space="preserve">. Two studies explored women’s experiences of maternal and newborn referral </w:t>
      </w:r>
      <w:r w:rsidRPr="00456FF8">
        <w:rPr>
          <w:rFonts w:ascii="Times New Roman" w:hAnsi="Times New Roman" w:cs="Times New Roman"/>
          <w:noProof/>
          <w:sz w:val="24"/>
          <w:szCs w:val="24"/>
        </w:rPr>
        <w:t>[40, 41]</w:t>
      </w:r>
      <w:r w:rsidRPr="00456FF8">
        <w:rPr>
          <w:rFonts w:ascii="Times New Roman" w:hAnsi="Times New Roman" w:cs="Times New Roman"/>
          <w:sz w:val="24"/>
          <w:szCs w:val="24"/>
        </w:rPr>
        <w:t xml:space="preserve">. One study included both healthcare providers and women’s perspectives </w:t>
      </w:r>
      <w:r w:rsidRPr="00456FF8">
        <w:rPr>
          <w:rFonts w:ascii="Times New Roman" w:hAnsi="Times New Roman" w:cs="Times New Roman"/>
          <w:noProof/>
          <w:sz w:val="24"/>
          <w:szCs w:val="24"/>
        </w:rPr>
        <w:t>[42]</w:t>
      </w:r>
      <w:r w:rsidRPr="00456FF8">
        <w:rPr>
          <w:rFonts w:ascii="Times New Roman" w:hAnsi="Times New Roman" w:cs="Times New Roman"/>
          <w:sz w:val="24"/>
          <w:szCs w:val="24"/>
        </w:rPr>
        <w:t xml:space="preserve"> whilst one South Sudanese study included the perspectives of stakeholders from the local government sector, Faith-Based Organisations (FBOs), non-governmental organisations (NGOs), and community religious leaders in addition to healthcare providers </w:t>
      </w:r>
      <w:r w:rsidRPr="00456FF8">
        <w:rPr>
          <w:rFonts w:ascii="Times New Roman" w:hAnsi="Times New Roman" w:cs="Times New Roman"/>
          <w:noProof/>
          <w:sz w:val="24"/>
          <w:szCs w:val="24"/>
        </w:rPr>
        <w:t>[43]</w:t>
      </w:r>
      <w:r w:rsidRPr="00456FF8">
        <w:rPr>
          <w:rFonts w:ascii="Times New Roman" w:hAnsi="Times New Roman" w:cs="Times New Roman"/>
          <w:sz w:val="24"/>
          <w:szCs w:val="24"/>
        </w:rPr>
        <w:t xml:space="preserve">. Common conditions that prompted referral included premature rupture of membranes, obstructed labour and postpartum complications, such as haemorrhage and fistula </w:t>
      </w:r>
      <w:r w:rsidRPr="00456FF8">
        <w:rPr>
          <w:rFonts w:ascii="Times New Roman" w:hAnsi="Times New Roman" w:cs="Times New Roman"/>
          <w:noProof/>
          <w:sz w:val="24"/>
          <w:szCs w:val="24"/>
        </w:rPr>
        <w:t>[8, 32, 38, 39, 41- 44]</w:t>
      </w:r>
      <w:r w:rsidRPr="00456FF8">
        <w:rPr>
          <w:rFonts w:ascii="Times New Roman" w:hAnsi="Times New Roman" w:cs="Times New Roman"/>
          <w:sz w:val="24"/>
          <w:szCs w:val="24"/>
        </w:rPr>
        <w:t>. The outcomes identified in these studies are summarised in S2.</w:t>
      </w:r>
    </w:p>
    <w:p w:rsidR="00B94DB2" w:rsidRPr="00456FF8" w:rsidRDefault="00B94DB2" w:rsidP="00B94DB2">
      <w:pPr>
        <w:spacing w:line="480" w:lineRule="auto"/>
        <w:jc w:val="both"/>
        <w:rPr>
          <w:rFonts w:ascii="Times New Roman" w:hAnsi="Times New Roman" w:cs="Times New Roman"/>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sectPr w:rsidR="00B94DB2" w:rsidRPr="00456FF8" w:rsidSect="00231A71">
          <w:footerReference w:type="default" r:id="rId5"/>
          <w:pgSz w:w="11906" w:h="16838"/>
          <w:pgMar w:top="1440" w:right="1440" w:bottom="1440" w:left="1440" w:header="708" w:footer="708" w:gutter="0"/>
          <w:lnNumType w:countBy="1" w:restart="continuous"/>
          <w:cols w:space="708"/>
          <w:docGrid w:linePitch="360"/>
        </w:sectPr>
      </w:pPr>
    </w:p>
    <w:p w:rsidR="00B94DB2" w:rsidRPr="00456FF8" w:rsidRDefault="00B94DB2" w:rsidP="00B94DB2">
      <w:pPr>
        <w:pStyle w:val="EndNoteBibliography"/>
        <w:spacing w:after="0" w:line="480" w:lineRule="auto"/>
        <w:jc w:val="left"/>
        <w:rPr>
          <w:rFonts w:ascii="Times New Roman" w:hAnsi="Times New Roman" w:cs="Times New Roman"/>
          <w:b/>
          <w:sz w:val="24"/>
          <w:szCs w:val="24"/>
        </w:rPr>
      </w:pPr>
      <w:r w:rsidRPr="00456FF8">
        <w:rPr>
          <w:rFonts w:ascii="Times New Roman" w:hAnsi="Times New Roman" w:cs="Times New Roman"/>
          <w:b/>
          <w:sz w:val="24"/>
          <w:szCs w:val="24"/>
        </w:rPr>
        <w:t>Table 1. Summary of Included Articles</w:t>
      </w:r>
    </w:p>
    <w:tbl>
      <w:tblPr>
        <w:tblStyle w:val="TableGrid1"/>
        <w:tblW w:w="15310" w:type="dxa"/>
        <w:tblInd w:w="-431" w:type="dxa"/>
        <w:tblLayout w:type="fixed"/>
        <w:tblLook w:val="04A0" w:firstRow="1" w:lastRow="0" w:firstColumn="1" w:lastColumn="0" w:noHBand="0" w:noVBand="1"/>
      </w:tblPr>
      <w:tblGrid>
        <w:gridCol w:w="1135"/>
        <w:gridCol w:w="1701"/>
        <w:gridCol w:w="2410"/>
        <w:gridCol w:w="1701"/>
        <w:gridCol w:w="2410"/>
        <w:gridCol w:w="5953"/>
      </w:tblGrid>
      <w:tr w:rsidR="00B94DB2" w:rsidRPr="00456FF8" w:rsidTr="00CB3C2D">
        <w:trPr>
          <w:trHeight w:val="535"/>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b/>
                <w:sz w:val="20"/>
                <w:szCs w:val="20"/>
                <w:lang w:eastAsia="en-AU"/>
              </w:rPr>
            </w:pPr>
            <w:r w:rsidRPr="00456FF8">
              <w:rPr>
                <w:rFonts w:ascii="Times New Roman" w:eastAsia="Arial" w:hAnsi="Times New Roman" w:cs="Times New Roman"/>
                <w:b/>
                <w:sz w:val="20"/>
                <w:szCs w:val="20"/>
                <w:lang w:eastAsia="en-AU"/>
              </w:rPr>
              <w:t>Reference</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jc w:val="center"/>
              <w:rPr>
                <w:rFonts w:ascii="Times New Roman" w:eastAsia="Arial" w:hAnsi="Times New Roman" w:cs="Times New Roman"/>
                <w:b/>
                <w:sz w:val="20"/>
                <w:szCs w:val="20"/>
                <w:lang w:eastAsia="en-AU"/>
              </w:rPr>
            </w:pPr>
            <w:r w:rsidRPr="00456FF8">
              <w:rPr>
                <w:rFonts w:ascii="Times New Roman" w:eastAsia="Arial" w:hAnsi="Times New Roman" w:cs="Times New Roman"/>
                <w:b/>
                <w:sz w:val="20"/>
                <w:szCs w:val="20"/>
                <w:lang w:eastAsia="en-AU"/>
              </w:rPr>
              <w:t>Country/Setting</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jc w:val="center"/>
              <w:rPr>
                <w:rFonts w:ascii="Times New Roman" w:eastAsia="Arial" w:hAnsi="Times New Roman" w:cs="Times New Roman"/>
                <w:b/>
                <w:sz w:val="20"/>
                <w:szCs w:val="20"/>
                <w:lang w:eastAsia="en-AU"/>
              </w:rPr>
            </w:pPr>
            <w:r w:rsidRPr="00456FF8">
              <w:rPr>
                <w:rFonts w:ascii="Times New Roman" w:eastAsia="Arial" w:hAnsi="Times New Roman" w:cs="Times New Roman"/>
                <w:b/>
                <w:sz w:val="20"/>
                <w:szCs w:val="20"/>
                <w:lang w:eastAsia="en-AU"/>
              </w:rPr>
              <w:t>Aim</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jc w:val="center"/>
              <w:rPr>
                <w:rFonts w:ascii="Times New Roman" w:eastAsia="Arial" w:hAnsi="Times New Roman" w:cs="Times New Roman"/>
                <w:b/>
                <w:sz w:val="20"/>
                <w:szCs w:val="20"/>
                <w:lang w:eastAsia="en-AU"/>
              </w:rPr>
            </w:pPr>
            <w:r w:rsidRPr="00456FF8">
              <w:rPr>
                <w:rFonts w:ascii="Times New Roman" w:eastAsia="Arial" w:hAnsi="Times New Roman" w:cs="Times New Roman"/>
                <w:b/>
                <w:sz w:val="20"/>
                <w:szCs w:val="20"/>
                <w:lang w:eastAsia="en-AU"/>
              </w:rPr>
              <w:t>Methods</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jc w:val="center"/>
              <w:rPr>
                <w:rFonts w:ascii="Times New Roman" w:eastAsia="Arial" w:hAnsi="Times New Roman" w:cs="Times New Roman"/>
                <w:b/>
                <w:sz w:val="20"/>
                <w:szCs w:val="20"/>
                <w:lang w:eastAsia="en-AU"/>
              </w:rPr>
            </w:pPr>
            <w:r w:rsidRPr="00456FF8">
              <w:rPr>
                <w:rFonts w:ascii="Times New Roman" w:eastAsia="Arial" w:hAnsi="Times New Roman" w:cs="Times New Roman"/>
                <w:b/>
                <w:sz w:val="20"/>
                <w:szCs w:val="20"/>
                <w:lang w:eastAsia="en-AU"/>
              </w:rPr>
              <w:t>Sample</w:t>
            </w:r>
          </w:p>
        </w:tc>
        <w:tc>
          <w:tcPr>
            <w:tcW w:w="5953"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jc w:val="center"/>
              <w:rPr>
                <w:rFonts w:ascii="Times New Roman" w:eastAsia="Arial" w:hAnsi="Times New Roman" w:cs="Times New Roman"/>
                <w:b/>
                <w:sz w:val="20"/>
                <w:szCs w:val="20"/>
                <w:lang w:eastAsia="en-AU"/>
              </w:rPr>
            </w:pPr>
            <w:r w:rsidRPr="00456FF8">
              <w:rPr>
                <w:rFonts w:ascii="Times New Roman" w:eastAsia="Arial" w:hAnsi="Times New Roman" w:cs="Times New Roman"/>
                <w:b/>
                <w:sz w:val="20"/>
                <w:szCs w:val="20"/>
                <w:lang w:eastAsia="en-AU"/>
              </w:rPr>
              <w:t>Findings</w:t>
            </w:r>
          </w:p>
        </w:tc>
      </w:tr>
      <w:tr w:rsidR="00B94DB2" w:rsidRPr="00456FF8" w:rsidTr="00CB3C2D">
        <w:trPr>
          <w:trHeight w:val="263"/>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bCs/>
                <w:sz w:val="20"/>
                <w:szCs w:val="20"/>
                <w:lang w:eastAsia="en-AU"/>
              </w:rPr>
              <w:t>Abodunrin et al, 2010</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Nigeria (urban and rural communities in Ilorin, the capital of Kwara State)</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To assess factors that determine the referral practices of Traditional Birth Attendants (TBAs). </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val="fr-FR" w:eastAsia="en-AU"/>
              </w:rPr>
            </w:pPr>
            <w:r w:rsidRPr="00456FF8">
              <w:rPr>
                <w:rFonts w:ascii="Times New Roman" w:eastAsia="Arial" w:hAnsi="Times New Roman" w:cs="Times New Roman"/>
                <w:sz w:val="20"/>
                <w:szCs w:val="20"/>
                <w:lang w:val="fr-FR" w:eastAsia="en-AU"/>
              </w:rPr>
              <w:t>Descriptive quantitative survey: pre-tested semi-structured questionnaire</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162 Registered TBAs (mean age= 46 years, 89.5% females, 71.6% married, 92% Islam, 64.2% had at least primary school education, 85.8% were part-time TBAs)</w:t>
            </w:r>
          </w:p>
        </w:tc>
        <w:tc>
          <w:tcPr>
            <w:tcW w:w="5953" w:type="dxa"/>
          </w:tcPr>
          <w:p w:rsidR="00B94DB2" w:rsidRPr="00456FF8" w:rsidRDefault="00B94DB2" w:rsidP="00CB3C2D">
            <w:pPr>
              <w:numPr>
                <w:ilvl w:val="0"/>
                <w:numId w:val="10"/>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Identified timely and appropriate referrals among TBAs with more than one re-training (69.2%) and TBAs who have ever been visited by a supervisor (45%). The authors explained timely and appropriate referral as referring very high-risk cases such as previous stillbirths, bleeding in previous or current pregnancies, multiple pregnancies, abnormal lie and not interfering with them. It also comprised immediate referral of women who had complications (such as bleeding during labour, prolonged labour, tiredness or loss of strength, seizures and retained placenta) during labour management.</w:t>
            </w:r>
          </w:p>
          <w:p w:rsidR="00B94DB2" w:rsidRPr="00456FF8" w:rsidRDefault="00B94DB2" w:rsidP="00CB3C2D">
            <w:pPr>
              <w:numPr>
                <w:ilvl w:val="0"/>
                <w:numId w:val="10"/>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Inappropriate referral comprised three conditions; delayed referral irrespective of the reason, wrong referral and non-referral. Delayed referral was defined as "not referring immediately any identified very high-risk pregnancy and complicated labour."</w:t>
            </w:r>
          </w:p>
          <w:p w:rsidR="00B94DB2" w:rsidRPr="00456FF8" w:rsidRDefault="00B94DB2" w:rsidP="00CB3C2D">
            <w:pPr>
              <w:numPr>
                <w:ilvl w:val="0"/>
                <w:numId w:val="10"/>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Wrong referrals were the ones made to any other place instead of a modern health facility.</w:t>
            </w:r>
          </w:p>
          <w:p w:rsidR="00B94DB2" w:rsidRPr="00456FF8" w:rsidRDefault="00B94DB2" w:rsidP="00CB3C2D">
            <w:pPr>
              <w:numPr>
                <w:ilvl w:val="0"/>
                <w:numId w:val="10"/>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A significant relationship was found between age, marital status, educational status, initial source of skill acquisition, re-training, supervision and prompt/appropriate referral of high-risk pregnancies.</w:t>
            </w:r>
          </w:p>
          <w:p w:rsidR="00B94DB2" w:rsidRPr="00456FF8" w:rsidRDefault="00B94DB2" w:rsidP="00CB3C2D">
            <w:pPr>
              <w:numPr>
                <w:ilvl w:val="0"/>
                <w:numId w:val="10"/>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Young and unmarried TBAs with higher education had a higher tendency of appropriate and timely referral.</w:t>
            </w:r>
          </w:p>
          <w:p w:rsidR="00B94DB2" w:rsidRPr="00456FF8" w:rsidRDefault="00B94DB2" w:rsidP="00CB3C2D">
            <w:pPr>
              <w:numPr>
                <w:ilvl w:val="0"/>
                <w:numId w:val="10"/>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Most TBAs who started through inheritance usually refer late or do not refer. </w:t>
            </w:r>
          </w:p>
        </w:tc>
      </w:tr>
      <w:tr w:rsidR="00B94DB2" w:rsidRPr="00456FF8" w:rsidTr="00CB3C2D">
        <w:trPr>
          <w:trHeight w:val="263"/>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bCs/>
                <w:sz w:val="20"/>
                <w:szCs w:val="20"/>
                <w:lang w:eastAsia="en-AU"/>
              </w:rPr>
            </w:pPr>
            <w:r w:rsidRPr="00456FF8">
              <w:rPr>
                <w:rFonts w:ascii="Times New Roman" w:eastAsia="Arial" w:hAnsi="Times New Roman" w:cs="Times New Roman"/>
                <w:bCs/>
                <w:sz w:val="20"/>
                <w:szCs w:val="20"/>
                <w:lang w:eastAsia="en-AU"/>
              </w:rPr>
              <w:t>Afari et al, 2014</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Ghana (4 health posts, 6 health centres and 1 district hospital in the Assin North Municipality)</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To describe healthcare workers (HCW) identified systemic challenges and the significance of local engagement in developing strategies to enhance emergency obstetric care referral related processes.</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Qualitative study: semi-structured interviews</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18 HCWs (1 doctor, 2 emergency room nurses, 3 medical assistants, 4 community health</w:t>
            </w: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officers, 8 midwives)</w:t>
            </w:r>
          </w:p>
        </w:tc>
        <w:tc>
          <w:tcPr>
            <w:tcW w:w="5953" w:type="dxa"/>
          </w:tcPr>
          <w:p w:rsidR="00B94DB2" w:rsidRPr="00456FF8" w:rsidRDefault="00B94DB2" w:rsidP="00CB3C2D">
            <w:pPr>
              <w:numPr>
                <w:ilvl w:val="0"/>
                <w:numId w:val="11"/>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Gaps in existing referral protocols-signal function recognition for referral, stabilising patients, initiating a referral, transportation arrangement for referral:</w:t>
            </w: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ind w:left="360"/>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w:t>
            </w:r>
            <w:r w:rsidRPr="00456FF8">
              <w:rPr>
                <w:rFonts w:ascii="Times New Roman" w:eastAsia="Arial" w:hAnsi="Times New Roman" w:cs="Times New Roman"/>
                <w:i/>
                <w:sz w:val="20"/>
                <w:szCs w:val="20"/>
                <w:lang w:eastAsia="en-AU"/>
              </w:rPr>
              <w:t>Sometimes they hire commercial vehicles and sometimes too they use the motorbike. If there is no commercial vehicle at the station, they will beg someone to use their motorbike to convey them to the nearest health center or hospital, and then maybe somebody’s private car. The person might sacriﬁce</w:t>
            </w:r>
            <w:r w:rsidRPr="00456FF8">
              <w:rPr>
                <w:rFonts w:ascii="Times New Roman" w:eastAsia="Arial" w:hAnsi="Times New Roman" w:cs="Times New Roman"/>
                <w:sz w:val="20"/>
                <w:szCs w:val="20"/>
                <w:lang w:eastAsia="en-AU"/>
              </w:rPr>
              <w:t>.” CHO, Health Post</w:t>
            </w:r>
          </w:p>
          <w:p w:rsidR="00B94DB2" w:rsidRPr="00456FF8" w:rsidRDefault="00B94DB2" w:rsidP="00CB3C2D">
            <w:pPr>
              <w:numPr>
                <w:ilvl w:val="0"/>
                <w:numId w:val="11"/>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Few facilities adhered to national referral protocols. Papers reported poor referral documentation and a lack of communication between sending and receiving facilities although national referral protocols existed. Some of these manifest in the following expressions:</w:t>
            </w: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ind w:left="360"/>
              <w:contextualSpacing/>
              <w:rPr>
                <w:rFonts w:ascii="Times New Roman" w:eastAsia="Arial" w:hAnsi="Times New Roman" w:cs="Times New Roman"/>
                <w:sz w:val="20"/>
                <w:szCs w:val="20"/>
                <w:lang w:eastAsia="en-AU"/>
              </w:rPr>
            </w:pPr>
            <w:r w:rsidRPr="00456FF8">
              <w:rPr>
                <w:rFonts w:ascii="Times New Roman" w:eastAsia="Arial" w:hAnsi="Times New Roman" w:cs="Times New Roman"/>
                <w:i/>
                <w:sz w:val="20"/>
                <w:szCs w:val="20"/>
                <w:lang w:eastAsia="en-AU"/>
              </w:rPr>
              <w:t>“Apart from that [one] guy (HCW) who calls, the others don’t call so you’ll be here and such a case comes in. And […] with no…nobody accompanying… it’s really a challenge. Because if you know […] somebody is coming with eclampsia… you know you’re supposed to prepare ﬁrst so that you receive [appropriately].”</w:t>
            </w:r>
            <w:r w:rsidRPr="00456FF8">
              <w:rPr>
                <w:rFonts w:ascii="Times New Roman" w:eastAsia="Arial" w:hAnsi="Times New Roman" w:cs="Times New Roman"/>
                <w:sz w:val="20"/>
                <w:szCs w:val="20"/>
                <w:lang w:eastAsia="en-AU"/>
              </w:rPr>
              <w:t xml:space="preserve"> Emergency Nurse, District Hospital</w:t>
            </w: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ind w:left="360"/>
              <w:contextualSpacing/>
              <w:rPr>
                <w:rFonts w:ascii="Times New Roman" w:eastAsia="Arial" w:hAnsi="Times New Roman" w:cs="Times New Roman"/>
                <w:sz w:val="20"/>
                <w:szCs w:val="20"/>
                <w:lang w:eastAsia="en-AU"/>
              </w:rPr>
            </w:pP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ind w:left="360"/>
              <w:contextualSpacing/>
              <w:rPr>
                <w:rFonts w:ascii="Times New Roman" w:eastAsia="Arial" w:hAnsi="Times New Roman" w:cs="Times New Roman"/>
                <w:sz w:val="20"/>
                <w:szCs w:val="20"/>
                <w:lang w:eastAsia="en-AU"/>
              </w:rPr>
            </w:pPr>
            <w:r w:rsidRPr="00456FF8">
              <w:rPr>
                <w:rFonts w:ascii="Times New Roman" w:eastAsia="Arial" w:hAnsi="Times New Roman" w:cs="Times New Roman"/>
                <w:i/>
                <w:sz w:val="20"/>
                <w:szCs w:val="20"/>
                <w:lang w:eastAsia="en-AU"/>
              </w:rPr>
              <w:t>“Somebody who is ﬁtting (or convulsing), a pregnant woman who is ﬁtting… somebody (HCW) needs to accompany. But this is someone who is coming with relatives. They don’t know they have to turn the head to the side, [or] the person can aspirate saliva and any other thing[s]</w:t>
            </w:r>
            <w:r w:rsidRPr="00456FF8">
              <w:rPr>
                <w:rFonts w:ascii="Times New Roman" w:eastAsia="Arial" w:hAnsi="Times New Roman" w:cs="Times New Roman"/>
                <w:sz w:val="20"/>
                <w:szCs w:val="20"/>
                <w:lang w:eastAsia="en-AU"/>
              </w:rPr>
              <w:t>.” Nurse, District Hospital</w:t>
            </w:r>
          </w:p>
          <w:p w:rsidR="00B94DB2" w:rsidRPr="00456FF8" w:rsidRDefault="00B94DB2" w:rsidP="00CB3C2D">
            <w:pPr>
              <w:numPr>
                <w:ilvl w:val="0"/>
                <w:numId w:val="11"/>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HCWs recommendations: standardising implementation of the referral protocol, enhancing the transportation system, ensuring dependable data reporting and management systems, actively engagement of community and offering continuous training for health staff.</w:t>
            </w:r>
          </w:p>
        </w:tc>
      </w:tr>
      <w:tr w:rsidR="00B94DB2" w:rsidRPr="00456FF8" w:rsidTr="00CB3C2D">
        <w:trPr>
          <w:trHeight w:val="263"/>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bCs/>
                <w:sz w:val="20"/>
                <w:szCs w:val="20"/>
                <w:lang w:eastAsia="en-AU"/>
              </w:rPr>
            </w:pPr>
            <w:r w:rsidRPr="00456FF8">
              <w:rPr>
                <w:rFonts w:ascii="Times New Roman" w:eastAsia="Arial" w:hAnsi="Times New Roman" w:cs="Times New Roman"/>
                <w:bCs/>
                <w:sz w:val="20"/>
                <w:szCs w:val="20"/>
                <w:lang w:eastAsia="en-AU"/>
              </w:rPr>
              <w:t>Akaba &amp; Ekele, 2018</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Nigeria (from either a primary, secondary, tertiary or private health facility to University of Abuja Teaching Hospital, Gwagwalada)</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To determine maternal and fetal outcomes of emergency obstetric referrals and reasons for these referrals.</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Prospective longitudinal study-November 2015 to March 2016, data retrieved from case-notes, cross-checked with referral documentation when available.</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All women requiring emergency obstetric care and referred from primary, secondary, tertiary or private health facility to University of Abuja Teaching Hospital, aged less than 20 to 44.</w:t>
            </w:r>
          </w:p>
        </w:tc>
        <w:tc>
          <w:tcPr>
            <w:tcW w:w="5953" w:type="dxa"/>
          </w:tcPr>
          <w:p w:rsidR="00B94DB2" w:rsidRPr="00456FF8" w:rsidRDefault="00B94DB2" w:rsidP="00CB3C2D">
            <w:pPr>
              <w:numPr>
                <w:ilvl w:val="0"/>
                <w:numId w:val="12"/>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Nine cases (7.3%) were transported by ambulance.</w:t>
            </w:r>
          </w:p>
          <w:p w:rsidR="00B94DB2" w:rsidRPr="00456FF8" w:rsidRDefault="00B94DB2" w:rsidP="00CB3C2D">
            <w:pPr>
              <w:numPr>
                <w:ilvl w:val="0"/>
                <w:numId w:val="12"/>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There was 8.9% emergency referral fatality rate (i.e. 11 maternal deaths).</w:t>
            </w:r>
          </w:p>
          <w:p w:rsidR="00B94DB2" w:rsidRPr="00456FF8" w:rsidRDefault="00B94DB2" w:rsidP="00CB3C2D">
            <w:pPr>
              <w:numPr>
                <w:ilvl w:val="0"/>
                <w:numId w:val="12"/>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63.6% maternal deaths occurred among women referred from secondary health facilities.</w:t>
            </w:r>
          </w:p>
          <w:p w:rsidR="00B94DB2" w:rsidRPr="00456FF8" w:rsidRDefault="00B94DB2" w:rsidP="00CB3C2D">
            <w:pPr>
              <w:numPr>
                <w:ilvl w:val="0"/>
                <w:numId w:val="12"/>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Poor emergency obstetric referrals and fetal outcomes were reported: 14 (11.5%) fresh stillbirths and six (4.9%) macerated stillbirths) due to late presentation.</w:t>
            </w:r>
          </w:p>
        </w:tc>
      </w:tr>
      <w:tr w:rsidR="00B94DB2" w:rsidRPr="00456FF8" w:rsidTr="00CB3C2D">
        <w:trPr>
          <w:trHeight w:val="263"/>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bCs/>
                <w:sz w:val="20"/>
                <w:szCs w:val="20"/>
                <w:lang w:eastAsia="en-AU"/>
              </w:rPr>
            </w:pPr>
            <w:r w:rsidRPr="00456FF8">
              <w:rPr>
                <w:rFonts w:ascii="Times New Roman" w:eastAsia="Arial" w:hAnsi="Times New Roman" w:cs="Times New Roman"/>
                <w:bCs/>
                <w:sz w:val="20"/>
                <w:szCs w:val="20"/>
                <w:lang w:eastAsia="en-AU"/>
              </w:rPr>
              <w:t>Awoonor-Williams et al, 2015</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Ghana (Upper East Region)</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Obstetric and newborn referral audit to strengthen the referral system for</w:t>
            </w: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pregnant women and newborns in northern Ghana.</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Quantitative, two-cycle prospective referral audit in March-May 2011; September-November, 2011; questionnaire, 32 facilities in all-16 facilities, 15 home facilities (comprising 12 health centres and 3 district hospitals) and a Regional Hospital.</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223 referred women and their newborns (223 in each of the two cycles)</w:t>
            </w:r>
          </w:p>
        </w:tc>
        <w:tc>
          <w:tcPr>
            <w:tcW w:w="5953" w:type="dxa"/>
          </w:tcPr>
          <w:p w:rsidR="00B94DB2" w:rsidRPr="00456FF8" w:rsidRDefault="00B94DB2" w:rsidP="00CB3C2D">
            <w:pPr>
              <w:numPr>
                <w:ilvl w:val="0"/>
                <w:numId w:val="13"/>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Observed enhanced referral facilitative mechanisms-increased use of ambulances/vehicles for referrals (48% to 63%); higher usage of referral forms  (66% to 77%); alerting receiving facilities through phone calls (38% to 65%); increment in feedback from receiving facilities (58% to 70%); all 6 women referred twice in the 2</w:t>
            </w:r>
            <w:r w:rsidRPr="00456FF8">
              <w:rPr>
                <w:rFonts w:ascii="Times New Roman" w:eastAsia="Arial" w:hAnsi="Times New Roman" w:cs="Times New Roman"/>
                <w:sz w:val="20"/>
                <w:szCs w:val="20"/>
                <w:vertAlign w:val="superscript"/>
                <w:lang w:eastAsia="en-AU"/>
              </w:rPr>
              <w:t>nd</w:t>
            </w:r>
            <w:r w:rsidRPr="00456FF8">
              <w:rPr>
                <w:rFonts w:ascii="Times New Roman" w:eastAsia="Arial" w:hAnsi="Times New Roman" w:cs="Times New Roman"/>
                <w:sz w:val="20"/>
                <w:szCs w:val="20"/>
                <w:lang w:eastAsia="en-AU"/>
              </w:rPr>
              <w:t xml:space="preserve"> cycle were accompanied by health staff. </w:t>
            </w:r>
          </w:p>
        </w:tc>
      </w:tr>
      <w:tr w:rsidR="00B94DB2" w:rsidRPr="00456FF8" w:rsidTr="00CB3C2D">
        <w:trPr>
          <w:trHeight w:val="263"/>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bCs/>
                <w:sz w:val="20"/>
                <w:szCs w:val="20"/>
                <w:lang w:eastAsia="en-AU"/>
              </w:rPr>
            </w:pPr>
            <w:r w:rsidRPr="00456FF8">
              <w:rPr>
                <w:rFonts w:ascii="Times New Roman" w:eastAsia="Arial" w:hAnsi="Times New Roman" w:cs="Times New Roman"/>
                <w:bCs/>
                <w:sz w:val="20"/>
                <w:szCs w:val="20"/>
                <w:lang w:eastAsia="en-AU"/>
              </w:rPr>
              <w:t>Carnahan et al, 2016</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Tanzania (1</w:t>
            </w:r>
            <w:r>
              <w:rPr>
                <w:rFonts w:ascii="Times New Roman" w:eastAsia="Arial" w:hAnsi="Times New Roman" w:cs="Times New Roman"/>
                <w:sz w:val="20"/>
                <w:szCs w:val="20"/>
                <w:lang w:eastAsia="en-AU"/>
              </w:rPr>
              <w:t>4</w:t>
            </w:r>
            <w:r w:rsidRPr="00456FF8">
              <w:rPr>
                <w:rFonts w:ascii="Times New Roman" w:eastAsia="Arial" w:hAnsi="Times New Roman" w:cs="Times New Roman"/>
                <w:sz w:val="20"/>
                <w:szCs w:val="20"/>
                <w:lang w:eastAsia="en-AU"/>
              </w:rPr>
              <w:t xml:space="preserve"> government facilities providing maternal health services, Ilala Municipality)</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To investigate healthcare providers regarding the prevention and management of postpartum haemorrhage (PPH). </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val="fr-FR" w:eastAsia="en-AU"/>
              </w:rPr>
            </w:pPr>
            <w:r w:rsidRPr="00456FF8">
              <w:rPr>
                <w:rFonts w:ascii="Times New Roman" w:eastAsia="Arial" w:hAnsi="Times New Roman" w:cs="Times New Roman"/>
                <w:sz w:val="20"/>
                <w:szCs w:val="20"/>
                <w:lang w:val="fr-FR" w:eastAsia="en-AU"/>
              </w:rPr>
              <w:t>Quantitative cross-sectional survey, questionnaire</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115 healthcare providers (102(88.7%) nurses with midwifery training, 9(7.8%) nurses without midwifery training, 4(3.5%) doctors/medical/clinical officers) from 13 facilities (10 dispensaries (60.9% respondents), 2 hospitals (18.3% respondents), 1 health centres (20.9% respondents).</w:t>
            </w: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104 (90.4%) females, 71(62.8%) with more than 6-year experience.</w:t>
            </w:r>
          </w:p>
        </w:tc>
        <w:tc>
          <w:tcPr>
            <w:tcW w:w="5953" w:type="dxa"/>
          </w:tcPr>
          <w:p w:rsidR="00B94DB2" w:rsidRPr="00456FF8" w:rsidRDefault="00B94DB2" w:rsidP="00CB3C2D">
            <w:pPr>
              <w:numPr>
                <w:ilvl w:val="0"/>
                <w:numId w:val="13"/>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All 1</w:t>
            </w:r>
            <w:r>
              <w:rPr>
                <w:rFonts w:ascii="Times New Roman" w:eastAsia="Arial" w:hAnsi="Times New Roman" w:cs="Times New Roman"/>
                <w:sz w:val="20"/>
                <w:szCs w:val="20"/>
                <w:lang w:eastAsia="en-AU"/>
              </w:rPr>
              <w:t>4</w:t>
            </w:r>
            <w:r w:rsidRPr="00456FF8">
              <w:rPr>
                <w:rFonts w:ascii="Times New Roman" w:eastAsia="Arial" w:hAnsi="Times New Roman" w:cs="Times New Roman"/>
                <w:sz w:val="20"/>
                <w:szCs w:val="20"/>
                <w:lang w:eastAsia="en-AU"/>
              </w:rPr>
              <w:t xml:space="preserve"> facilities had referred 42.6% of maternal cases within the past 3 months.</w:t>
            </w:r>
          </w:p>
          <w:p w:rsidR="00B94DB2" w:rsidRPr="00456FF8" w:rsidRDefault="00B94DB2" w:rsidP="00CB3C2D">
            <w:pPr>
              <w:numPr>
                <w:ilvl w:val="0"/>
                <w:numId w:val="13"/>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Forty-nine (42.6%) providers had referred at least one woman in the 3 months preceding the survey. </w:t>
            </w:r>
          </w:p>
          <w:p w:rsidR="00B94DB2" w:rsidRPr="00456FF8" w:rsidRDefault="00B94DB2" w:rsidP="00CB3C2D">
            <w:pPr>
              <w:numPr>
                <w:ilvl w:val="0"/>
                <w:numId w:val="13"/>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67.8% of all 13 health facilities have consultation and referral communication systems in place. </w:t>
            </w:r>
          </w:p>
          <w:p w:rsidR="00B94DB2" w:rsidRPr="00456FF8" w:rsidRDefault="00B94DB2" w:rsidP="00CB3C2D">
            <w:pPr>
              <w:numPr>
                <w:ilvl w:val="0"/>
                <w:numId w:val="13"/>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65.2% had established maternal referral transport system. </w:t>
            </w:r>
          </w:p>
        </w:tc>
      </w:tr>
      <w:tr w:rsidR="00B94DB2" w:rsidRPr="00456FF8" w:rsidTr="00CB3C2D">
        <w:trPr>
          <w:trHeight w:val="263"/>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bCs/>
                <w:sz w:val="20"/>
                <w:szCs w:val="20"/>
                <w:lang w:eastAsia="en-AU"/>
              </w:rPr>
            </w:pPr>
            <w:r w:rsidRPr="00456FF8">
              <w:rPr>
                <w:rFonts w:ascii="Times New Roman" w:eastAsia="Arial" w:hAnsi="Times New Roman" w:cs="Times New Roman"/>
                <w:bCs/>
                <w:sz w:val="20"/>
                <w:szCs w:val="20"/>
                <w:lang w:eastAsia="en-AU"/>
              </w:rPr>
              <w:t>Elmusharaf et al, 2017</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South Sudan (Renk County, Upper Nile State)</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color w:val="131413"/>
                <w:sz w:val="20"/>
                <w:szCs w:val="20"/>
                <w:lang w:eastAsia="en-AU"/>
              </w:rPr>
              <w:t>To ascertain patterns and contributory factors of pregnant women's pathways from the onset of labour or complications until arriving at the suitable health facility.</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Qualitative, </w:t>
            </w:r>
            <w:r w:rsidRPr="00456FF8">
              <w:rPr>
                <w:rFonts w:ascii="Times New Roman" w:eastAsia="Arial" w:hAnsi="Times New Roman" w:cs="Times New Roman"/>
                <w:color w:val="131413"/>
                <w:sz w:val="20"/>
                <w:szCs w:val="20"/>
                <w:lang w:eastAsia="en-AU"/>
              </w:rPr>
              <w:t>Critical Incident Technique (CIT), Stakeholder Interviews.</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color w:val="131413"/>
                <w:sz w:val="20"/>
                <w:szCs w:val="20"/>
                <w:lang w:eastAsia="en-AU"/>
              </w:rPr>
              <w:t>28 key informants (2 from local government, 4 from county health department, 14 healthcare providers, 2 NGO employees, 3 Faith-Based Organisation (FBO) employees, 3 community religious leaders).</w:t>
            </w:r>
          </w:p>
        </w:tc>
        <w:tc>
          <w:tcPr>
            <w:tcW w:w="5953" w:type="dxa"/>
          </w:tcPr>
          <w:p w:rsidR="00B94DB2" w:rsidRPr="00456FF8" w:rsidRDefault="00B94DB2" w:rsidP="00CB3C2D">
            <w:pPr>
              <w:numPr>
                <w:ilvl w:val="0"/>
                <w:numId w:val="14"/>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Identified four referral pathways-</w:t>
            </w:r>
            <w:r w:rsidRPr="00456FF8">
              <w:rPr>
                <w:rFonts w:ascii="Times New Roman" w:eastAsia="Arial" w:hAnsi="Times New Roman" w:cs="Times New Roman"/>
                <w:color w:val="131413"/>
                <w:sz w:val="20"/>
                <w:szCs w:val="20"/>
                <w:lang w:eastAsia="en-AU"/>
              </w:rPr>
              <w:t>late referral, zigzagging referral, multiple referrals and bypassing non-functioning facilities.</w:t>
            </w:r>
          </w:p>
          <w:p w:rsidR="00B94DB2" w:rsidRPr="00456FF8" w:rsidRDefault="00B94DB2" w:rsidP="00CB3C2D">
            <w:pPr>
              <w:numPr>
                <w:ilvl w:val="0"/>
                <w:numId w:val="14"/>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color w:val="131413"/>
                <w:sz w:val="20"/>
                <w:szCs w:val="20"/>
                <w:lang w:eastAsia="en-AU"/>
              </w:rPr>
              <w:t>Women who directly went to appropriate health facilities and by-passed non-functioning facilities survived.</w:t>
            </w:r>
          </w:p>
          <w:p w:rsidR="00B94DB2" w:rsidRPr="00456FF8" w:rsidRDefault="00B94DB2" w:rsidP="00CB3C2D">
            <w:pPr>
              <w:numPr>
                <w:ilvl w:val="0"/>
                <w:numId w:val="14"/>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C</w:t>
            </w:r>
            <w:r w:rsidRPr="00456FF8">
              <w:rPr>
                <w:rFonts w:ascii="Times New Roman" w:eastAsia="Arial" w:hAnsi="Times New Roman" w:cs="Times New Roman"/>
                <w:color w:val="131413"/>
                <w:sz w:val="20"/>
                <w:szCs w:val="20"/>
                <w:lang w:eastAsia="en-AU"/>
              </w:rPr>
              <w:t>ompetencies of healthcare providers and functionality of the initial point of service determined the pathway to further healthcare.</w:t>
            </w:r>
          </w:p>
          <w:p w:rsidR="00B94DB2" w:rsidRPr="00456FF8" w:rsidRDefault="00B94DB2" w:rsidP="00CB3C2D">
            <w:pPr>
              <w:numPr>
                <w:ilvl w:val="0"/>
                <w:numId w:val="14"/>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Trained midwives were found to be competent but TBAs were not.</w:t>
            </w:r>
          </w:p>
        </w:tc>
      </w:tr>
      <w:tr w:rsidR="00B94DB2" w:rsidRPr="00456FF8" w:rsidTr="00CB3C2D">
        <w:trPr>
          <w:trHeight w:val="263"/>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bCs/>
                <w:sz w:val="20"/>
                <w:szCs w:val="20"/>
                <w:lang w:eastAsia="en-AU"/>
              </w:rPr>
            </w:pPr>
            <w:r w:rsidRPr="00456FF8">
              <w:rPr>
                <w:rFonts w:ascii="Times New Roman" w:eastAsia="Arial" w:hAnsi="Times New Roman" w:cs="Times New Roman"/>
                <w:bCs/>
                <w:sz w:val="20"/>
                <w:szCs w:val="20"/>
                <w:lang w:eastAsia="en-AU"/>
              </w:rPr>
              <w:t>Goodman et al, 2017</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Ghana (Ridge Regional Hospital (RRH), Accra)</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color w:val="131413"/>
                <w:sz w:val="20"/>
                <w:szCs w:val="20"/>
                <w:lang w:eastAsia="en-AU"/>
              </w:rPr>
              <w:t>To describe obstetric referrals received at Ridge Regional Hospital (RRH) and explore the timeliness with which women enter CEmOC.</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10-week</w:t>
            </w:r>
            <w:r w:rsidRPr="00456FF8">
              <w:rPr>
                <w:rFonts w:ascii="Times New Roman" w:eastAsia="Arial" w:hAnsi="Times New Roman" w:cs="Times New Roman"/>
                <w:color w:val="131413"/>
                <w:sz w:val="20"/>
                <w:szCs w:val="20"/>
                <w:lang w:eastAsia="en-AU"/>
              </w:rPr>
              <w:t xml:space="preserve"> prospective cohort study gathered time-sequence information at woman arrival and from their records and logbooks in 10-week period (September 9-November 11, 2012).</w:t>
            </w: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jc w:val="center"/>
              <w:rPr>
                <w:rFonts w:ascii="Times New Roman" w:eastAsia="Arial" w:hAnsi="Times New Roman" w:cs="Times New Roman"/>
                <w:sz w:val="20"/>
                <w:szCs w:val="20"/>
                <w:lang w:eastAsia="en-AU"/>
              </w:rPr>
            </w:pP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color w:val="131413"/>
                <w:sz w:val="20"/>
                <w:szCs w:val="20"/>
                <w:lang w:eastAsia="en-AU"/>
              </w:rPr>
              <w:t>1,082 women with pregnancy complications, 15-46 years, 0-8 parity range, 24-49 weeks gestation age.</w:t>
            </w:r>
          </w:p>
        </w:tc>
        <w:tc>
          <w:tcPr>
            <w:tcW w:w="5953" w:type="dxa"/>
          </w:tcPr>
          <w:p w:rsidR="00B94DB2" w:rsidRPr="00456FF8" w:rsidRDefault="00B94DB2" w:rsidP="00CB3C2D">
            <w:pPr>
              <w:numPr>
                <w:ilvl w:val="0"/>
                <w:numId w:val="15"/>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Long waiting time upon arriving at receiving facility-40 minutes on average.</w:t>
            </w:r>
          </w:p>
          <w:p w:rsidR="00B94DB2" w:rsidRPr="00456FF8" w:rsidRDefault="00B94DB2" w:rsidP="00CB3C2D">
            <w:pPr>
              <w:numPr>
                <w:ilvl w:val="0"/>
                <w:numId w:val="15"/>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The </w:t>
            </w:r>
            <w:r w:rsidRPr="00456FF8">
              <w:rPr>
                <w:rFonts w:ascii="Times New Roman" w:eastAsia="Arial" w:hAnsi="Times New Roman" w:cs="Times New Roman"/>
                <w:color w:val="131413"/>
                <w:sz w:val="20"/>
                <w:szCs w:val="20"/>
                <w:lang w:eastAsia="en-AU"/>
              </w:rPr>
              <w:t>most distant referral facilities were 50 km from RRH.</w:t>
            </w:r>
          </w:p>
          <w:p w:rsidR="00B94DB2" w:rsidRPr="00456FF8" w:rsidRDefault="00B94DB2" w:rsidP="00CB3C2D">
            <w:pPr>
              <w:numPr>
                <w:ilvl w:val="0"/>
                <w:numId w:val="15"/>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color w:val="131413"/>
                <w:sz w:val="20"/>
                <w:szCs w:val="20"/>
                <w:lang w:eastAsia="en-AU"/>
              </w:rPr>
              <w:t xml:space="preserve">Gaps were identified in how maternal vital signs and labour assessment were recorded with </w:t>
            </w:r>
            <w:r w:rsidRPr="00456FF8">
              <w:rPr>
                <w:rFonts w:ascii="Times New Roman" w:eastAsia="Arial" w:hAnsi="Times New Roman" w:cs="Times New Roman"/>
                <w:sz w:val="20"/>
                <w:szCs w:val="20"/>
                <w:lang w:eastAsia="en-AU"/>
              </w:rPr>
              <w:t xml:space="preserve">25 of 90 referrals found to be </w:t>
            </w:r>
            <w:r w:rsidRPr="00456FF8">
              <w:rPr>
                <w:rFonts w:ascii="Times New Roman" w:eastAsia="Arial" w:hAnsi="Times New Roman" w:cs="Times New Roman"/>
                <w:color w:val="131413"/>
                <w:sz w:val="20"/>
                <w:szCs w:val="20"/>
                <w:lang w:eastAsia="en-AU"/>
              </w:rPr>
              <w:t xml:space="preserve">inappropriate. The most common reason for referral was for </w:t>
            </w:r>
            <w:r w:rsidRPr="00456FF8">
              <w:rPr>
                <w:rFonts w:ascii="Times New Roman" w:hAnsi="Times New Roman" w:cs="Times New Roman"/>
                <w:sz w:val="20"/>
                <w:szCs w:val="20"/>
              </w:rPr>
              <w:t xml:space="preserve">fetal-pelvic disproportion </w:t>
            </w:r>
            <w:r w:rsidRPr="00456FF8">
              <w:rPr>
                <w:rFonts w:ascii="Times New Roman" w:eastAsia="Arial" w:hAnsi="Times New Roman" w:cs="Times New Roman"/>
                <w:color w:val="131413"/>
                <w:sz w:val="20"/>
                <w:szCs w:val="20"/>
                <w:lang w:eastAsia="en-AU"/>
              </w:rPr>
              <w:t>however, the fundal height was less than 40 cm, which does not support this diagnosis.</w:t>
            </w:r>
          </w:p>
        </w:tc>
      </w:tr>
      <w:tr w:rsidR="00B94DB2" w:rsidRPr="00456FF8" w:rsidTr="00CB3C2D">
        <w:trPr>
          <w:trHeight w:val="263"/>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bCs/>
                <w:sz w:val="20"/>
                <w:szCs w:val="20"/>
                <w:lang w:eastAsia="en-AU"/>
              </w:rPr>
            </w:pPr>
            <w:r w:rsidRPr="00456FF8">
              <w:rPr>
                <w:rFonts w:ascii="Times New Roman" w:eastAsia="Arial" w:hAnsi="Times New Roman" w:cs="Times New Roman"/>
                <w:bCs/>
                <w:sz w:val="20"/>
                <w:szCs w:val="20"/>
                <w:lang w:eastAsia="en-AU"/>
              </w:rPr>
              <w:t>Kyei-Onanjiri et al,  2018</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Ghana (120 health facilities across Upper East region)</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color w:val="131413"/>
                <w:sz w:val="20"/>
                <w:szCs w:val="20"/>
                <w:lang w:eastAsia="en-AU"/>
              </w:rPr>
              <w:t>To investigate the availability of emergency obstetric care interventions in Upper East region.</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val="fr-FR" w:eastAsia="en-AU"/>
              </w:rPr>
            </w:pPr>
            <w:r w:rsidRPr="00456FF8">
              <w:rPr>
                <w:rFonts w:ascii="Times New Roman" w:eastAsia="Arial" w:hAnsi="Times New Roman" w:cs="Times New Roman"/>
                <w:color w:val="131413"/>
                <w:sz w:val="20"/>
                <w:szCs w:val="20"/>
                <w:lang w:val="fr-FR" w:eastAsia="en-AU"/>
              </w:rPr>
              <w:t>Quantitative cross-sectional survey, questionnaire.</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120 health facilities (</w:t>
            </w:r>
            <w:r w:rsidRPr="00456FF8">
              <w:rPr>
                <w:rFonts w:ascii="Times New Roman" w:eastAsia="Arial" w:hAnsi="Times New Roman" w:cs="Times New Roman"/>
                <w:color w:val="131413"/>
                <w:sz w:val="20"/>
                <w:szCs w:val="20"/>
                <w:lang w:eastAsia="en-AU"/>
              </w:rPr>
              <w:t>9 public and private hospitals, 17 clinics, 41 health centres, 52 Community-based Health Planning and Services (CHPS) centres, 1 maternity home).</w:t>
            </w:r>
          </w:p>
        </w:tc>
        <w:tc>
          <w:tcPr>
            <w:tcW w:w="5953" w:type="dxa"/>
          </w:tcPr>
          <w:p w:rsidR="00B94DB2" w:rsidRPr="00456FF8" w:rsidRDefault="00B94DB2" w:rsidP="00CB3C2D">
            <w:pPr>
              <w:numPr>
                <w:ilvl w:val="0"/>
                <w:numId w:val="16"/>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color w:val="131413"/>
                <w:sz w:val="20"/>
                <w:szCs w:val="20"/>
                <w:lang w:eastAsia="en-AU"/>
              </w:rPr>
            </w:pPr>
            <w:r w:rsidRPr="00456FF8">
              <w:rPr>
                <w:rFonts w:ascii="Times New Roman" w:eastAsia="Arial" w:hAnsi="Times New Roman" w:cs="Times New Roman"/>
                <w:color w:val="131413"/>
                <w:sz w:val="20"/>
                <w:szCs w:val="20"/>
                <w:lang w:eastAsia="en-AU"/>
              </w:rPr>
              <w:t>94% health facilities were having standardised or printed referral forms for obstetric referrals.</w:t>
            </w:r>
          </w:p>
          <w:p w:rsidR="00B94DB2" w:rsidRPr="00456FF8" w:rsidRDefault="00B94DB2" w:rsidP="00CB3C2D">
            <w:pPr>
              <w:numPr>
                <w:ilvl w:val="0"/>
                <w:numId w:val="16"/>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color w:val="131413"/>
                <w:sz w:val="20"/>
                <w:szCs w:val="20"/>
                <w:lang w:eastAsia="en-AU"/>
              </w:rPr>
            </w:pPr>
            <w:r w:rsidRPr="00456FF8">
              <w:rPr>
                <w:rFonts w:ascii="Times New Roman" w:eastAsia="Arial" w:hAnsi="Times New Roman" w:cs="Times New Roman"/>
                <w:color w:val="131413"/>
                <w:sz w:val="20"/>
                <w:szCs w:val="20"/>
                <w:lang w:eastAsia="en-AU"/>
              </w:rPr>
              <w:t>83% had a standard obstetric referral procedure.</w:t>
            </w:r>
          </w:p>
          <w:p w:rsidR="00B94DB2" w:rsidRPr="00456FF8" w:rsidRDefault="00B94DB2" w:rsidP="00CB3C2D">
            <w:pPr>
              <w:numPr>
                <w:ilvl w:val="0"/>
                <w:numId w:val="16"/>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color w:val="131413"/>
                <w:sz w:val="20"/>
                <w:szCs w:val="20"/>
                <w:lang w:eastAsia="en-AU"/>
              </w:rPr>
            </w:pPr>
            <w:r w:rsidRPr="00456FF8">
              <w:rPr>
                <w:rFonts w:ascii="Times New Roman" w:eastAsia="Arial" w:hAnsi="Times New Roman" w:cs="Times New Roman"/>
                <w:color w:val="131413"/>
                <w:sz w:val="20"/>
                <w:szCs w:val="20"/>
                <w:lang w:eastAsia="en-AU"/>
              </w:rPr>
              <w:t>64% had shortwave radio/telephone for referral communication.</w:t>
            </w:r>
          </w:p>
          <w:p w:rsidR="00B94DB2" w:rsidRPr="00456FF8" w:rsidRDefault="00B94DB2" w:rsidP="00CB3C2D">
            <w:pPr>
              <w:numPr>
                <w:ilvl w:val="0"/>
                <w:numId w:val="16"/>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color w:val="131413"/>
                <w:sz w:val="20"/>
                <w:szCs w:val="20"/>
                <w:lang w:eastAsia="en-AU"/>
              </w:rPr>
            </w:pPr>
            <w:r w:rsidRPr="00456FF8">
              <w:rPr>
                <w:rFonts w:ascii="Times New Roman" w:eastAsia="Arial" w:hAnsi="Times New Roman" w:cs="Times New Roman"/>
                <w:color w:val="131413"/>
                <w:sz w:val="20"/>
                <w:szCs w:val="20"/>
                <w:lang w:eastAsia="en-AU"/>
              </w:rPr>
              <w:t>56% of facilities without shortwave radio/telephone could not access one within minutes in instances where it is needed.</w:t>
            </w:r>
          </w:p>
          <w:p w:rsidR="00B94DB2" w:rsidRPr="00456FF8" w:rsidRDefault="00B94DB2" w:rsidP="00CB3C2D">
            <w:pPr>
              <w:numPr>
                <w:ilvl w:val="0"/>
                <w:numId w:val="16"/>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Segoe UI" w:hAnsi="Times New Roman" w:cs="Times New Roman"/>
                <w:sz w:val="20"/>
                <w:szCs w:val="20"/>
                <w:lang w:eastAsia="en-AU"/>
              </w:rPr>
            </w:pPr>
            <w:r w:rsidRPr="00456FF8">
              <w:rPr>
                <w:rFonts w:ascii="Times New Roman" w:eastAsia="Segoe UI" w:hAnsi="Times New Roman" w:cs="Times New Roman"/>
                <w:sz w:val="20"/>
                <w:szCs w:val="20"/>
                <w:lang w:eastAsia="en-AU"/>
              </w:rPr>
              <w:t>Most of the facilities indicated that they always had a trained health provider.</w:t>
            </w:r>
          </w:p>
          <w:p w:rsidR="00B94DB2" w:rsidRPr="00456FF8" w:rsidRDefault="00B94DB2" w:rsidP="00CB3C2D">
            <w:pPr>
              <w:numPr>
                <w:ilvl w:val="0"/>
                <w:numId w:val="16"/>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color w:val="131413"/>
                <w:sz w:val="20"/>
                <w:szCs w:val="20"/>
                <w:lang w:eastAsia="en-AU"/>
              </w:rPr>
            </w:pPr>
            <w:r w:rsidRPr="00456FF8">
              <w:rPr>
                <w:rFonts w:ascii="Times New Roman" w:eastAsia="Segoe UI" w:hAnsi="Times New Roman" w:cs="Times New Roman"/>
                <w:sz w:val="20"/>
                <w:szCs w:val="20"/>
                <w:lang w:eastAsia="en-AU"/>
              </w:rPr>
              <w:t>73% had a midwife or doctor either on call or present at all times.</w:t>
            </w: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color w:val="131413"/>
                <w:sz w:val="20"/>
                <w:szCs w:val="20"/>
                <w:lang w:eastAsia="en-AU"/>
              </w:rPr>
            </w:pPr>
          </w:p>
        </w:tc>
      </w:tr>
      <w:tr w:rsidR="00B94DB2" w:rsidRPr="00456FF8" w:rsidTr="00CB3C2D">
        <w:trPr>
          <w:trHeight w:val="253"/>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bCs/>
                <w:sz w:val="20"/>
                <w:szCs w:val="20"/>
                <w:lang w:eastAsia="en-AU"/>
              </w:rPr>
              <w:t>Mirkuzie et al, 2016</w:t>
            </w:r>
            <w:r w:rsidRPr="00456FF8">
              <w:rPr>
                <w:rFonts w:ascii="Times New Roman" w:eastAsia="Arial" w:hAnsi="Times New Roman" w:cs="Times New Roman"/>
                <w:sz w:val="20"/>
                <w:szCs w:val="20"/>
                <w:lang w:eastAsia="en-AU"/>
              </w:rPr>
              <w:t xml:space="preserve"> </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Ethiopia (10 public health centres with similar staff profile and providing EmONC, Addis Ababa)</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To assess the proportion of obstetric referrals resulting from premature rupture of membranes and investigate its correctness and management in Healthcare centres.</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Sequential explanatory mixed methods, routine retrospective data from birth and intrapartum referral logbooks and interviews, focused interview guide.</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2,820 women with obstetric complications; 10 head midwives </w:t>
            </w:r>
          </w:p>
        </w:tc>
        <w:tc>
          <w:tcPr>
            <w:tcW w:w="5953" w:type="dxa"/>
          </w:tcPr>
          <w:p w:rsidR="00B94DB2" w:rsidRPr="00456FF8" w:rsidRDefault="00B94DB2" w:rsidP="00CB3C2D">
            <w:pPr>
              <w:numPr>
                <w:ilvl w:val="0"/>
                <w:numId w:val="17"/>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All healthcare centres with high referral rates had too many skilled providers per caseload.</w:t>
            </w:r>
          </w:p>
          <w:p w:rsidR="00B94DB2" w:rsidRPr="00456FF8" w:rsidRDefault="00B94DB2" w:rsidP="00CB3C2D">
            <w:pPr>
              <w:numPr>
                <w:ilvl w:val="0"/>
                <w:numId w:val="17"/>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77.8% of the referred women who had had a spontaneous labour and birth could have been diagnosed incorrectly as they were not in labour when they were referred.</w:t>
            </w:r>
          </w:p>
          <w:p w:rsidR="00B94DB2" w:rsidRPr="00456FF8" w:rsidRDefault="00B94DB2" w:rsidP="00CB3C2D">
            <w:pPr>
              <w:numPr>
                <w:ilvl w:val="0"/>
                <w:numId w:val="17"/>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Segoe UI" w:hAnsi="Times New Roman" w:cs="Times New Roman"/>
                <w:sz w:val="20"/>
                <w:szCs w:val="20"/>
                <w:lang w:eastAsia="en-AU"/>
              </w:rPr>
            </w:pPr>
            <w:r w:rsidRPr="00456FF8">
              <w:rPr>
                <w:rFonts w:ascii="Times New Roman" w:eastAsia="Segoe UI" w:hAnsi="Times New Roman" w:cs="Times New Roman"/>
                <w:sz w:val="20"/>
                <w:szCs w:val="20"/>
                <w:lang w:eastAsia="en-AU"/>
              </w:rPr>
              <w:t>Some health centres observed women for about 8 hours before referral initiation:</w:t>
            </w: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ind w:left="720"/>
              <w:rPr>
                <w:rFonts w:ascii="Times New Roman" w:eastAsia="Segoe UI" w:hAnsi="Times New Roman" w:cs="Times New Roman"/>
                <w:sz w:val="20"/>
                <w:szCs w:val="20"/>
                <w:lang w:eastAsia="en-AU"/>
              </w:rPr>
            </w:pPr>
            <w:r w:rsidRPr="00456FF8">
              <w:rPr>
                <w:rFonts w:ascii="Times New Roman" w:eastAsia="Segoe UI" w:hAnsi="Times New Roman" w:cs="Times New Roman"/>
                <w:sz w:val="20"/>
                <w:szCs w:val="20"/>
                <w:lang w:eastAsia="en-AU"/>
              </w:rPr>
              <w:t xml:space="preserve">“… </w:t>
            </w:r>
            <w:r w:rsidRPr="00456FF8">
              <w:rPr>
                <w:rFonts w:ascii="Times New Roman" w:eastAsia="Segoe UI" w:hAnsi="Times New Roman" w:cs="Times New Roman"/>
                <w:i/>
                <w:sz w:val="20"/>
                <w:szCs w:val="20"/>
                <w:lang w:eastAsia="en-AU"/>
              </w:rPr>
              <w:t>when we get mothers saying that their water has broken, after we evaluate them, they will be admitted to our health center and observed for about eight hours. If there is no spontaneous labour in eight hours we refer them to hospital after giving them a loading dose of Ampicillin… in the referral slip we write how long the mothers had been observed in our health center</w:t>
            </w:r>
            <w:r w:rsidRPr="00456FF8">
              <w:rPr>
                <w:rFonts w:ascii="Times New Roman" w:eastAsia="Segoe UI" w:hAnsi="Times New Roman" w:cs="Times New Roman"/>
                <w:sz w:val="20"/>
                <w:szCs w:val="20"/>
                <w:lang w:eastAsia="en-AU"/>
              </w:rPr>
              <w:t>.” (An informant from HC I).</w:t>
            </w:r>
          </w:p>
        </w:tc>
      </w:tr>
      <w:tr w:rsidR="00B94DB2" w:rsidRPr="00456FF8" w:rsidTr="00CB3C2D">
        <w:trPr>
          <w:trHeight w:val="361"/>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bCs/>
                <w:sz w:val="20"/>
                <w:szCs w:val="20"/>
                <w:lang w:eastAsia="en-AU"/>
              </w:rPr>
            </w:pPr>
            <w:r w:rsidRPr="00456FF8">
              <w:rPr>
                <w:rFonts w:ascii="Times New Roman" w:eastAsia="Arial" w:hAnsi="Times New Roman" w:cs="Times New Roman"/>
                <w:sz w:val="20"/>
                <w:szCs w:val="20"/>
                <w:lang w:eastAsia="en-AU"/>
              </w:rPr>
              <w:t>Mselle &amp; Kohi, 2016</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Tanzania (Comprehensive Community Based Rehabilitation, a private, non-governmental organisation in Dar es Salaam)</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To use women’s narratives to demonstrate the challenges leading to failure in accessing adequate obstetric care in a timely manner</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Qualitative, narrative research, semi-structured interview guide</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16 women with obstetric fistula, aged between19 and 43 years, 82% rural dwellers, all unemployed, 88% had no or primary education</w:t>
            </w:r>
          </w:p>
        </w:tc>
        <w:tc>
          <w:tcPr>
            <w:tcW w:w="5953" w:type="dxa"/>
          </w:tcPr>
          <w:p w:rsidR="00B94DB2" w:rsidRPr="00456FF8" w:rsidRDefault="00B94DB2" w:rsidP="00CB3C2D">
            <w:pPr>
              <w:numPr>
                <w:ilvl w:val="0"/>
                <w:numId w:val="18"/>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Delay in making referral decision was reported:</w:t>
            </w: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ind w:left="360"/>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 “… </w:t>
            </w:r>
            <w:r w:rsidRPr="00456FF8">
              <w:rPr>
                <w:rFonts w:ascii="Times New Roman" w:eastAsia="Arial" w:hAnsi="Times New Roman" w:cs="Times New Roman"/>
                <w:i/>
                <w:sz w:val="20"/>
                <w:szCs w:val="20"/>
                <w:lang w:eastAsia="en-AU"/>
              </w:rPr>
              <w:t>it took 4 days at the village health facility, I could not give birth and then I was referred to the big hospital</w:t>
            </w:r>
            <w:r w:rsidRPr="00456FF8">
              <w:rPr>
                <w:rFonts w:ascii="Times New Roman" w:eastAsia="Arial" w:hAnsi="Times New Roman" w:cs="Times New Roman"/>
                <w:sz w:val="20"/>
                <w:szCs w:val="20"/>
                <w:lang w:eastAsia="en-AU"/>
              </w:rPr>
              <w:t>” (Divorced, aged 29, Kibakwe, Dodoma).</w:t>
            </w: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ind w:left="360"/>
              <w:contextualSpacing/>
              <w:rPr>
                <w:rFonts w:ascii="Times New Roman" w:eastAsia="Arial" w:hAnsi="Times New Roman" w:cs="Times New Roman"/>
                <w:sz w:val="20"/>
                <w:szCs w:val="20"/>
                <w:lang w:eastAsia="en-AU"/>
              </w:rPr>
            </w:pP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ind w:left="360"/>
              <w:contextualSpacing/>
              <w:rPr>
                <w:rFonts w:ascii="Times New Roman" w:eastAsia="Arial" w:hAnsi="Times New Roman" w:cs="Times New Roman"/>
                <w:i/>
                <w:sz w:val="20"/>
                <w:szCs w:val="20"/>
                <w:lang w:eastAsia="en-AU"/>
              </w:rPr>
            </w:pPr>
            <w:r w:rsidRPr="00456FF8">
              <w:rPr>
                <w:rFonts w:ascii="Times New Roman" w:eastAsia="Arial" w:hAnsi="Times New Roman" w:cs="Times New Roman"/>
                <w:sz w:val="20"/>
                <w:szCs w:val="20"/>
                <w:lang w:eastAsia="en-AU"/>
              </w:rPr>
              <w:t>“…</w:t>
            </w:r>
            <w:r w:rsidRPr="00456FF8">
              <w:rPr>
                <w:rFonts w:ascii="Times New Roman" w:eastAsia="Arial" w:hAnsi="Times New Roman" w:cs="Times New Roman"/>
                <w:i/>
                <w:sz w:val="20"/>
                <w:szCs w:val="20"/>
                <w:lang w:eastAsia="en-AU"/>
              </w:rPr>
              <w:t>In the health facility, I spend the night until morning … I had pains, the day passed, I slept again until morning again, and it was when a decision was made to transfer me to another hospital. They said it was because I had urine retention. On the third day is when I was transported to a big hospital</w:t>
            </w:r>
            <w:r w:rsidRPr="00456FF8">
              <w:rPr>
                <w:rFonts w:ascii="Times New Roman" w:eastAsia="Arial" w:hAnsi="Times New Roman" w:cs="Times New Roman"/>
                <w:sz w:val="20"/>
                <w:szCs w:val="20"/>
                <w:lang w:eastAsia="en-AU"/>
              </w:rPr>
              <w:t>” (Divorced, aged 20, Mlandizi-Pwani).</w:t>
            </w:r>
          </w:p>
        </w:tc>
      </w:tr>
      <w:tr w:rsidR="00B94DB2" w:rsidRPr="00456FF8" w:rsidTr="00CB3C2D">
        <w:trPr>
          <w:trHeight w:val="253"/>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bCs/>
                <w:sz w:val="20"/>
                <w:szCs w:val="20"/>
                <w:lang w:eastAsia="en-AU"/>
              </w:rPr>
            </w:pPr>
            <w:r w:rsidRPr="00456FF8">
              <w:rPr>
                <w:rFonts w:ascii="Times New Roman" w:eastAsia="Arial" w:hAnsi="Times New Roman" w:cs="Times New Roman"/>
                <w:bCs/>
                <w:sz w:val="20"/>
                <w:szCs w:val="20"/>
                <w:lang w:eastAsia="en-AU"/>
              </w:rPr>
              <w:t>Nuamah et al, 2016</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Ghana (Antenatal clinics, Amansie West District in the Ashanti region)</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To evaluate the role of socio-economic factors, perception and transport availability in fulfilling obstetric referrals </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val="fr-FR" w:eastAsia="en-AU"/>
              </w:rPr>
            </w:pPr>
            <w:r w:rsidRPr="00456FF8">
              <w:rPr>
                <w:rFonts w:ascii="Times New Roman" w:eastAsia="Arial" w:hAnsi="Times New Roman" w:cs="Times New Roman"/>
                <w:sz w:val="20"/>
                <w:szCs w:val="20"/>
                <w:lang w:val="fr-FR" w:eastAsia="en-AU"/>
              </w:rPr>
              <w:t>Quantitative cross-sectional study, questionnaire</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720 confirmed pregnant women from 5 sub-districts , less than 20 to over 40 year range, 65.5% cohabitating, 28.8% married, 49.6% JHS/Middle School, 17% No formal education</w:t>
            </w:r>
          </w:p>
        </w:tc>
        <w:tc>
          <w:tcPr>
            <w:tcW w:w="5953" w:type="dxa"/>
          </w:tcPr>
          <w:p w:rsidR="00B94DB2" w:rsidRPr="00456FF8" w:rsidRDefault="00B94DB2" w:rsidP="00CB3C2D">
            <w:pPr>
              <w:numPr>
                <w:ilvl w:val="0"/>
                <w:numId w:val="18"/>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Referral was honoured to about 21.7% of women.</w:t>
            </w:r>
          </w:p>
          <w:p w:rsidR="00B94DB2" w:rsidRPr="00456FF8" w:rsidRDefault="00B94DB2" w:rsidP="00CB3C2D">
            <w:pPr>
              <w:numPr>
                <w:ilvl w:val="0"/>
                <w:numId w:val="18"/>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More than 90% reported that they met the staff at the receiving facility always.</w:t>
            </w:r>
          </w:p>
          <w:p w:rsidR="00B94DB2" w:rsidRPr="00456FF8" w:rsidRDefault="00B94DB2" w:rsidP="00CB3C2D">
            <w:pPr>
              <w:numPr>
                <w:ilvl w:val="0"/>
                <w:numId w:val="18"/>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76.6% disclosed that health staff at the receiving facility solved their problems.</w:t>
            </w:r>
          </w:p>
          <w:p w:rsidR="00B94DB2" w:rsidRPr="00456FF8" w:rsidRDefault="00B94DB2" w:rsidP="00CB3C2D">
            <w:pPr>
              <w:numPr>
                <w:ilvl w:val="0"/>
                <w:numId w:val="18"/>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Most women were referred once and were not referred further.</w:t>
            </w:r>
          </w:p>
          <w:p w:rsidR="00B94DB2" w:rsidRPr="00456FF8" w:rsidRDefault="00B94DB2" w:rsidP="00CB3C2D">
            <w:pPr>
              <w:numPr>
                <w:ilvl w:val="0"/>
                <w:numId w:val="18"/>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Commercial cars (88.2%) are more often used for referral than ambulances (6.6%). </w:t>
            </w:r>
          </w:p>
        </w:tc>
      </w:tr>
      <w:tr w:rsidR="00B94DB2" w:rsidRPr="00456FF8" w:rsidTr="00CB3C2D">
        <w:trPr>
          <w:trHeight w:val="263"/>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bCs/>
                <w:sz w:val="20"/>
                <w:szCs w:val="20"/>
                <w:lang w:eastAsia="en-AU"/>
              </w:rPr>
              <w:t>Nwameme et al, 2014</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Ghana (ante-natal care (ANC) clinics in Ga East district, Greater Accra region)</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To examines the situation faced by women when they need emergency obstetric care </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Mixed Method, Questionnaire, In-depth Interview guide, Referral and facility review checklist</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390 women attending ANC antenatal care clinic attendees and in-depth interviews with principal health care personnel, 17-46</w:t>
            </w:r>
            <w:r w:rsidRPr="00456FF8">
              <w:rPr>
                <w:rFonts w:ascii="Times New Roman" w:eastAsia="Arial" w:hAnsi="Times New Roman" w:cs="Times New Roman"/>
                <w:sz w:val="20"/>
                <w:szCs w:val="20"/>
                <w:vertAlign w:val="superscript"/>
                <w:lang w:eastAsia="en-AU"/>
              </w:rPr>
              <w:t xml:space="preserve"> </w:t>
            </w:r>
            <w:r w:rsidRPr="00456FF8">
              <w:rPr>
                <w:rFonts w:ascii="Times New Roman" w:eastAsia="Arial" w:hAnsi="Times New Roman" w:cs="Times New Roman"/>
                <w:sz w:val="20"/>
                <w:szCs w:val="20"/>
                <w:lang w:eastAsia="en-AU"/>
              </w:rPr>
              <w:t>aged women, 92% married, 44.6% Unorthodox Christians, 35.6% Orthodox Christians, 52.1% Junior High School, 12.8% no education, 76.2% traders, 43.6% parity 1, 29.7% parity 2</w:t>
            </w:r>
          </w:p>
        </w:tc>
        <w:tc>
          <w:tcPr>
            <w:tcW w:w="5953" w:type="dxa"/>
          </w:tcPr>
          <w:p w:rsidR="00B94DB2" w:rsidRPr="00456FF8" w:rsidRDefault="00B94DB2" w:rsidP="00CB3C2D">
            <w:pPr>
              <w:numPr>
                <w:ilvl w:val="0"/>
                <w:numId w:val="19"/>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Out of 17 wo</w:t>
            </w:r>
            <w:r w:rsidRPr="00456FF8">
              <w:rPr>
                <w:rFonts w:ascii="Times New Roman" w:eastAsia="Segoe UI" w:hAnsi="Times New Roman" w:cs="Times New Roman"/>
                <w:sz w:val="20"/>
                <w:szCs w:val="20"/>
                <w:lang w:eastAsia="en-AU"/>
              </w:rPr>
              <w:t>men referred in their current pregnancies, none of them was sent by Ambulance, ten had public transport whilst seven made their own transport arrangement.</w:t>
            </w:r>
          </w:p>
          <w:p w:rsidR="00B94DB2" w:rsidRPr="00456FF8" w:rsidRDefault="00B94DB2" w:rsidP="00CB3C2D">
            <w:pPr>
              <w:numPr>
                <w:ilvl w:val="0"/>
                <w:numId w:val="19"/>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Of the 17, fourteen (14) got to the referral centre within 24 hours, two (2) within 48 hours and one (1) woman got there after 10 days. </w:t>
            </w:r>
          </w:p>
          <w:p w:rsidR="00B94DB2" w:rsidRPr="00456FF8" w:rsidRDefault="00B94DB2" w:rsidP="00CB3C2D">
            <w:pPr>
              <w:numPr>
                <w:ilvl w:val="0"/>
                <w:numId w:val="19"/>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15 (88.2%) were issued referral letters in their current pregnancies, but only 1 (5.9%) was accompanied by staff.</w:t>
            </w:r>
          </w:p>
          <w:p w:rsidR="00B94DB2" w:rsidRPr="00456FF8" w:rsidRDefault="00B94DB2" w:rsidP="00CB3C2D">
            <w:pPr>
              <w:numPr>
                <w:ilvl w:val="0"/>
                <w:numId w:val="19"/>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Only one hospital had information computerized for easy access. </w:t>
            </w:r>
          </w:p>
          <w:p w:rsidR="00B94DB2" w:rsidRPr="00456FF8" w:rsidRDefault="00B94DB2" w:rsidP="00CB3C2D">
            <w:pPr>
              <w:numPr>
                <w:ilvl w:val="0"/>
                <w:numId w:val="19"/>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Referring health facilities hardly receive feedback from the referral centre on the women's status:</w:t>
            </w: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ind w:left="720"/>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w:t>
            </w:r>
            <w:r w:rsidRPr="00456FF8">
              <w:rPr>
                <w:rFonts w:ascii="Times New Roman" w:eastAsia="Arial" w:hAnsi="Times New Roman" w:cs="Times New Roman"/>
                <w:i/>
                <w:sz w:val="20"/>
                <w:szCs w:val="20"/>
                <w:lang w:eastAsia="en-AU"/>
              </w:rPr>
              <w:t>We don’t receive any feedback from the hospitals. At least it would help us understand what we could have done better.</w:t>
            </w:r>
            <w:r w:rsidRPr="00456FF8">
              <w:rPr>
                <w:rFonts w:ascii="Times New Roman" w:eastAsia="Arial" w:hAnsi="Times New Roman" w:cs="Times New Roman"/>
                <w:sz w:val="20"/>
                <w:szCs w:val="20"/>
                <w:lang w:eastAsia="en-AU"/>
              </w:rPr>
              <w:t>’’ (In-depth Interview, Medical Ofﬁcer)</w:t>
            </w:r>
          </w:p>
          <w:p w:rsidR="00B94DB2" w:rsidRPr="00456FF8" w:rsidRDefault="00B94DB2" w:rsidP="00CB3C2D">
            <w:pPr>
              <w:numPr>
                <w:ilvl w:val="0"/>
                <w:numId w:val="19"/>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Segoe UI" w:hAnsi="Times New Roman" w:cs="Times New Roman"/>
                <w:sz w:val="20"/>
                <w:szCs w:val="20"/>
                <w:lang w:eastAsia="en-AU"/>
              </w:rPr>
            </w:pPr>
            <w:r w:rsidRPr="00456FF8">
              <w:rPr>
                <w:rFonts w:ascii="Times New Roman" w:eastAsia="Arial" w:hAnsi="Times New Roman" w:cs="Times New Roman"/>
                <w:sz w:val="20"/>
                <w:szCs w:val="20"/>
                <w:lang w:eastAsia="en-AU"/>
              </w:rPr>
              <w:t xml:space="preserve">During obstetric emergencies, they contact  referral centres by mobile phone to find out if beds are available: </w:t>
            </w: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ind w:left="720"/>
              <w:contextualSpacing/>
              <w:rPr>
                <w:rFonts w:ascii="Times New Roman" w:eastAsia="Segoe UI" w:hAnsi="Times New Roman" w:cs="Times New Roman"/>
                <w:sz w:val="20"/>
                <w:szCs w:val="20"/>
                <w:lang w:eastAsia="en-AU"/>
              </w:rPr>
            </w:pPr>
            <w:r w:rsidRPr="00456FF8">
              <w:rPr>
                <w:rFonts w:ascii="Times New Roman" w:eastAsia="Segoe UI" w:hAnsi="Times New Roman" w:cs="Times New Roman"/>
                <w:sz w:val="20"/>
                <w:szCs w:val="20"/>
                <w:lang w:eastAsia="en-AU"/>
              </w:rPr>
              <w:t>“</w:t>
            </w:r>
            <w:r w:rsidRPr="00456FF8">
              <w:rPr>
                <w:rFonts w:ascii="Times New Roman" w:eastAsia="Segoe UI" w:hAnsi="Times New Roman" w:cs="Times New Roman"/>
                <w:i/>
                <w:sz w:val="20"/>
                <w:szCs w:val="20"/>
                <w:lang w:eastAsia="en-AU"/>
              </w:rPr>
              <w:t>There are hindrances between the two hospitals, no beds, no doctors…all these contribute to the delays</w:t>
            </w:r>
            <w:r w:rsidRPr="00456FF8">
              <w:rPr>
                <w:rFonts w:ascii="Times New Roman" w:eastAsia="Segoe UI" w:hAnsi="Times New Roman" w:cs="Times New Roman"/>
                <w:sz w:val="20"/>
                <w:szCs w:val="20"/>
                <w:lang w:eastAsia="en-AU"/>
              </w:rPr>
              <w:t>.” (In-depth Interview, Nursing Administrator).</w:t>
            </w:r>
          </w:p>
        </w:tc>
      </w:tr>
      <w:tr w:rsidR="00B94DB2" w:rsidRPr="00456FF8" w:rsidTr="00CB3C2D">
        <w:trPr>
          <w:trHeight w:val="263"/>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bCs/>
                <w:sz w:val="20"/>
                <w:szCs w:val="20"/>
                <w:lang w:eastAsia="en-AU"/>
              </w:rPr>
              <w:t>Okafor et al, 2015</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Nigeria (Semino Hospital and Maternity (SHM), Enugu State)</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To audit childbirth emergency referrals by trained TBAs</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Quantitative, retrospective study, case records (folders) retrieved and relevant data extracted with case record forms (data entry pro forma) </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205 women with childbirth emergencies, less than 20 to 50 years, 41.5% rural dwellers, 58.5% urban dwellers, 90.2% married, 58.5% unemployed, 56.1% nullipara </w:t>
            </w:r>
          </w:p>
        </w:tc>
        <w:tc>
          <w:tcPr>
            <w:tcW w:w="5953" w:type="dxa"/>
          </w:tcPr>
          <w:p w:rsidR="00B94DB2" w:rsidRPr="00456FF8" w:rsidRDefault="00B94DB2" w:rsidP="00CB3C2D">
            <w:pPr>
              <w:numPr>
                <w:ilvl w:val="0"/>
                <w:numId w:val="19"/>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155 (75.6%) of the women were delayed for more than 12 hours before referral.</w:t>
            </w:r>
          </w:p>
          <w:p w:rsidR="00B94DB2" w:rsidRPr="00456FF8" w:rsidRDefault="00B94DB2" w:rsidP="00CB3C2D">
            <w:pPr>
              <w:numPr>
                <w:ilvl w:val="0"/>
                <w:numId w:val="19"/>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TimesNewRomanPSMT" w:hAnsi="Times New Roman" w:cs="Times New Roman"/>
                <w:sz w:val="20"/>
                <w:szCs w:val="20"/>
                <w:lang w:eastAsia="en-AU"/>
              </w:rPr>
              <w:t>75.6% (155/205) arrived walking unsupported prior to admission whilst 24.4% (50/205) could not walk on admission.</w:t>
            </w:r>
          </w:p>
        </w:tc>
      </w:tr>
      <w:tr w:rsidR="00B94DB2" w:rsidRPr="00456FF8" w:rsidTr="00CB3C2D">
        <w:trPr>
          <w:trHeight w:val="263"/>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bCs/>
                <w:sz w:val="20"/>
                <w:szCs w:val="20"/>
                <w:lang w:eastAsia="en-AU"/>
              </w:rPr>
            </w:pPr>
            <w:r w:rsidRPr="00456FF8">
              <w:rPr>
                <w:rFonts w:ascii="Times New Roman" w:eastAsia="Arial" w:hAnsi="Times New Roman" w:cs="Times New Roman"/>
                <w:bCs/>
                <w:sz w:val="20"/>
                <w:szCs w:val="20"/>
                <w:lang w:eastAsia="en-AU"/>
              </w:rPr>
              <w:t>Shimoda et al, 2015</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Tanzania (urban, one regional referral hospital and one health centre in Dar es Salaam city)</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To describe how midwives monitor and manage childbirth in order to achieve early consulting and timely referral to obstetricians</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Qualitative, semi-structured interviews</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11 midwives, 12.5 average year experience,  6 at the regional referral hospital, 5 at the health centre during the day, 4 with certificate, 4 with diploma, 2 with bachelor's degree, 1 with master's degree, 30-80 daily average births for their wards.</w:t>
            </w:r>
          </w:p>
        </w:tc>
        <w:tc>
          <w:tcPr>
            <w:tcW w:w="5953" w:type="dxa"/>
          </w:tcPr>
          <w:p w:rsidR="00B94DB2" w:rsidRPr="00456FF8" w:rsidRDefault="00B94DB2" w:rsidP="00CB3C2D">
            <w:pPr>
              <w:numPr>
                <w:ilvl w:val="0"/>
                <w:numId w:val="20"/>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Care of Midwives concerning intrapartum management and monitoring/examination to arrive at referral decision consisted of 3 phases: 1) initial encountering, 2) monitoring, and 3) acting that finally resulted in referral.</w:t>
            </w:r>
          </w:p>
          <w:p w:rsidR="00B94DB2" w:rsidRPr="00456FF8" w:rsidRDefault="00B94DB2" w:rsidP="00CB3C2D">
            <w:pPr>
              <w:numPr>
                <w:ilvl w:val="0"/>
                <w:numId w:val="20"/>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Prompt referral upon identifying signal function beyond the facility's capacity:</w:t>
            </w: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ind w:left="360"/>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w:t>
            </w:r>
            <w:r w:rsidRPr="00456FF8">
              <w:rPr>
                <w:rFonts w:ascii="Times New Roman" w:eastAsia="Arial" w:hAnsi="Times New Roman" w:cs="Times New Roman"/>
                <w:i/>
                <w:sz w:val="20"/>
                <w:szCs w:val="20"/>
                <w:lang w:eastAsia="en-AU"/>
              </w:rPr>
              <w:t>When she put in the catheter, we saw some blood starting to pass. That is the sign of obstructed labor. That’s why I decided to refer immediately</w:t>
            </w:r>
            <w:r w:rsidRPr="00456FF8">
              <w:rPr>
                <w:rFonts w:ascii="Times New Roman" w:eastAsia="Arial" w:hAnsi="Times New Roman" w:cs="Times New Roman"/>
                <w:sz w:val="20"/>
                <w:szCs w:val="20"/>
                <w:lang w:eastAsia="en-AU"/>
              </w:rPr>
              <w:t xml:space="preserve">.” (F) </w:t>
            </w:r>
          </w:p>
          <w:p w:rsidR="00B94DB2" w:rsidRPr="00456FF8" w:rsidRDefault="00B94DB2" w:rsidP="00CB3C2D">
            <w:pPr>
              <w:numPr>
                <w:ilvl w:val="0"/>
                <w:numId w:val="20"/>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In instances where mother and fetus conditions are worsening, midwives decide earlier without taking time to confirm labour. </w:t>
            </w:r>
          </w:p>
        </w:tc>
      </w:tr>
      <w:tr w:rsidR="00B94DB2" w:rsidRPr="00456FF8" w:rsidTr="00CB3C2D">
        <w:trPr>
          <w:trHeight w:val="263"/>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bCs/>
                <w:sz w:val="20"/>
                <w:szCs w:val="20"/>
                <w:lang w:eastAsia="en-AU"/>
              </w:rPr>
              <w:t>Strand et al, 2009</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Angola (3 peripheral birth units-Cazenga, Palanca and Sambizanga)</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To assess the efficacy of the newly established network of peripheral birth units and their linkage to hospitals.</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Two-phase quantitative survey, review of maternal records</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249 referred women (157 for first and 92 for  second phase of the study), 24.1 mean age in both phases, 36% less than 20 years, 43% primiparous, 32% grand multiparous (≥ 4 previous births) in the first phases, in second phase 29% less than 20 years, 40% primiparous, 22% grand multiparous,</w:t>
            </w:r>
          </w:p>
        </w:tc>
        <w:tc>
          <w:tcPr>
            <w:tcW w:w="5953" w:type="dxa"/>
          </w:tcPr>
          <w:p w:rsidR="00B94DB2" w:rsidRPr="00456FF8" w:rsidRDefault="00B94DB2" w:rsidP="00CB3C2D">
            <w:pPr>
              <w:numPr>
                <w:ilvl w:val="0"/>
                <w:numId w:val="21"/>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27/157 deaths occurred among the traced referrals in the first phase, i.e. 17.8% case fatality rate but no maternal death in the second phase.</w:t>
            </w:r>
          </w:p>
          <w:p w:rsidR="00B94DB2" w:rsidRPr="00456FF8" w:rsidRDefault="00B94DB2" w:rsidP="00CB3C2D">
            <w:pPr>
              <w:numPr>
                <w:ilvl w:val="0"/>
                <w:numId w:val="21"/>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There was a reduction in the proportion of referred women who were left without medical evaluation/treatment observed from the women's records (45% in the first phase of the study to 27% in the second phase (p=0.007).</w:t>
            </w:r>
          </w:p>
        </w:tc>
      </w:tr>
      <w:tr w:rsidR="00B94DB2" w:rsidRPr="00456FF8" w:rsidTr="00CB3C2D">
        <w:trPr>
          <w:trHeight w:val="253"/>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bCs/>
                <w:sz w:val="20"/>
                <w:szCs w:val="20"/>
                <w:lang w:eastAsia="en-AU"/>
              </w:rPr>
              <w:t>Tayler‐Smith et al, 2013</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Burundi (rural district, Kabezi) </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To describe Medecins sans Frontieres (MSF)’s</w:t>
            </w: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communication and ambulance service, examine the relationship between referral times and maternal and early neonatal deaths and explore the effect of referral service on coverage of complicated obstetric cases and caesarean sections.</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Cross-sectional study, retrospective analysis</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1,478 ambulance call-outs/referrals.</w:t>
            </w:r>
          </w:p>
        </w:tc>
        <w:tc>
          <w:tcPr>
            <w:tcW w:w="5953" w:type="dxa"/>
          </w:tcPr>
          <w:p w:rsidR="00B94DB2" w:rsidRPr="00456FF8" w:rsidRDefault="00B94DB2" w:rsidP="00CB3C2D">
            <w:pPr>
              <w:numPr>
                <w:ilvl w:val="0"/>
                <w:numId w:val="21"/>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Median referral time (time between call-out to the ambulance returning with the patient at CURGO) was 78 min.</w:t>
            </w:r>
          </w:p>
          <w:p w:rsidR="00B94DB2" w:rsidRPr="00456FF8" w:rsidRDefault="00B94DB2" w:rsidP="00CB3C2D">
            <w:pPr>
              <w:numPr>
                <w:ilvl w:val="0"/>
                <w:numId w:val="21"/>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One maternal death occurred among referred women but it was not possible to evaluate the linkage between death and referral time.</w:t>
            </w:r>
          </w:p>
          <w:p w:rsidR="00B94DB2" w:rsidRPr="00456FF8" w:rsidRDefault="00B94DB2" w:rsidP="00CB3C2D">
            <w:pPr>
              <w:numPr>
                <w:ilvl w:val="0"/>
                <w:numId w:val="21"/>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 xml:space="preserve">3-hour referral duration or higher was associated with increased risk of early neonatal mortality-15% as compared with 9% </w:t>
            </w:r>
          </w:p>
        </w:tc>
      </w:tr>
      <w:tr w:rsidR="00B94DB2" w:rsidRPr="00456FF8" w:rsidTr="00CB3C2D">
        <w:trPr>
          <w:trHeight w:val="263"/>
        </w:trPr>
        <w:tc>
          <w:tcPr>
            <w:tcW w:w="1135"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bCs/>
                <w:sz w:val="20"/>
                <w:szCs w:val="20"/>
                <w:lang w:eastAsia="en-AU"/>
              </w:rPr>
              <w:t>Windsma et al, 2017</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Ethiopia (20 health centres in the Eastern Gurage Zone)</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To assess basic emergency obstetric and newborn care (BEmONC), knowledge of high-risk pregnancies and referral capacity at health centres</w:t>
            </w:r>
          </w:p>
        </w:tc>
        <w:tc>
          <w:tcPr>
            <w:tcW w:w="1701"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Cross-sectional survey</w:t>
            </w:r>
          </w:p>
        </w:tc>
        <w:tc>
          <w:tcPr>
            <w:tcW w:w="2410" w:type="dxa"/>
          </w:tcPr>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37 healthcare providers (18 heads of health centres, 14 midwives, 3</w:t>
            </w:r>
          </w:p>
          <w:p w:rsidR="00B94DB2" w:rsidRPr="00456FF8" w:rsidRDefault="00B94DB2" w:rsidP="00CB3C2D">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nurses, 1 health officer, 1 other), 45 months average of professional experience among heads of health centres with 27.5 median age,  median age of 24 years for other respondents with 24 months average professional experience.</w:t>
            </w:r>
          </w:p>
        </w:tc>
        <w:tc>
          <w:tcPr>
            <w:tcW w:w="5953" w:type="dxa"/>
          </w:tcPr>
          <w:p w:rsidR="00B94DB2" w:rsidRPr="00456FF8" w:rsidRDefault="00B94DB2" w:rsidP="00CB3C2D">
            <w:pPr>
              <w:numPr>
                <w:ilvl w:val="0"/>
                <w:numId w:val="22"/>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Most staff used their own mobile phones for referral correspondence-only 5 facilities (26.3%) had a working landline telephone and 1 (5.3%) facility had a mobile phone.</w:t>
            </w:r>
          </w:p>
          <w:p w:rsidR="00B94DB2" w:rsidRPr="00456FF8" w:rsidRDefault="00B94DB2" w:rsidP="00CB3C2D">
            <w:pPr>
              <w:numPr>
                <w:ilvl w:val="0"/>
                <w:numId w:val="22"/>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There were 5 ambulances for the Eastern Gurage Zone population: Two were stationed at health centres and three at District Health Offices.</w:t>
            </w:r>
          </w:p>
          <w:p w:rsidR="00B94DB2" w:rsidRPr="00456FF8" w:rsidRDefault="00B94DB2" w:rsidP="00CB3C2D">
            <w:pPr>
              <w:numPr>
                <w:ilvl w:val="0"/>
                <w:numId w:val="22"/>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D</w:t>
            </w:r>
            <w:r w:rsidRPr="00456FF8">
              <w:rPr>
                <w:rFonts w:ascii="Times New Roman" w:eastAsia="Segoe UI" w:hAnsi="Times New Roman" w:cs="Times New Roman"/>
                <w:sz w:val="20"/>
                <w:szCs w:val="20"/>
                <w:lang w:eastAsia="en-AU"/>
              </w:rPr>
              <w:t>istance to the referral hospital (Butajira General Hospital) used by all health centres was 16.5 km on average.</w:t>
            </w:r>
          </w:p>
          <w:p w:rsidR="00B94DB2" w:rsidRPr="00456FF8" w:rsidRDefault="00B94DB2" w:rsidP="00CB3C2D">
            <w:pPr>
              <w:numPr>
                <w:ilvl w:val="0"/>
                <w:numId w:val="22"/>
              </w:num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line="480" w:lineRule="auto"/>
              <w:contextualSpacing/>
              <w:rPr>
                <w:rFonts w:ascii="Times New Roman" w:eastAsia="Arial" w:hAnsi="Times New Roman" w:cs="Times New Roman"/>
                <w:sz w:val="20"/>
                <w:szCs w:val="20"/>
                <w:lang w:eastAsia="en-AU"/>
              </w:rPr>
            </w:pPr>
            <w:r w:rsidRPr="00456FF8">
              <w:rPr>
                <w:rFonts w:ascii="Times New Roman" w:eastAsia="Arial" w:hAnsi="Times New Roman" w:cs="Times New Roman"/>
                <w:sz w:val="20"/>
                <w:szCs w:val="20"/>
                <w:lang w:eastAsia="en-AU"/>
              </w:rPr>
              <w:t>There is the need to train staff of the health centres in the identification of signal functions and BEmONC.</w:t>
            </w:r>
          </w:p>
        </w:tc>
      </w:tr>
    </w:tbl>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pPr>
    </w:p>
    <w:p w:rsidR="00B94DB2" w:rsidRPr="00456FF8" w:rsidRDefault="00B94DB2" w:rsidP="00B94DB2">
      <w:pPr>
        <w:spacing w:line="480" w:lineRule="auto"/>
        <w:jc w:val="both"/>
        <w:rPr>
          <w:rFonts w:ascii="Times New Roman" w:hAnsi="Times New Roman" w:cs="Times New Roman"/>
          <w:b/>
          <w:sz w:val="24"/>
          <w:szCs w:val="24"/>
        </w:rPr>
        <w:sectPr w:rsidR="00B94DB2" w:rsidRPr="00456FF8" w:rsidSect="00F62AB4">
          <w:pgSz w:w="16838" w:h="11906" w:orient="landscape"/>
          <w:pgMar w:top="1440" w:right="1440" w:bottom="1440" w:left="1440" w:header="708" w:footer="708" w:gutter="0"/>
          <w:cols w:space="708"/>
          <w:docGrid w:linePitch="360"/>
        </w:sectPr>
      </w:pPr>
    </w:p>
    <w:p w:rsidR="00B94DB2" w:rsidRPr="00456FF8" w:rsidRDefault="00B94DB2" w:rsidP="00B94DB2">
      <w:pPr>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 xml:space="preserve">Provision of maternity referral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All 17 studies reported on various aspects of maternal and newborn referral and are presented under the sub-themes as outlined by the supply side of the framework for assessing the quality of maternal referral.</w:t>
      </w:r>
    </w:p>
    <w:p w:rsidR="00B94DB2" w:rsidRPr="00456FF8" w:rsidRDefault="00B94DB2" w:rsidP="00B94DB2">
      <w:pPr>
        <w:tabs>
          <w:tab w:val="left" w:pos="830"/>
          <w:tab w:val="left" w:pos="2670"/>
        </w:tabs>
        <w:spacing w:line="480" w:lineRule="auto"/>
        <w:rPr>
          <w:rFonts w:ascii="Times New Roman" w:hAnsi="Times New Roman" w:cs="Times New Roman"/>
          <w:i/>
          <w:sz w:val="24"/>
          <w:szCs w:val="24"/>
        </w:rPr>
      </w:pPr>
      <w:r w:rsidRPr="00456FF8">
        <w:rPr>
          <w:rFonts w:ascii="Times New Roman" w:hAnsi="Times New Roman" w:cs="Times New Roman"/>
          <w:i/>
          <w:sz w:val="24"/>
          <w:szCs w:val="24"/>
        </w:rPr>
        <w:t>Referral system</w:t>
      </w:r>
      <w:r w:rsidRPr="00456FF8">
        <w:rPr>
          <w:rFonts w:ascii="Times New Roman" w:hAnsi="Times New Roman" w:cs="Times New Roman"/>
          <w:i/>
          <w:sz w:val="24"/>
          <w:szCs w:val="24"/>
        </w:rPr>
        <w:tab/>
        <w:t xml:space="preserve"> </w:t>
      </w:r>
    </w:p>
    <w:p w:rsidR="00B94DB2" w:rsidRPr="00456FF8" w:rsidRDefault="00B94DB2" w:rsidP="00B94DB2">
      <w:pPr>
        <w:tabs>
          <w:tab w:val="left" w:pos="830"/>
        </w:tabs>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Two studies indicated use of standard maternal and newborn referral procedures, availability of standardised referral forms and health provider escorts </w:t>
      </w:r>
      <w:r w:rsidRPr="00456FF8">
        <w:rPr>
          <w:rFonts w:ascii="Times New Roman" w:hAnsi="Times New Roman" w:cs="Times New Roman"/>
          <w:noProof/>
          <w:sz w:val="24"/>
          <w:szCs w:val="24"/>
        </w:rPr>
        <w:t>[1, 33]</w:t>
      </w:r>
      <w:r w:rsidRPr="00456FF8">
        <w:rPr>
          <w:rFonts w:ascii="Times New Roman" w:hAnsi="Times New Roman" w:cs="Times New Roman"/>
          <w:sz w:val="24"/>
          <w:szCs w:val="24"/>
        </w:rPr>
        <w:t xml:space="preserve">. </w:t>
      </w:r>
      <w:r w:rsidRPr="00456FF8">
        <w:rPr>
          <w:rFonts w:ascii="Times New Roman" w:hAnsi="Times New Roman" w:cs="Times New Roman"/>
          <w:noProof/>
          <w:sz w:val="24"/>
          <w:szCs w:val="24"/>
        </w:rPr>
        <w:t>Awoonor-Williams &amp; Bailey [1]</w:t>
      </w:r>
      <w:r w:rsidRPr="00456FF8">
        <w:rPr>
          <w:rFonts w:ascii="Times New Roman" w:hAnsi="Times New Roman" w:cs="Times New Roman"/>
          <w:sz w:val="24"/>
          <w:szCs w:val="24"/>
        </w:rPr>
        <w:t xml:space="preserve"> indicated that such procedures were accompanied by telephoning ahead to prompt the receiving hospital about referral.</w:t>
      </w:r>
    </w:p>
    <w:p w:rsidR="00B94DB2" w:rsidRPr="00456FF8" w:rsidRDefault="00B94DB2" w:rsidP="00B94DB2">
      <w:pPr>
        <w:tabs>
          <w:tab w:val="left" w:pos="830"/>
        </w:tabs>
        <w:spacing w:line="480" w:lineRule="auto"/>
        <w:jc w:val="both"/>
        <w:rPr>
          <w:rFonts w:ascii="Times New Roman" w:hAnsi="Times New Roman" w:cs="Times New Roman"/>
          <w:sz w:val="24"/>
          <w:szCs w:val="24"/>
        </w:rPr>
      </w:pPr>
    </w:p>
    <w:p w:rsidR="00B94DB2" w:rsidRPr="00456FF8" w:rsidRDefault="00B94DB2" w:rsidP="00B94DB2">
      <w:pPr>
        <w:tabs>
          <w:tab w:val="left" w:pos="830"/>
        </w:tabs>
        <w:spacing w:line="480" w:lineRule="auto"/>
        <w:jc w:val="both"/>
        <w:rPr>
          <w:rFonts w:ascii="Times New Roman" w:hAnsi="Times New Roman" w:cs="Times New Roman"/>
          <w:sz w:val="24"/>
          <w:szCs w:val="24"/>
        </w:rPr>
      </w:pPr>
    </w:p>
    <w:p w:rsidR="00B94DB2" w:rsidRPr="00456FF8" w:rsidRDefault="00B94DB2" w:rsidP="00B94DB2">
      <w:pPr>
        <w:tabs>
          <w:tab w:val="left" w:pos="830"/>
        </w:tabs>
        <w:spacing w:line="480" w:lineRule="auto"/>
        <w:jc w:val="both"/>
        <w:rPr>
          <w:rFonts w:ascii="Times New Roman" w:hAnsi="Times New Roman" w:cs="Times New Roman"/>
          <w:sz w:val="24"/>
          <w:szCs w:val="24"/>
        </w:rPr>
      </w:pPr>
    </w:p>
    <w:p w:rsidR="00B94DB2" w:rsidRPr="00456FF8" w:rsidRDefault="00B94DB2" w:rsidP="00B94DB2">
      <w:pPr>
        <w:tabs>
          <w:tab w:val="left" w:pos="830"/>
        </w:tabs>
        <w:spacing w:line="480" w:lineRule="auto"/>
        <w:jc w:val="both"/>
        <w:rPr>
          <w:rFonts w:ascii="Times New Roman" w:hAnsi="Times New Roman" w:cs="Times New Roman"/>
          <w:sz w:val="24"/>
          <w:szCs w:val="24"/>
        </w:rPr>
      </w:pPr>
    </w:p>
    <w:p w:rsidR="00B94DB2" w:rsidRPr="00456FF8" w:rsidRDefault="00B94DB2" w:rsidP="00B94DB2">
      <w:pPr>
        <w:tabs>
          <w:tab w:val="left" w:pos="830"/>
        </w:tabs>
        <w:spacing w:line="480" w:lineRule="auto"/>
        <w:jc w:val="both"/>
        <w:rPr>
          <w:rFonts w:ascii="Times New Roman" w:hAnsi="Times New Roman" w:cs="Times New Roman"/>
          <w:sz w:val="24"/>
          <w:szCs w:val="24"/>
        </w:rPr>
      </w:pPr>
    </w:p>
    <w:p w:rsidR="00B94DB2" w:rsidRPr="00456FF8" w:rsidRDefault="00B94DB2" w:rsidP="00B94DB2">
      <w:pPr>
        <w:tabs>
          <w:tab w:val="left" w:pos="830"/>
        </w:tabs>
        <w:spacing w:line="480" w:lineRule="auto"/>
        <w:jc w:val="both"/>
        <w:rPr>
          <w:rFonts w:ascii="Times New Roman" w:hAnsi="Times New Roman" w:cs="Times New Roman"/>
          <w:sz w:val="24"/>
          <w:szCs w:val="24"/>
        </w:rPr>
      </w:pPr>
    </w:p>
    <w:p w:rsidR="00B94DB2" w:rsidRPr="00456FF8" w:rsidRDefault="00B94DB2" w:rsidP="00B94DB2">
      <w:pPr>
        <w:tabs>
          <w:tab w:val="left" w:pos="830"/>
        </w:tabs>
        <w:spacing w:line="480" w:lineRule="auto"/>
        <w:jc w:val="both"/>
        <w:rPr>
          <w:rFonts w:ascii="Times New Roman" w:hAnsi="Times New Roman" w:cs="Times New Roman"/>
          <w:sz w:val="24"/>
          <w:szCs w:val="24"/>
        </w:rPr>
      </w:pPr>
    </w:p>
    <w:p w:rsidR="00B94DB2" w:rsidRPr="00456FF8" w:rsidRDefault="00B94DB2" w:rsidP="00B94DB2">
      <w:pPr>
        <w:tabs>
          <w:tab w:val="left" w:pos="830"/>
        </w:tabs>
        <w:spacing w:line="480" w:lineRule="auto"/>
        <w:jc w:val="both"/>
        <w:rPr>
          <w:rFonts w:ascii="Times New Roman" w:hAnsi="Times New Roman" w:cs="Times New Roman"/>
          <w:sz w:val="24"/>
          <w:szCs w:val="24"/>
        </w:rPr>
      </w:pPr>
    </w:p>
    <w:p w:rsidR="00B94DB2" w:rsidRPr="00456FF8" w:rsidRDefault="00B94DB2" w:rsidP="00B94DB2">
      <w:pPr>
        <w:tabs>
          <w:tab w:val="left" w:pos="830"/>
        </w:tabs>
        <w:spacing w:line="480" w:lineRule="auto"/>
        <w:jc w:val="both"/>
        <w:rPr>
          <w:rFonts w:ascii="Times New Roman" w:hAnsi="Times New Roman" w:cs="Times New Roman"/>
          <w:sz w:val="24"/>
          <w:szCs w:val="24"/>
        </w:rPr>
        <w:sectPr w:rsidR="00B94DB2" w:rsidRPr="00456FF8" w:rsidSect="00231A71">
          <w:pgSz w:w="11906" w:h="16838"/>
          <w:pgMar w:top="1440" w:right="1440" w:bottom="1440" w:left="1440" w:header="708" w:footer="708" w:gutter="0"/>
          <w:lnNumType w:countBy="1" w:restart="continuous"/>
          <w:cols w:space="708"/>
          <w:docGrid w:linePitch="360"/>
        </w:sectPr>
      </w:pPr>
    </w:p>
    <w:p w:rsidR="00B94DB2" w:rsidRPr="00456FF8" w:rsidRDefault="00B94DB2" w:rsidP="00B94DB2">
      <w:pPr>
        <w:tabs>
          <w:tab w:val="left" w:pos="830"/>
        </w:tabs>
        <w:spacing w:line="480" w:lineRule="auto"/>
        <w:jc w:val="both"/>
        <w:rPr>
          <w:rFonts w:ascii="Times New Roman" w:hAnsi="Times New Roman" w:cs="Times New Roman"/>
          <w:sz w:val="24"/>
          <w:szCs w:val="24"/>
        </w:rPr>
      </w:pPr>
    </w:p>
    <w:p w:rsidR="00B94DB2" w:rsidRPr="00456FF8" w:rsidRDefault="00B94DB2" w:rsidP="00B94DB2">
      <w:pPr>
        <w:tabs>
          <w:tab w:val="left" w:pos="830"/>
        </w:tabs>
        <w:spacing w:line="480" w:lineRule="auto"/>
        <w:jc w:val="both"/>
        <w:rPr>
          <w:rFonts w:ascii="Times New Roman" w:hAnsi="Times New Roman" w:cs="Times New Roman"/>
          <w:sz w:val="24"/>
          <w:szCs w:val="24"/>
        </w:rPr>
      </w:pPr>
    </w:p>
    <w:p w:rsidR="00B94DB2" w:rsidRPr="00456FF8" w:rsidRDefault="00B94DB2" w:rsidP="00B94DB2">
      <w:pPr>
        <w:tabs>
          <w:tab w:val="left" w:pos="830"/>
        </w:tabs>
        <w:spacing w:line="480" w:lineRule="auto"/>
        <w:jc w:val="both"/>
        <w:rPr>
          <w:rFonts w:ascii="Times New Roman" w:eastAsia="Segoe UI" w:hAnsi="Times New Roman" w:cs="Times New Roman"/>
          <w:sz w:val="24"/>
          <w:szCs w:val="24"/>
        </w:rPr>
        <w:sectPr w:rsidR="00B94DB2" w:rsidRPr="00456FF8" w:rsidSect="00F43647">
          <w:pgSz w:w="16838" w:h="11906" w:orient="landscape"/>
          <w:pgMar w:top="1440" w:right="1440" w:bottom="1440" w:left="1440" w:header="708" w:footer="708" w:gutter="0"/>
          <w:lnNumType w:countBy="1" w:restart="continuous"/>
          <w:cols w:space="708"/>
          <w:docGrid w:linePitch="360"/>
        </w:sectPr>
      </w:pPr>
    </w:p>
    <w:p w:rsidR="00B94DB2" w:rsidRPr="00456FF8" w:rsidRDefault="00B94DB2" w:rsidP="00B94DB2">
      <w:pPr>
        <w:spacing w:line="480" w:lineRule="auto"/>
        <w:jc w:val="both"/>
        <w:rPr>
          <w:rFonts w:ascii="Times New Roman" w:hAnsi="Times New Roman" w:cs="Times New Roman"/>
          <w:sz w:val="20"/>
          <w:szCs w:val="20"/>
        </w:rPr>
      </w:pPr>
      <w:r w:rsidRPr="00456FF8">
        <w:rPr>
          <w:rFonts w:ascii="Times New Roman" w:hAnsi="Times New Roman" w:cs="Times New Roman"/>
          <w:sz w:val="24"/>
          <w:szCs w:val="24"/>
        </w:rPr>
        <w:t xml:space="preserve">In that study in 16 facilities in Ghana, healthcare providers escorted all referred women and their newborns from health centres by ambulance to BEmOC and CEmOC facilities. Details about which specific providers escorted women, however, were not reported </w:t>
      </w:r>
      <w:r w:rsidRPr="00456FF8">
        <w:rPr>
          <w:rFonts w:ascii="Times New Roman" w:hAnsi="Times New Roman" w:cs="Times New Roman"/>
          <w:noProof/>
          <w:sz w:val="24"/>
          <w:szCs w:val="24"/>
        </w:rPr>
        <w:t>[1]</w:t>
      </w:r>
      <w:r w:rsidRPr="00456FF8">
        <w:rPr>
          <w:rFonts w:ascii="Times New Roman" w:hAnsi="Times New Roman" w:cs="Times New Roman"/>
          <w:sz w:val="24"/>
          <w:szCs w:val="24"/>
        </w:rPr>
        <w:t xml:space="preserve">. In two other studies in Ghana, health care providers rarely escorted women to the next facility </w:t>
      </w:r>
      <w:r w:rsidRPr="00456FF8">
        <w:rPr>
          <w:rFonts w:ascii="Times New Roman" w:hAnsi="Times New Roman" w:cs="Times New Roman"/>
          <w:noProof/>
          <w:sz w:val="24"/>
          <w:szCs w:val="24"/>
        </w:rPr>
        <w:t>[37, 42]</w:t>
      </w:r>
      <w:r w:rsidRPr="00456FF8">
        <w:rPr>
          <w:rFonts w:ascii="Times New Roman" w:hAnsi="Times New Roman" w:cs="Times New Roman"/>
          <w:sz w:val="24"/>
          <w:szCs w:val="24"/>
        </w:rPr>
        <w:t xml:space="preserve">. Some referrals were even unaccompanied because these were not emergencies </w:t>
      </w:r>
      <w:r w:rsidRPr="00456FF8">
        <w:rPr>
          <w:rFonts w:ascii="Times New Roman" w:hAnsi="Times New Roman" w:cs="Times New Roman"/>
          <w:noProof/>
          <w:sz w:val="24"/>
          <w:szCs w:val="24"/>
        </w:rPr>
        <w:t>[42]</w:t>
      </w:r>
      <w:r w:rsidRPr="00456FF8">
        <w:rPr>
          <w:rFonts w:ascii="Times New Roman" w:hAnsi="Times New Roman" w:cs="Times New Roman"/>
          <w:sz w:val="24"/>
          <w:szCs w:val="24"/>
        </w:rPr>
        <w:t>. Unaccompanied</w:t>
      </w:r>
      <w:r w:rsidRPr="00456FF8" w:rsidDel="00574040">
        <w:rPr>
          <w:rFonts w:ascii="Times New Roman" w:hAnsi="Times New Roman" w:cs="Times New Roman"/>
          <w:sz w:val="24"/>
          <w:szCs w:val="24"/>
        </w:rPr>
        <w:t xml:space="preserve"> </w:t>
      </w:r>
      <w:r w:rsidRPr="00456FF8">
        <w:rPr>
          <w:rFonts w:ascii="Times New Roman" w:hAnsi="Times New Roman" w:cs="Times New Roman"/>
          <w:sz w:val="24"/>
          <w:szCs w:val="24"/>
        </w:rPr>
        <w:t xml:space="preserve">women sometimes arrived late in the receiving facility, but details about socio-demographics or their circumstances were not provided </w:t>
      </w:r>
      <w:r w:rsidRPr="00456FF8">
        <w:rPr>
          <w:rFonts w:ascii="Times New Roman" w:hAnsi="Times New Roman" w:cs="Times New Roman"/>
          <w:noProof/>
          <w:sz w:val="24"/>
          <w:szCs w:val="24"/>
        </w:rPr>
        <w:t>[42]</w:t>
      </w:r>
      <w:r w:rsidRPr="00456FF8">
        <w:rPr>
          <w:rFonts w:ascii="Times New Roman" w:hAnsi="Times New Roman" w:cs="Times New Roman"/>
          <w:sz w:val="24"/>
          <w:szCs w:val="24"/>
        </w:rPr>
        <w:t>.</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noProof/>
          <w:sz w:val="24"/>
          <w:szCs w:val="24"/>
        </w:rPr>
        <w:t xml:space="preserve">Elmusharaf </w:t>
      </w:r>
      <w:r>
        <w:rPr>
          <w:rFonts w:ascii="Times New Roman" w:hAnsi="Times New Roman" w:cs="Times New Roman"/>
          <w:noProof/>
          <w:sz w:val="24"/>
          <w:szCs w:val="24"/>
        </w:rPr>
        <w:t>et al</w:t>
      </w:r>
      <w:r w:rsidRPr="00456FF8">
        <w:rPr>
          <w:rFonts w:ascii="Times New Roman" w:hAnsi="Times New Roman" w:cs="Times New Roman"/>
          <w:sz w:val="24"/>
          <w:szCs w:val="24"/>
        </w:rPr>
        <w:t xml:space="preserve"> </w:t>
      </w:r>
      <w:r w:rsidRPr="00456FF8">
        <w:rPr>
          <w:rFonts w:ascii="Times New Roman" w:hAnsi="Times New Roman" w:cs="Times New Roman"/>
          <w:noProof/>
          <w:sz w:val="24"/>
          <w:szCs w:val="24"/>
        </w:rPr>
        <w:t>[43]</w:t>
      </w:r>
      <w:r>
        <w:rPr>
          <w:rFonts w:ascii="Times New Roman" w:hAnsi="Times New Roman" w:cs="Times New Roman"/>
          <w:noProof/>
          <w:sz w:val="24"/>
          <w:szCs w:val="24"/>
        </w:rPr>
        <w:t xml:space="preserve"> </w:t>
      </w:r>
      <w:r w:rsidRPr="00456FF8">
        <w:rPr>
          <w:rFonts w:ascii="Times New Roman" w:hAnsi="Times New Roman" w:cs="Times New Roman"/>
          <w:sz w:val="24"/>
          <w:szCs w:val="24"/>
        </w:rPr>
        <w:t>identified</w:t>
      </w:r>
      <w:r w:rsidRPr="00456FF8">
        <w:rPr>
          <w:rFonts w:ascii="Times New Roman" w:hAnsi="Times New Roman" w:cs="Times New Roman"/>
          <w:noProof/>
          <w:sz w:val="24"/>
          <w:szCs w:val="24"/>
        </w:rPr>
        <w:t xml:space="preserve"> </w:t>
      </w:r>
      <w:r w:rsidRPr="00456FF8">
        <w:rPr>
          <w:rFonts w:ascii="Times New Roman" w:hAnsi="Times New Roman" w:cs="Times New Roman"/>
          <w:sz w:val="24"/>
          <w:szCs w:val="24"/>
        </w:rPr>
        <w:t>four referral pathways:</w:t>
      </w:r>
      <w:r w:rsidRPr="00456FF8">
        <w:rPr>
          <w:rFonts w:ascii="Times New Roman" w:hAnsi="Times New Roman" w:cs="Times New Roman"/>
          <w:noProof/>
          <w:sz w:val="24"/>
          <w:szCs w:val="24"/>
        </w:rPr>
        <w:t xml:space="preserve"> 1. </w:t>
      </w:r>
      <w:r w:rsidRPr="00456FF8">
        <w:rPr>
          <w:rFonts w:ascii="Times New Roman" w:hAnsi="Times New Roman" w:cs="Times New Roman"/>
          <w:sz w:val="24"/>
          <w:szCs w:val="24"/>
        </w:rPr>
        <w:t>zigzag referral (where women were sent back and forth between two healthcare providers), 2. late referral to appropriate health facilities, 3. multiple referrals (referring women to a num</w:t>
      </w:r>
      <w:bookmarkStart w:id="0" w:name="_GoBack"/>
      <w:bookmarkEnd w:id="0"/>
      <w:r w:rsidRPr="00456FF8">
        <w:rPr>
          <w:rFonts w:ascii="Times New Roman" w:hAnsi="Times New Roman" w:cs="Times New Roman"/>
          <w:sz w:val="24"/>
          <w:szCs w:val="24"/>
        </w:rPr>
        <w:t xml:space="preserve">ber of non-functioning facilities before arrival in an appropriate health facility) and 4. by-passing (where health care providers in the first facility refer directly to a specific well-functioning facility) </w:t>
      </w:r>
      <w:r w:rsidRPr="00456FF8">
        <w:rPr>
          <w:rFonts w:ascii="Times New Roman" w:hAnsi="Times New Roman" w:cs="Times New Roman"/>
          <w:noProof/>
          <w:sz w:val="24"/>
          <w:szCs w:val="24"/>
        </w:rPr>
        <w:t>[43]</w:t>
      </w:r>
      <w:r w:rsidRPr="00456FF8">
        <w:rPr>
          <w:rFonts w:ascii="Times New Roman" w:hAnsi="Times New Roman" w:cs="Times New Roman"/>
          <w:sz w:val="24"/>
          <w:szCs w:val="24"/>
        </w:rPr>
        <w:t>. One woman narrated her zigzag referral:</w:t>
      </w:r>
    </w:p>
    <w:p w:rsidR="00B94DB2" w:rsidRPr="00456FF8" w:rsidRDefault="00B94DB2" w:rsidP="00B94DB2">
      <w:pPr>
        <w:spacing w:line="480" w:lineRule="auto"/>
        <w:ind w:left="720"/>
        <w:jc w:val="both"/>
        <w:rPr>
          <w:rFonts w:ascii="Times New Roman" w:eastAsia="Segoe UI" w:hAnsi="Times New Roman" w:cs="Times New Roman"/>
          <w:sz w:val="24"/>
          <w:szCs w:val="24"/>
        </w:rPr>
      </w:pPr>
      <w:r w:rsidRPr="00456FF8">
        <w:rPr>
          <w:rFonts w:ascii="Times New Roman" w:hAnsi="Times New Roman" w:cs="Times New Roman"/>
          <w:i/>
          <w:sz w:val="24"/>
          <w:szCs w:val="24"/>
        </w:rPr>
        <w:t>Family members lifted the pregnant woman onto a donkey-driven cart and went to the village’s medical assistant. When they arrived, her water broke. The medical assistant prescribed drugs and told them that she was in labour and that the midwife should deliver her straight away. He sent them back to the midwife for birth. After spending three hours with the midwife without progress, the pregnant woman was exhausted. The midwife advised them to go back to the medical assistant. They spent most of the night going back and forth between a midwife and a medical assistant until the midwife insisted on the medical assistant referring them to Renk hospital</w:t>
      </w:r>
      <w:r w:rsidRPr="00456FF8">
        <w:rPr>
          <w:rFonts w:ascii="Times New Roman" w:hAnsi="Times New Roman" w:cs="Times New Roman"/>
          <w:sz w:val="24"/>
          <w:szCs w:val="24"/>
        </w:rPr>
        <w:t xml:space="preserve"> </w:t>
      </w:r>
      <w:r>
        <w:rPr>
          <w:rFonts w:ascii="Times New Roman" w:hAnsi="Times New Roman" w:cs="Times New Roman"/>
          <w:sz w:val="24"/>
          <w:szCs w:val="24"/>
        </w:rPr>
        <w:t xml:space="preserve">[name of hospital] </w:t>
      </w:r>
      <w:r w:rsidRPr="00456FF8">
        <w:rPr>
          <w:rFonts w:ascii="Times New Roman" w:hAnsi="Times New Roman" w:cs="Times New Roman"/>
          <w:sz w:val="24"/>
          <w:szCs w:val="24"/>
        </w:rPr>
        <w:t xml:space="preserve">(5JMD) </w:t>
      </w:r>
      <w:r w:rsidRPr="00456FF8">
        <w:rPr>
          <w:rFonts w:ascii="Times New Roman" w:eastAsia="Segoe UI" w:hAnsi="Times New Roman" w:cs="Times New Roman"/>
          <w:noProof/>
          <w:sz w:val="24"/>
          <w:szCs w:val="24"/>
        </w:rPr>
        <w:t>[43]</w:t>
      </w:r>
      <w:r w:rsidRPr="00456FF8">
        <w:rPr>
          <w:rFonts w:ascii="Times New Roman" w:eastAsia="Segoe UI" w:hAnsi="Times New Roman" w:cs="Times New Roman"/>
          <w:sz w:val="24"/>
          <w:szCs w:val="24"/>
        </w:rPr>
        <w:t>.</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In a study from Angola delays of up to 13.7 hours were noted in the triage of referred women upon arrival in the receiving facility </w:t>
      </w:r>
      <w:r w:rsidRPr="00456FF8">
        <w:rPr>
          <w:rFonts w:ascii="Times New Roman" w:hAnsi="Times New Roman" w:cs="Times New Roman"/>
          <w:noProof/>
          <w:sz w:val="24"/>
          <w:szCs w:val="24"/>
        </w:rPr>
        <w:t>[34]</w:t>
      </w:r>
      <w:r w:rsidRPr="00456FF8">
        <w:rPr>
          <w:rFonts w:ascii="Times New Roman" w:hAnsi="Times New Roman" w:cs="Times New Roman"/>
          <w:sz w:val="24"/>
          <w:szCs w:val="24"/>
        </w:rPr>
        <w:t xml:space="preserve">. Referred women and their newborns were simply added to the queue with other patients. When healthcare providers were alerted about this issue, a meeting was held to better identify referred women and prioritise them upon arrival. After this strategy was implemented, referred women and their newborns spent an average of nine minutes to meet a midwife and 71 minutes to be assessed by a doctor.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In Ghana, triage initiation for women in labour was found to vary by shift or timing of the day in one hospital</w:t>
      </w:r>
      <w:r w:rsidRPr="00456FF8">
        <w:rPr>
          <w:rFonts w:ascii="Times New Roman" w:hAnsi="Times New Roman" w:cs="Times New Roman"/>
          <w:noProof/>
          <w:sz w:val="24"/>
          <w:szCs w:val="24"/>
        </w:rPr>
        <w:t xml:space="preserve"> [32]</w:t>
      </w:r>
      <w:r w:rsidRPr="00456FF8">
        <w:rPr>
          <w:rFonts w:ascii="Times New Roman" w:hAnsi="Times New Roman" w:cs="Times New Roman"/>
          <w:sz w:val="24"/>
          <w:szCs w:val="24"/>
        </w:rPr>
        <w:t xml:space="preserve">.  Average waiting time in the morning was 35 minutes, 28 minutes in the evening and 55 minutes in the night.  Women in the first stage of labour were triaged within 35 minutes and moved to the labour ward within 24 minutes. Those in the second stage were evaluated within 30 minutes and moved to the labour ward within 10 minutes </w:t>
      </w:r>
      <w:r w:rsidRPr="00456FF8">
        <w:rPr>
          <w:rFonts w:ascii="Times New Roman" w:hAnsi="Times New Roman" w:cs="Times New Roman"/>
          <w:noProof/>
          <w:sz w:val="24"/>
          <w:szCs w:val="24"/>
        </w:rPr>
        <w:t>[32]</w:t>
      </w:r>
      <w:r w:rsidRPr="00456FF8">
        <w:rPr>
          <w:rFonts w:ascii="Times New Roman" w:hAnsi="Times New Roman" w:cs="Times New Roman"/>
          <w:sz w:val="24"/>
          <w:szCs w:val="24"/>
        </w:rPr>
        <w:t xml:space="preserve">.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In Burundi a 15% higher chance of neonatal deaths was observed for women who took three or more hours to arrive in the next facility. Facilities had to call for an ambulance from another facility with sometimes delays </w:t>
      </w:r>
      <w:r w:rsidRPr="00456FF8">
        <w:rPr>
          <w:rFonts w:ascii="Times New Roman" w:hAnsi="Times New Roman" w:cs="Times New Roman"/>
          <w:noProof/>
          <w:sz w:val="24"/>
          <w:szCs w:val="24"/>
        </w:rPr>
        <w:t>[35]</w:t>
      </w:r>
      <w:r w:rsidRPr="00456FF8">
        <w:rPr>
          <w:rFonts w:ascii="Times New Roman" w:hAnsi="Times New Roman" w:cs="Times New Roman"/>
          <w:sz w:val="24"/>
          <w:szCs w:val="24"/>
        </w:rPr>
        <w:t>. In the absence of ambulances, donkey-driven carts, tractors</w:t>
      </w:r>
      <w:r w:rsidRPr="00456FF8">
        <w:rPr>
          <w:rFonts w:ascii="Times New Roman" w:hAnsi="Times New Roman" w:cs="Times New Roman"/>
          <w:i/>
          <w:sz w:val="24"/>
          <w:szCs w:val="24"/>
        </w:rPr>
        <w:t xml:space="preserve">, </w:t>
      </w:r>
      <w:r w:rsidRPr="00456FF8">
        <w:rPr>
          <w:rFonts w:ascii="Times New Roman" w:hAnsi="Times New Roman" w:cs="Times New Roman"/>
          <w:sz w:val="24"/>
          <w:szCs w:val="24"/>
        </w:rPr>
        <w:t xml:space="preserve">pick-up trucks, public transport (taxis and lorries), motorised tricycles and motorbikes were used for referral </w:t>
      </w:r>
      <w:r w:rsidRPr="00456FF8">
        <w:rPr>
          <w:rFonts w:ascii="Times New Roman" w:hAnsi="Times New Roman" w:cs="Times New Roman"/>
          <w:noProof/>
          <w:sz w:val="24"/>
          <w:szCs w:val="24"/>
        </w:rPr>
        <w:t>[40, 29, 33, 36, 37, 42]</w:t>
      </w:r>
      <w:r w:rsidRPr="00456FF8">
        <w:rPr>
          <w:rFonts w:ascii="Times New Roman" w:hAnsi="Times New Roman" w:cs="Times New Roman"/>
          <w:sz w:val="24"/>
          <w:szCs w:val="24"/>
        </w:rPr>
        <w:t xml:space="preserve">.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Some health facilities were not equipped with telephones and some healthcare providers from primary health centres in southern Ethiopia had to use their personal phones to notify receiving facilities about referrals </w:t>
      </w:r>
      <w:r w:rsidRPr="00456FF8">
        <w:rPr>
          <w:rFonts w:ascii="Times New Roman" w:hAnsi="Times New Roman" w:cs="Times New Roman"/>
          <w:noProof/>
          <w:sz w:val="24"/>
          <w:szCs w:val="24"/>
        </w:rPr>
        <w:t>[36]</w:t>
      </w:r>
      <w:r w:rsidRPr="00456FF8">
        <w:rPr>
          <w:rFonts w:ascii="Times New Roman" w:hAnsi="Times New Roman" w:cs="Times New Roman"/>
          <w:sz w:val="24"/>
          <w:szCs w:val="24"/>
        </w:rPr>
        <w:t>.</w:t>
      </w:r>
      <w:r w:rsidRPr="00456FF8">
        <w:rPr>
          <w:rFonts w:ascii="Times New Roman" w:hAnsi="Times New Roman" w:cs="Times New Roman"/>
          <w:noProof/>
          <w:sz w:val="24"/>
          <w:szCs w:val="24"/>
        </w:rPr>
        <w:t xml:space="preserve"> </w:t>
      </w:r>
      <w:r w:rsidRPr="00456FF8">
        <w:rPr>
          <w:rFonts w:ascii="Times New Roman" w:hAnsi="Times New Roman" w:cs="Times New Roman"/>
          <w:sz w:val="24"/>
          <w:szCs w:val="24"/>
        </w:rPr>
        <w:t xml:space="preserve">A communication system for facilitating referrals in 14 government health facilities in Tanzania was reported without details </w:t>
      </w:r>
      <w:r w:rsidRPr="00456FF8">
        <w:rPr>
          <w:rFonts w:ascii="Times New Roman" w:hAnsi="Times New Roman" w:cs="Times New Roman"/>
          <w:noProof/>
          <w:sz w:val="24"/>
          <w:szCs w:val="24"/>
        </w:rPr>
        <w:t>[3</w:t>
      </w:r>
      <w:r>
        <w:rPr>
          <w:rFonts w:ascii="Times New Roman" w:hAnsi="Times New Roman" w:cs="Times New Roman"/>
          <w:noProof/>
          <w:sz w:val="24"/>
          <w:szCs w:val="24"/>
        </w:rPr>
        <w:t>1</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One study from a teaching hospital in Nigeria reported the absence of initial communication with the hospital in all referrals </w:t>
      </w:r>
      <w:r w:rsidRPr="00456FF8">
        <w:rPr>
          <w:rFonts w:ascii="Times New Roman" w:hAnsi="Times New Roman" w:cs="Times New Roman"/>
          <w:noProof/>
          <w:sz w:val="24"/>
          <w:szCs w:val="24"/>
        </w:rPr>
        <w:t>[29]</w:t>
      </w:r>
      <w:r w:rsidRPr="00456FF8">
        <w:rPr>
          <w:rFonts w:ascii="Times New Roman" w:hAnsi="Times New Roman" w:cs="Times New Roman"/>
          <w:sz w:val="24"/>
          <w:szCs w:val="24"/>
        </w:rPr>
        <w:t xml:space="preserve">.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Referring health facilities are not always given feedback so that opportunities for improvement did not reach the referring healthcare workers </w:t>
      </w:r>
      <w:r w:rsidRPr="00456FF8">
        <w:rPr>
          <w:rFonts w:ascii="Times New Roman" w:hAnsi="Times New Roman" w:cs="Times New Roman"/>
          <w:noProof/>
          <w:sz w:val="24"/>
          <w:szCs w:val="24"/>
        </w:rPr>
        <w:t>[37, 42]</w:t>
      </w:r>
      <w:r w:rsidRPr="00456FF8">
        <w:rPr>
          <w:rFonts w:ascii="Times New Roman" w:hAnsi="Times New Roman" w:cs="Times New Roman"/>
          <w:sz w:val="24"/>
          <w:szCs w:val="24"/>
        </w:rPr>
        <w:t>. High workload of health care workers was cited as the main reason why feedback was not given. A Medical Officer from Ghana reported:</w:t>
      </w:r>
    </w:p>
    <w:p w:rsidR="00B94DB2" w:rsidRPr="00456FF8" w:rsidRDefault="00B94DB2" w:rsidP="00B94DB2">
      <w:pPr>
        <w:pStyle w:val="ListParagraph"/>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w:t>
      </w:r>
      <w:r w:rsidRPr="00456FF8">
        <w:rPr>
          <w:rFonts w:ascii="Times New Roman" w:hAnsi="Times New Roman" w:cs="Times New Roman"/>
          <w:i/>
          <w:sz w:val="24"/>
          <w:szCs w:val="24"/>
        </w:rPr>
        <w:t>We don’t receive any feedback from the hospitals. At least it would help us understand what we could have done better.</w:t>
      </w:r>
      <w:r w:rsidRPr="00456FF8">
        <w:rPr>
          <w:rFonts w:ascii="Times New Roman" w:hAnsi="Times New Roman" w:cs="Times New Roman"/>
          <w:sz w:val="24"/>
          <w:szCs w:val="24"/>
        </w:rPr>
        <w:t xml:space="preserve">’’ (In-depth Interview, Medical Ofﬁcer) </w:t>
      </w:r>
      <w:r w:rsidRPr="00456FF8">
        <w:rPr>
          <w:rFonts w:ascii="Times New Roman" w:hAnsi="Times New Roman" w:cs="Times New Roman"/>
          <w:noProof/>
          <w:sz w:val="24"/>
          <w:szCs w:val="24"/>
        </w:rPr>
        <w:t>[42]</w:t>
      </w:r>
      <w:r w:rsidRPr="00456FF8">
        <w:rPr>
          <w:rFonts w:ascii="Times New Roman" w:hAnsi="Times New Roman" w:cs="Times New Roman"/>
          <w:sz w:val="24"/>
          <w:szCs w:val="24"/>
        </w:rPr>
        <w:t>.</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However, in one study, feedback on referral were given by the women or their families  </w:t>
      </w:r>
      <w:r w:rsidRPr="00456FF8">
        <w:rPr>
          <w:rFonts w:ascii="Times New Roman" w:hAnsi="Times New Roman" w:cs="Times New Roman"/>
          <w:noProof/>
          <w:sz w:val="24"/>
          <w:szCs w:val="24"/>
        </w:rPr>
        <w:t>[1]</w:t>
      </w:r>
      <w:r w:rsidRPr="00456FF8">
        <w:rPr>
          <w:rFonts w:ascii="Times New Roman" w:hAnsi="Times New Roman" w:cs="Times New Roman"/>
          <w:sz w:val="24"/>
          <w:szCs w:val="24"/>
        </w:rPr>
        <w:t xml:space="preserve">. </w:t>
      </w:r>
    </w:p>
    <w:p w:rsidR="00B94DB2" w:rsidRPr="00456FF8" w:rsidRDefault="00B94DB2" w:rsidP="00B94DB2">
      <w:pPr>
        <w:spacing w:line="480" w:lineRule="auto"/>
        <w:jc w:val="both"/>
        <w:rPr>
          <w:rFonts w:ascii="Times New Roman" w:hAnsi="Times New Roman" w:cs="Times New Roman"/>
          <w:i/>
          <w:sz w:val="24"/>
          <w:szCs w:val="24"/>
        </w:rPr>
      </w:pPr>
    </w:p>
    <w:p w:rsidR="00B94DB2" w:rsidRPr="00456FF8" w:rsidRDefault="00B94DB2" w:rsidP="00B94DB2">
      <w:pPr>
        <w:spacing w:line="480" w:lineRule="auto"/>
        <w:jc w:val="both"/>
        <w:rPr>
          <w:rFonts w:ascii="Times New Roman" w:hAnsi="Times New Roman" w:cs="Times New Roman"/>
          <w:i/>
          <w:sz w:val="24"/>
          <w:szCs w:val="24"/>
        </w:rPr>
      </w:pPr>
      <w:r w:rsidRPr="00456FF8">
        <w:rPr>
          <w:rFonts w:ascii="Times New Roman" w:hAnsi="Times New Roman" w:cs="Times New Roman"/>
          <w:i/>
          <w:sz w:val="24"/>
          <w:szCs w:val="24"/>
        </w:rPr>
        <w:t xml:space="preserve">International standards for the management of emergency obstetrics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noProof/>
          <w:sz w:val="24"/>
          <w:szCs w:val="24"/>
        </w:rPr>
        <w:t>Nwameme &amp; Phillips [42]</w:t>
      </w:r>
      <w:r w:rsidRPr="00456FF8">
        <w:rPr>
          <w:rFonts w:ascii="Times New Roman" w:hAnsi="Times New Roman" w:cs="Times New Roman"/>
          <w:sz w:val="24"/>
          <w:szCs w:val="24"/>
        </w:rPr>
        <w:t xml:space="preserve"> indicated that more than 75% of staff from two of the three facilities in their survey were trained how to use national referral guidelines.  </w:t>
      </w:r>
      <w:r w:rsidRPr="00456FF8">
        <w:rPr>
          <w:rFonts w:ascii="Times New Roman" w:hAnsi="Times New Roman" w:cs="Times New Roman"/>
          <w:noProof/>
          <w:sz w:val="24"/>
          <w:szCs w:val="24"/>
        </w:rPr>
        <w:t xml:space="preserve">Shimoda </w:t>
      </w:r>
      <w:r>
        <w:rPr>
          <w:rFonts w:ascii="Times New Roman" w:hAnsi="Times New Roman" w:cs="Times New Roman"/>
          <w:noProof/>
          <w:sz w:val="24"/>
          <w:szCs w:val="24"/>
        </w:rPr>
        <w:t>et al</w:t>
      </w:r>
      <w:r w:rsidRPr="00456FF8">
        <w:rPr>
          <w:rFonts w:ascii="Times New Roman" w:hAnsi="Times New Roman" w:cs="Times New Roman"/>
          <w:noProof/>
          <w:sz w:val="24"/>
          <w:szCs w:val="24"/>
        </w:rPr>
        <w:t xml:space="preserve"> [38]</w:t>
      </w:r>
      <w:r w:rsidRPr="00456FF8">
        <w:rPr>
          <w:rFonts w:ascii="Times New Roman" w:hAnsi="Times New Roman" w:cs="Times New Roman"/>
          <w:sz w:val="24"/>
          <w:szCs w:val="24"/>
        </w:rPr>
        <w:t xml:space="preserve"> reported that midwives followed the guidelines of midwifery care in undertaking examinations leading to referral </w:t>
      </w:r>
      <w:r w:rsidRPr="00456FF8">
        <w:rPr>
          <w:rFonts w:ascii="Times New Roman" w:hAnsi="Times New Roman" w:cs="Times New Roman"/>
          <w:noProof/>
          <w:sz w:val="24"/>
          <w:szCs w:val="24"/>
        </w:rPr>
        <w:t>[38]</w:t>
      </w:r>
      <w:r w:rsidRPr="00456FF8">
        <w:rPr>
          <w:rFonts w:ascii="Times New Roman" w:hAnsi="Times New Roman" w:cs="Times New Roman"/>
          <w:sz w:val="24"/>
          <w:szCs w:val="24"/>
        </w:rPr>
        <w:t xml:space="preserve">. However, the study did not identify the guidelines. Two of the three studies reporting availability of national referral guidelines in Ghana indicated adherence in health facilities </w:t>
      </w:r>
      <w:r w:rsidRPr="00456FF8">
        <w:rPr>
          <w:rFonts w:ascii="Times New Roman" w:hAnsi="Times New Roman" w:cs="Times New Roman"/>
          <w:noProof/>
          <w:sz w:val="24"/>
          <w:szCs w:val="24"/>
        </w:rPr>
        <w:t>[1, 42]</w:t>
      </w:r>
      <w:r w:rsidRPr="00456FF8">
        <w:rPr>
          <w:rFonts w:ascii="Times New Roman" w:hAnsi="Times New Roman" w:cs="Times New Roman"/>
          <w:sz w:val="24"/>
          <w:szCs w:val="24"/>
        </w:rPr>
        <w:t xml:space="preserve">.  Adherence includes documentation of referral indication, telephoning the referral facility ahead of time and making arrangements for means of transport, preferably by ambulance.  In a survey of </w:t>
      </w:r>
      <w:r w:rsidRPr="00456FF8">
        <w:rPr>
          <w:rFonts w:ascii="Times New Roman" w:eastAsia="Segoe UI" w:hAnsi="Times New Roman" w:cs="Times New Roman"/>
          <w:sz w:val="24"/>
          <w:szCs w:val="24"/>
        </w:rPr>
        <w:t xml:space="preserve">120 health facilities in </w:t>
      </w:r>
      <w:r w:rsidRPr="00456FF8">
        <w:rPr>
          <w:rFonts w:ascii="Times New Roman" w:hAnsi="Times New Roman" w:cs="Times New Roman"/>
          <w:sz w:val="24"/>
          <w:szCs w:val="24"/>
        </w:rPr>
        <w:t xml:space="preserve">Ghana, 94% of the facilities had standard referral forms and 83% followed a standard referral procedure </w:t>
      </w:r>
      <w:r w:rsidRPr="00456FF8">
        <w:rPr>
          <w:rFonts w:ascii="Times New Roman" w:hAnsi="Times New Roman" w:cs="Times New Roman"/>
          <w:noProof/>
          <w:sz w:val="24"/>
          <w:szCs w:val="24"/>
        </w:rPr>
        <w:t>[33]</w:t>
      </w:r>
      <w:r w:rsidRPr="00456FF8">
        <w:rPr>
          <w:rFonts w:ascii="Times New Roman" w:hAnsi="Times New Roman" w:cs="Times New Roman"/>
          <w:sz w:val="24"/>
          <w:szCs w:val="24"/>
        </w:rPr>
        <w:t>.</w:t>
      </w:r>
    </w:p>
    <w:p w:rsidR="00B94DB2" w:rsidRPr="00456FF8" w:rsidRDefault="00B94DB2" w:rsidP="00B94DB2">
      <w:pPr>
        <w:spacing w:line="480" w:lineRule="auto"/>
        <w:jc w:val="both"/>
        <w:rPr>
          <w:rStyle w:val="ilfuvd"/>
          <w:rFonts w:ascii="Times New Roman" w:hAnsi="Times New Roman" w:cs="Times New Roman"/>
          <w:bCs/>
          <w:sz w:val="24"/>
          <w:szCs w:val="24"/>
        </w:rPr>
      </w:pPr>
      <w:r w:rsidRPr="00456FF8">
        <w:rPr>
          <w:rFonts w:ascii="Times New Roman" w:hAnsi="Times New Roman" w:cs="Times New Roman"/>
          <w:sz w:val="24"/>
          <w:szCs w:val="24"/>
        </w:rPr>
        <w:t xml:space="preserve"> In Tanzania,</w:t>
      </w:r>
      <w:r w:rsidRPr="00456FF8">
        <w:rPr>
          <w:rFonts w:ascii="Times New Roman" w:hAnsi="Times New Roman" w:cs="Times New Roman"/>
          <w:noProof/>
          <w:sz w:val="24"/>
          <w:szCs w:val="24"/>
        </w:rPr>
        <w:t xml:space="preserve"> </w:t>
      </w:r>
      <w:r w:rsidRPr="00456FF8">
        <w:rPr>
          <w:rFonts w:ascii="Times New Roman" w:hAnsi="Times New Roman" w:cs="Times New Roman"/>
          <w:sz w:val="24"/>
          <w:szCs w:val="24"/>
        </w:rPr>
        <w:t xml:space="preserve">guidelines for midwifery care were used in the studied hospital and health centre to manage intrapartum monitoring leading to emergency referrals of 11 women with prolonged labour </w:t>
      </w:r>
      <w:r w:rsidRPr="00456FF8">
        <w:rPr>
          <w:rFonts w:ascii="Times New Roman" w:hAnsi="Times New Roman" w:cs="Times New Roman"/>
          <w:noProof/>
          <w:sz w:val="24"/>
          <w:szCs w:val="24"/>
        </w:rPr>
        <w:t>[38]</w:t>
      </w:r>
      <w:r w:rsidRPr="00456FF8">
        <w:rPr>
          <w:rFonts w:ascii="Times New Roman" w:hAnsi="Times New Roman" w:cs="Times New Roman"/>
          <w:sz w:val="24"/>
          <w:szCs w:val="24"/>
        </w:rPr>
        <w:t xml:space="preserve">. Unlike WHO guidelines and recommendations, the national guidelines of Ghana do not mention that </w:t>
      </w:r>
      <w:r w:rsidRPr="00456FF8">
        <w:rPr>
          <w:rStyle w:val="ilfuvd"/>
          <w:rFonts w:ascii="Times New Roman" w:hAnsi="Times New Roman" w:cs="Times New Roman"/>
          <w:sz w:val="24"/>
          <w:szCs w:val="24"/>
        </w:rPr>
        <w:t xml:space="preserve">uterotonics </w:t>
      </w:r>
      <w:r w:rsidRPr="00456FF8">
        <w:rPr>
          <w:rStyle w:val="ilfuvd"/>
          <w:rFonts w:ascii="Times New Roman" w:hAnsi="Times New Roman" w:cs="Times New Roman"/>
          <w:bCs/>
          <w:sz w:val="24"/>
          <w:szCs w:val="24"/>
        </w:rPr>
        <w:t xml:space="preserve">are to be applied to reduce haemorrhage </w:t>
      </w:r>
      <w:r w:rsidRPr="00456FF8">
        <w:rPr>
          <w:rFonts w:ascii="Times New Roman" w:hAnsi="Times New Roman" w:cs="Times New Roman"/>
          <w:noProof/>
          <w:sz w:val="24"/>
          <w:szCs w:val="24"/>
        </w:rPr>
        <w:t xml:space="preserve">[11, </w:t>
      </w:r>
      <w:r>
        <w:rPr>
          <w:rFonts w:ascii="Times New Roman" w:hAnsi="Times New Roman" w:cs="Times New Roman"/>
          <w:noProof/>
          <w:sz w:val="24"/>
          <w:szCs w:val="24"/>
        </w:rPr>
        <w:t>1</w:t>
      </w:r>
      <w:r w:rsidRPr="00456FF8">
        <w:rPr>
          <w:rFonts w:ascii="Times New Roman" w:hAnsi="Times New Roman" w:cs="Times New Roman"/>
          <w:noProof/>
          <w:sz w:val="24"/>
          <w:szCs w:val="24"/>
        </w:rPr>
        <w:t>5]</w:t>
      </w:r>
      <w:r w:rsidRPr="00456FF8">
        <w:rPr>
          <w:rStyle w:val="ilfuvd"/>
          <w:rFonts w:ascii="Times New Roman" w:hAnsi="Times New Roman" w:cs="Times New Roman"/>
          <w:bCs/>
          <w:sz w:val="24"/>
          <w:szCs w:val="24"/>
        </w:rPr>
        <w:t xml:space="preserve">. </w:t>
      </w:r>
    </w:p>
    <w:p w:rsidR="00B94DB2" w:rsidRPr="00456FF8" w:rsidRDefault="00B94DB2" w:rsidP="00B94DB2">
      <w:pPr>
        <w:spacing w:line="480" w:lineRule="auto"/>
        <w:jc w:val="both"/>
        <w:rPr>
          <w:rFonts w:ascii="Times New Roman" w:hAnsi="Times New Roman" w:cs="Times New Roman"/>
          <w:i/>
          <w:sz w:val="24"/>
          <w:szCs w:val="24"/>
        </w:rPr>
      </w:pP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i/>
          <w:sz w:val="24"/>
          <w:szCs w:val="24"/>
        </w:rPr>
        <w:t>Human resources for health</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A variety of providers were involved in maternal and newborn referrals, but few details were available regarding their experience and training </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1, 40, 30, 31, 33, 36-38, 42, 46]. Three papers reported that midwives and nurses had between two and 12.5 years of experience in their positions </w:t>
      </w:r>
      <w:r w:rsidRPr="00456FF8">
        <w:rPr>
          <w:rFonts w:ascii="Times New Roman" w:hAnsi="Times New Roman" w:cs="Times New Roman"/>
          <w:noProof/>
          <w:sz w:val="24"/>
          <w:szCs w:val="24"/>
        </w:rPr>
        <w:t>[36, 38]</w:t>
      </w:r>
      <w:r w:rsidRPr="00456FF8">
        <w:rPr>
          <w:rFonts w:ascii="Times New Roman" w:hAnsi="Times New Roman" w:cs="Times New Roman"/>
          <w:sz w:val="24"/>
          <w:szCs w:val="24"/>
        </w:rPr>
        <w:t xml:space="preserve"> and doctors and nurses with midwifery training had at least 6 years </w:t>
      </w:r>
      <w:r w:rsidRPr="00456FF8">
        <w:rPr>
          <w:rFonts w:ascii="Times New Roman" w:hAnsi="Times New Roman" w:cs="Times New Roman"/>
          <w:noProof/>
          <w:sz w:val="24"/>
          <w:szCs w:val="24"/>
        </w:rPr>
        <w:t>[31]</w:t>
      </w:r>
      <w:r w:rsidRPr="00456FF8">
        <w:rPr>
          <w:rFonts w:ascii="Times New Roman" w:hAnsi="Times New Roman" w:cs="Times New Roman"/>
          <w:sz w:val="24"/>
          <w:szCs w:val="24"/>
        </w:rPr>
        <w:t>.</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In </w:t>
      </w:r>
      <w:r>
        <w:rPr>
          <w:rFonts w:ascii="Times New Roman" w:hAnsi="Times New Roman" w:cs="Times New Roman"/>
          <w:sz w:val="24"/>
          <w:szCs w:val="24"/>
        </w:rPr>
        <w:t>14</w:t>
      </w:r>
      <w:r w:rsidRPr="00456FF8">
        <w:rPr>
          <w:rFonts w:ascii="Times New Roman" w:hAnsi="Times New Roman" w:cs="Times New Roman"/>
          <w:sz w:val="24"/>
          <w:szCs w:val="24"/>
        </w:rPr>
        <w:t xml:space="preserve"> government health facilities in Tanzania,</w:t>
      </w:r>
      <w:r w:rsidRPr="00456FF8" w:rsidDel="00DA7B5C">
        <w:rPr>
          <w:rFonts w:ascii="Times New Roman" w:hAnsi="Times New Roman" w:cs="Times New Roman"/>
          <w:sz w:val="24"/>
          <w:szCs w:val="24"/>
        </w:rPr>
        <w:t xml:space="preserve"> </w:t>
      </w:r>
      <w:r w:rsidRPr="00456FF8">
        <w:rPr>
          <w:rFonts w:ascii="Times New Roman" w:hAnsi="Times New Roman" w:cs="Times New Roman"/>
          <w:sz w:val="24"/>
          <w:szCs w:val="24"/>
        </w:rPr>
        <w:t xml:space="preserve">17% of 115 healthcare providers (nurses with or without midwifery training, and medical doctors) could correctly diagnose post-partum haemorrhage (blood loss ≥500 ml, or blood loss of 500 ml with shock symptoms) </w:t>
      </w:r>
      <w:r w:rsidRPr="00456FF8">
        <w:rPr>
          <w:rFonts w:ascii="Times New Roman" w:hAnsi="Times New Roman" w:cs="Times New Roman"/>
          <w:noProof/>
          <w:sz w:val="24"/>
          <w:szCs w:val="24"/>
        </w:rPr>
        <w:t>[31]</w:t>
      </w:r>
      <w:r w:rsidRPr="00456FF8">
        <w:rPr>
          <w:rFonts w:ascii="Times New Roman" w:hAnsi="Times New Roman" w:cs="Times New Roman"/>
          <w:sz w:val="24"/>
          <w:szCs w:val="24"/>
        </w:rPr>
        <w:t xml:space="preserve">. Almost all healthcare providers (98.3%) knew that misoprostol can be used for post-partum haemorrhage (PPH), but 62.6% were able to state the recommended dose (600 μg) and only 36.5% were able to prescribe it, because it was not always available </w:t>
      </w:r>
      <w:r w:rsidRPr="00456FF8">
        <w:rPr>
          <w:rFonts w:ascii="Times New Roman" w:hAnsi="Times New Roman" w:cs="Times New Roman"/>
          <w:noProof/>
          <w:sz w:val="24"/>
          <w:szCs w:val="24"/>
        </w:rPr>
        <w:t>[31]</w:t>
      </w:r>
      <w:r w:rsidRPr="00456FF8">
        <w:rPr>
          <w:rFonts w:ascii="Times New Roman" w:hAnsi="Times New Roman" w:cs="Times New Roman"/>
          <w:sz w:val="24"/>
          <w:szCs w:val="24"/>
        </w:rPr>
        <w:t>. No significant differences were found in the mean scores of the PPH-related knowledge between providers who had more than six years of experience or less.</w:t>
      </w:r>
    </w:p>
    <w:p w:rsidR="00B94DB2" w:rsidRPr="00456FF8" w:rsidRDefault="00B94DB2" w:rsidP="00B94DB2">
      <w:pPr>
        <w:spacing w:line="480" w:lineRule="auto"/>
        <w:jc w:val="both"/>
        <w:rPr>
          <w:rFonts w:ascii="Times New Roman" w:hAnsi="Times New Roman" w:cs="Times New Roman"/>
          <w:sz w:val="24"/>
          <w:szCs w:val="24"/>
        </w:rPr>
      </w:pPr>
      <w:r>
        <w:rPr>
          <w:rFonts w:ascii="Times New Roman" w:hAnsi="Times New Roman" w:cs="Times New Roman"/>
          <w:sz w:val="24"/>
          <w:szCs w:val="24"/>
        </w:rPr>
        <w:t>268 of 350 (76.6%) w</w:t>
      </w:r>
      <w:r w:rsidRPr="00456FF8">
        <w:rPr>
          <w:rFonts w:ascii="Times New Roman" w:hAnsi="Times New Roman" w:cs="Times New Roman"/>
          <w:sz w:val="24"/>
          <w:szCs w:val="24"/>
        </w:rPr>
        <w:t xml:space="preserve">omen who had been referred to a higher level facility in Ghana reported that healthcare providers were competent enough to solve their problems, however, details about providers’ competencies were not explained </w:t>
      </w:r>
      <w:r w:rsidRPr="00456FF8">
        <w:rPr>
          <w:rFonts w:ascii="Times New Roman" w:hAnsi="Times New Roman" w:cs="Times New Roman"/>
          <w:noProof/>
          <w:sz w:val="24"/>
          <w:szCs w:val="24"/>
        </w:rPr>
        <w:t>[40]</w:t>
      </w:r>
      <w:r w:rsidRPr="00456FF8">
        <w:rPr>
          <w:rFonts w:ascii="Times New Roman" w:hAnsi="Times New Roman" w:cs="Times New Roman"/>
          <w:sz w:val="24"/>
          <w:szCs w:val="24"/>
        </w:rPr>
        <w:t xml:space="preserve">. In Kwara State in Nigeria, 128 (79.0%) Traditional Birth Attendants (TBAs) indicated that they did not refer in a timely manner </w:t>
      </w:r>
      <w:r w:rsidRPr="00456FF8">
        <w:rPr>
          <w:rFonts w:ascii="Times New Roman" w:hAnsi="Times New Roman" w:cs="Times New Roman"/>
          <w:noProof/>
          <w:sz w:val="24"/>
          <w:szCs w:val="24"/>
        </w:rPr>
        <w:t>[30]</w:t>
      </w:r>
      <w:r w:rsidRPr="00456FF8">
        <w:rPr>
          <w:rFonts w:ascii="Times New Roman" w:hAnsi="Times New Roman" w:cs="Times New Roman"/>
          <w:sz w:val="24"/>
          <w:szCs w:val="24"/>
        </w:rPr>
        <w:t xml:space="preserve">. </w:t>
      </w:r>
      <w:r>
        <w:rPr>
          <w:rFonts w:ascii="Times New Roman" w:hAnsi="Times New Roman" w:cs="Times New Roman"/>
          <w:sz w:val="24"/>
          <w:szCs w:val="24"/>
        </w:rPr>
        <w:t xml:space="preserve"> These were untrained TBAs who acquired their skills through self-initiation or inheritance. </w:t>
      </w:r>
      <w:r w:rsidRPr="00456FF8">
        <w:rPr>
          <w:rFonts w:ascii="Times New Roman" w:hAnsi="Times New Roman" w:cs="Times New Roman"/>
          <w:sz w:val="24"/>
          <w:szCs w:val="24"/>
        </w:rPr>
        <w:t xml:space="preserve">Nine of the twenty TBAs who had had at least one supervisory visit by a qualified provider were able to conduct appropriate referral. In addition, nine out of the thirteen TBAs who had attended more than one training course referred women with complications in an appropriate manner </w:t>
      </w:r>
      <w:r w:rsidRPr="00456FF8">
        <w:rPr>
          <w:rFonts w:ascii="Times New Roman" w:hAnsi="Times New Roman" w:cs="Times New Roman"/>
          <w:noProof/>
          <w:sz w:val="24"/>
          <w:szCs w:val="24"/>
        </w:rPr>
        <w:t>[30]</w:t>
      </w:r>
      <w:r w:rsidRPr="00456FF8">
        <w:rPr>
          <w:rFonts w:ascii="Times New Roman" w:hAnsi="Times New Roman" w:cs="Times New Roman"/>
          <w:sz w:val="24"/>
          <w:szCs w:val="24"/>
        </w:rPr>
        <w:t xml:space="preserve">.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noProof/>
          <w:sz w:val="24"/>
          <w:szCs w:val="24"/>
        </w:rPr>
        <w:t>Okafor, Arinze‑Onyia [8]</w:t>
      </w:r>
      <w:r w:rsidRPr="00456FF8">
        <w:rPr>
          <w:rFonts w:ascii="Times New Roman" w:hAnsi="Times New Roman" w:cs="Times New Roman"/>
          <w:sz w:val="24"/>
          <w:szCs w:val="24"/>
        </w:rPr>
        <w:t xml:space="preserve"> also reported that155 (75.6%) trained TBAs in Nigeria delayed referral for women who showed signs of difficulty in childbirth for more than 12 hours </w:t>
      </w:r>
      <w:r w:rsidRPr="00456FF8">
        <w:rPr>
          <w:rFonts w:ascii="Times New Roman" w:hAnsi="Times New Roman" w:cs="Times New Roman"/>
          <w:noProof/>
          <w:sz w:val="24"/>
          <w:szCs w:val="24"/>
        </w:rPr>
        <w:t>[8]</w:t>
      </w:r>
      <w:r w:rsidRPr="00456FF8">
        <w:rPr>
          <w:rFonts w:ascii="Times New Roman" w:hAnsi="Times New Roman" w:cs="Times New Roman"/>
          <w:sz w:val="24"/>
          <w:szCs w:val="24"/>
        </w:rPr>
        <w:t xml:space="preserve">. A senior manager in a Reproductive Health and Midwifery Department in South Sudan complained about the competency of TBAs: </w:t>
      </w:r>
    </w:p>
    <w:p w:rsidR="00B94DB2" w:rsidRPr="00456FF8" w:rsidRDefault="00B94DB2" w:rsidP="00B94DB2">
      <w:pPr>
        <w:pStyle w:val="ListParagraph"/>
        <w:spacing w:line="480" w:lineRule="auto"/>
        <w:jc w:val="both"/>
        <w:rPr>
          <w:rFonts w:ascii="Times New Roman" w:hAnsi="Times New Roman" w:cs="Times New Roman"/>
          <w:sz w:val="24"/>
          <w:szCs w:val="24"/>
        </w:rPr>
      </w:pPr>
      <w:r w:rsidRPr="00456FF8">
        <w:rPr>
          <w:rFonts w:ascii="Times New Roman" w:hAnsi="Times New Roman" w:cs="Times New Roman"/>
          <w:i/>
          <w:sz w:val="24"/>
          <w:szCs w:val="24"/>
        </w:rPr>
        <w:t>In the past, TBAs have arrived in Renk hospital with pregnant women with their babies partly delivered; parts of the foetus, such as the head, the arm or the leg, outside the woman's body and the rest of the body still inside</w:t>
      </w:r>
      <w:r w:rsidRPr="00456FF8">
        <w:rPr>
          <w:rFonts w:ascii="Times New Roman" w:hAnsi="Times New Roman" w:cs="Times New Roman"/>
          <w:sz w:val="24"/>
          <w:szCs w:val="24"/>
        </w:rPr>
        <w:t xml:space="preserve">. (Senior Manager) </w:t>
      </w:r>
      <w:r w:rsidRPr="00456FF8">
        <w:rPr>
          <w:rFonts w:ascii="Times New Roman" w:hAnsi="Times New Roman" w:cs="Times New Roman"/>
          <w:noProof/>
          <w:sz w:val="24"/>
          <w:szCs w:val="24"/>
        </w:rPr>
        <w:t>[43]</w:t>
      </w:r>
      <w:r w:rsidRPr="00456FF8">
        <w:rPr>
          <w:rFonts w:ascii="Times New Roman" w:hAnsi="Times New Roman" w:cs="Times New Roman"/>
          <w:sz w:val="24"/>
          <w:szCs w:val="24"/>
        </w:rPr>
        <w:t>.</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Poor skills of lower level doctors and midwives were reported in Ghana: </w:t>
      </w:r>
    </w:p>
    <w:p w:rsidR="00B94DB2" w:rsidRPr="00456FF8" w:rsidRDefault="00B94DB2" w:rsidP="00B94DB2">
      <w:pPr>
        <w:pStyle w:val="ListParagraph"/>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w:t>
      </w:r>
      <w:r w:rsidRPr="00456FF8">
        <w:rPr>
          <w:rFonts w:ascii="Times New Roman" w:hAnsi="Times New Roman" w:cs="Times New Roman"/>
          <w:i/>
          <w:sz w:val="24"/>
          <w:szCs w:val="24"/>
        </w:rPr>
        <w:t>Last time a pregnant woman came here…. And I was saying but there is a doctor at your place, so why did you rush here without a midwife accompanying you, and she said ‘Auntie, I had been admitted there for a long time. And each time the doctor came, he said let's wait a bit more, and I was experiencing a lot of discomfort, and insisted that they discharge me, so they ﬁnally reluctantly discharged me.' And when she arrived here, true, it was twins. But one was IUFD (macerated) already. So she was able to get the ﬁrst twin, but the second twin was macerated.</w:t>
      </w:r>
      <w:r w:rsidRPr="00456FF8">
        <w:rPr>
          <w:rFonts w:ascii="Times New Roman" w:hAnsi="Times New Roman" w:cs="Times New Roman"/>
          <w:sz w:val="24"/>
          <w:szCs w:val="24"/>
        </w:rPr>
        <w:t xml:space="preserve"> (Midwife, District Hospital). </w:t>
      </w:r>
    </w:p>
    <w:p w:rsidR="00B94DB2" w:rsidRPr="00456FF8" w:rsidRDefault="00B94DB2" w:rsidP="00B94DB2">
      <w:pPr>
        <w:pStyle w:val="ListParagraph"/>
        <w:spacing w:line="480" w:lineRule="auto"/>
        <w:rPr>
          <w:rFonts w:ascii="Times New Roman" w:hAnsi="Times New Roman" w:cs="Times New Roman"/>
          <w:sz w:val="24"/>
          <w:szCs w:val="24"/>
        </w:rPr>
      </w:pPr>
    </w:p>
    <w:p w:rsidR="00B94DB2" w:rsidRPr="00456FF8" w:rsidRDefault="00B94DB2" w:rsidP="00B94DB2">
      <w:pPr>
        <w:pStyle w:val="ListParagraph"/>
        <w:spacing w:line="480" w:lineRule="auto"/>
        <w:ind w:left="0"/>
        <w:rPr>
          <w:rFonts w:ascii="Times New Roman" w:hAnsi="Times New Roman" w:cs="Times New Roman"/>
          <w:sz w:val="24"/>
          <w:szCs w:val="24"/>
        </w:rPr>
      </w:pPr>
      <w:r w:rsidRPr="00456FF8">
        <w:rPr>
          <w:rFonts w:ascii="Times New Roman" w:hAnsi="Times New Roman" w:cs="Times New Roman"/>
          <w:sz w:val="24"/>
          <w:szCs w:val="24"/>
        </w:rPr>
        <w:t>Health professionals noted the need for ongoing professional development. One midwife said:</w:t>
      </w:r>
    </w:p>
    <w:p w:rsidR="00B94DB2" w:rsidRPr="00456FF8" w:rsidRDefault="00B94DB2" w:rsidP="00B94DB2">
      <w:pPr>
        <w:pStyle w:val="ListParagraph"/>
        <w:spacing w:line="480" w:lineRule="auto"/>
        <w:jc w:val="both"/>
        <w:rPr>
          <w:rFonts w:ascii="Times New Roman" w:hAnsi="Times New Roman" w:cs="Times New Roman"/>
          <w:sz w:val="24"/>
          <w:szCs w:val="24"/>
        </w:rPr>
      </w:pPr>
      <w:r w:rsidRPr="00456FF8">
        <w:rPr>
          <w:rFonts w:ascii="Times New Roman" w:hAnsi="Times New Roman" w:cs="Times New Roman"/>
          <w:i/>
          <w:sz w:val="24"/>
          <w:szCs w:val="24"/>
        </w:rPr>
        <w:t xml:space="preserve">“They (staff in the district hospital) need refresher courses... They should allow them to go to workshops so that they will see what is going on…. Me, I always learn from my junior nurses and midwives because I joined it [midwifery] about 10 years ago, and things are changing. Even the instrument[s] we are using [are] changing.” </w:t>
      </w:r>
      <w:r w:rsidRPr="00456FF8">
        <w:rPr>
          <w:rFonts w:ascii="Times New Roman" w:hAnsi="Times New Roman" w:cs="Times New Roman"/>
          <w:sz w:val="24"/>
          <w:szCs w:val="24"/>
        </w:rPr>
        <w:t xml:space="preserve">(Midwife, Health Centre) </w:t>
      </w:r>
      <w:r w:rsidRPr="00456FF8">
        <w:rPr>
          <w:rFonts w:ascii="Times New Roman" w:hAnsi="Times New Roman" w:cs="Times New Roman"/>
          <w:noProof/>
          <w:sz w:val="24"/>
          <w:szCs w:val="24"/>
        </w:rPr>
        <w:t>[37]</w:t>
      </w:r>
      <w:r w:rsidRPr="00456FF8">
        <w:rPr>
          <w:rFonts w:ascii="Times New Roman" w:hAnsi="Times New Roman" w:cs="Times New Roman"/>
          <w:sz w:val="24"/>
          <w:szCs w:val="24"/>
        </w:rPr>
        <w:t xml:space="preserve">.  </w:t>
      </w:r>
    </w:p>
    <w:p w:rsidR="00B94DB2" w:rsidRPr="00456FF8" w:rsidRDefault="00B94DB2" w:rsidP="00B94DB2">
      <w:pPr>
        <w:spacing w:line="480" w:lineRule="auto"/>
        <w:jc w:val="both"/>
        <w:rPr>
          <w:rFonts w:ascii="Times New Roman" w:hAnsi="Times New Roman" w:cs="Times New Roman"/>
          <w:i/>
          <w:sz w:val="24"/>
          <w:szCs w:val="24"/>
        </w:rPr>
      </w:pPr>
      <w:r w:rsidRPr="00456FF8">
        <w:rPr>
          <w:rFonts w:ascii="Times New Roman" w:hAnsi="Times New Roman" w:cs="Times New Roman"/>
          <w:i/>
          <w:sz w:val="24"/>
          <w:szCs w:val="24"/>
        </w:rPr>
        <w:t>Maternity information systems</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Some health facilities in Ghana routinely used logbooks, care plans, referral letters, referral forms or slips correctly as required by the national referral guidelines </w:t>
      </w:r>
      <w:r w:rsidRPr="00456FF8">
        <w:rPr>
          <w:rFonts w:ascii="Times New Roman" w:hAnsi="Times New Roman" w:cs="Times New Roman"/>
          <w:noProof/>
          <w:sz w:val="24"/>
          <w:szCs w:val="24"/>
        </w:rPr>
        <w:t>[15]</w:t>
      </w:r>
      <w:r w:rsidRPr="00456FF8">
        <w:rPr>
          <w:rFonts w:ascii="Times New Roman" w:hAnsi="Times New Roman" w:cs="Times New Roman"/>
          <w:sz w:val="24"/>
          <w:szCs w:val="24"/>
        </w:rPr>
        <w:t>. Poor documentation relating to referral was reported in Ghana where only six out of 11 sampled health facilities had referral registers and details concerning indications and treatment in the referring facilities, current status and treatment in the receiving facility were lacking</w:t>
      </w:r>
      <w:r w:rsidRPr="00456FF8">
        <w:rPr>
          <w:rFonts w:ascii="Times New Roman" w:hAnsi="Times New Roman" w:cs="Times New Roman"/>
          <w:noProof/>
          <w:sz w:val="24"/>
          <w:szCs w:val="24"/>
        </w:rPr>
        <w:t xml:space="preserve"> and o</w:t>
      </w:r>
      <w:r w:rsidRPr="00456FF8">
        <w:rPr>
          <w:rFonts w:ascii="Times New Roman" w:hAnsi="Times New Roman" w:cs="Times New Roman"/>
          <w:sz w:val="24"/>
          <w:szCs w:val="24"/>
        </w:rPr>
        <w:t xml:space="preserve">nly one EmOC facility had a computerised referral information system </w:t>
      </w:r>
      <w:r w:rsidRPr="00456FF8">
        <w:rPr>
          <w:rFonts w:ascii="Times New Roman" w:hAnsi="Times New Roman" w:cs="Times New Roman"/>
          <w:noProof/>
          <w:sz w:val="24"/>
          <w:szCs w:val="24"/>
        </w:rPr>
        <w:t>[37, 42]</w:t>
      </w:r>
      <w:r w:rsidRPr="00456FF8">
        <w:rPr>
          <w:rFonts w:ascii="Times New Roman" w:hAnsi="Times New Roman" w:cs="Times New Roman"/>
          <w:sz w:val="24"/>
          <w:szCs w:val="24"/>
        </w:rPr>
        <w:t xml:space="preserve">.  </w:t>
      </w:r>
    </w:p>
    <w:p w:rsidR="00B94DB2" w:rsidRPr="00456FF8" w:rsidRDefault="00B94DB2" w:rsidP="00B94DB2">
      <w:pPr>
        <w:spacing w:line="480" w:lineRule="auto"/>
        <w:jc w:val="both"/>
        <w:rPr>
          <w:rFonts w:ascii="Times New Roman" w:hAnsi="Times New Roman" w:cs="Times New Roman"/>
          <w:i/>
          <w:sz w:val="24"/>
          <w:szCs w:val="24"/>
        </w:rPr>
      </w:pPr>
      <w:r w:rsidRPr="00456FF8">
        <w:rPr>
          <w:rFonts w:ascii="Times New Roman" w:hAnsi="Times New Roman" w:cs="Times New Roman"/>
          <w:i/>
          <w:sz w:val="24"/>
          <w:szCs w:val="24"/>
        </w:rPr>
        <w:t>Medicines and equipment</w:t>
      </w:r>
    </w:p>
    <w:p w:rsidR="00B94DB2" w:rsidRPr="00456FF8" w:rsidRDefault="00B94DB2" w:rsidP="00B94DB2">
      <w:pPr>
        <w:spacing w:line="480" w:lineRule="auto"/>
        <w:jc w:val="both"/>
        <w:rPr>
          <w:rFonts w:ascii="Times New Roman" w:hAnsi="Times New Roman" w:cs="Times New Roman"/>
          <w:noProof/>
          <w:sz w:val="24"/>
          <w:szCs w:val="24"/>
        </w:rPr>
      </w:pPr>
      <w:r w:rsidRPr="00456FF8">
        <w:rPr>
          <w:rFonts w:ascii="Times New Roman" w:hAnsi="Times New Roman" w:cs="Times New Roman"/>
          <w:sz w:val="24"/>
          <w:szCs w:val="24"/>
        </w:rPr>
        <w:t xml:space="preserve">In the seventeen studies, four included information concerning medicines and equipment such as misoprostol </w:t>
      </w:r>
      <w:r w:rsidRPr="00456FF8">
        <w:rPr>
          <w:rFonts w:ascii="Times New Roman" w:hAnsi="Times New Roman" w:cs="Times New Roman"/>
          <w:noProof/>
          <w:sz w:val="24"/>
          <w:szCs w:val="24"/>
        </w:rPr>
        <w:t>[1, 31, 39, 45]</w:t>
      </w:r>
      <w:r w:rsidRPr="00456FF8">
        <w:rPr>
          <w:rFonts w:ascii="Times New Roman" w:hAnsi="Times New Roman" w:cs="Times New Roman"/>
          <w:sz w:val="24"/>
          <w:szCs w:val="24"/>
        </w:rPr>
        <w:t>. A decline in correct partograph use was reported in Ghana</w:t>
      </w:r>
      <w:r w:rsidRPr="00456FF8">
        <w:rPr>
          <w:rFonts w:ascii="Times New Roman" w:hAnsi="Times New Roman" w:cs="Times New Roman"/>
          <w:noProof/>
          <w:sz w:val="24"/>
          <w:szCs w:val="24"/>
        </w:rPr>
        <w:t xml:space="preserve"> [1]</w:t>
      </w:r>
      <w:r w:rsidRPr="00456FF8">
        <w:rPr>
          <w:rFonts w:ascii="Times New Roman" w:hAnsi="Times New Roman" w:cs="Times New Roman"/>
          <w:sz w:val="24"/>
          <w:szCs w:val="24"/>
        </w:rPr>
        <w:t xml:space="preserve">. Audit in peripheral health facilities in Angola revealed poor quality of partographs without further detail </w:t>
      </w:r>
      <w:r w:rsidRPr="00456FF8">
        <w:rPr>
          <w:rFonts w:ascii="Times New Roman" w:hAnsi="Times New Roman" w:cs="Times New Roman"/>
          <w:noProof/>
          <w:sz w:val="24"/>
          <w:szCs w:val="24"/>
        </w:rPr>
        <w:t>[34]</w:t>
      </w:r>
      <w:r w:rsidRPr="00456FF8">
        <w:rPr>
          <w:rFonts w:ascii="Times New Roman" w:hAnsi="Times New Roman" w:cs="Times New Roman"/>
          <w:sz w:val="24"/>
          <w:szCs w:val="24"/>
        </w:rPr>
        <w:t>. In Tanzani</w:t>
      </w:r>
      <w:r w:rsidRPr="00456FF8">
        <w:rPr>
          <w:rFonts w:ascii="Times New Roman" w:eastAsia="Segoe UI" w:hAnsi="Times New Roman" w:cs="Times New Roman"/>
          <w:sz w:val="24"/>
          <w:szCs w:val="24"/>
        </w:rPr>
        <w:t xml:space="preserve">a, </w:t>
      </w:r>
      <w:r w:rsidRPr="00456FF8">
        <w:rPr>
          <w:rFonts w:ascii="Times New Roman" w:hAnsi="Times New Roman" w:cs="Times New Roman"/>
          <w:sz w:val="24"/>
          <w:szCs w:val="24"/>
        </w:rPr>
        <w:t>midwives correctly used catheters to enhance referral decision making:</w:t>
      </w:r>
    </w:p>
    <w:p w:rsidR="00B94DB2" w:rsidRPr="00456FF8" w:rsidRDefault="00B94DB2" w:rsidP="00B94DB2">
      <w:pPr>
        <w:spacing w:line="480" w:lineRule="auto"/>
        <w:ind w:left="720"/>
        <w:jc w:val="both"/>
        <w:rPr>
          <w:rFonts w:ascii="Times New Roman" w:hAnsi="Times New Roman" w:cs="Times New Roman"/>
          <w:sz w:val="24"/>
          <w:szCs w:val="24"/>
        </w:rPr>
      </w:pPr>
      <w:r w:rsidRPr="00456FF8">
        <w:rPr>
          <w:rFonts w:ascii="Times New Roman" w:eastAsia="Segoe UI" w:hAnsi="Times New Roman" w:cs="Times New Roman"/>
          <w:i/>
          <w:sz w:val="24"/>
          <w:szCs w:val="24"/>
        </w:rPr>
        <w:t>“When she put in the catheter, we saw some blood starting to pass. That is the sign of obstructed labour. That’s why I decided to refer immediately</w:t>
      </w:r>
      <w:r w:rsidRPr="00456FF8">
        <w:rPr>
          <w:rFonts w:ascii="Times New Roman" w:eastAsia="Segoe UI" w:hAnsi="Times New Roman" w:cs="Times New Roman"/>
          <w:sz w:val="24"/>
          <w:szCs w:val="24"/>
        </w:rPr>
        <w:t xml:space="preserve">.” (F) </w:t>
      </w:r>
      <w:r w:rsidRPr="00456FF8">
        <w:rPr>
          <w:rFonts w:ascii="Times New Roman" w:eastAsia="Segoe UI" w:hAnsi="Times New Roman" w:cs="Times New Roman"/>
          <w:noProof/>
          <w:sz w:val="24"/>
          <w:szCs w:val="24"/>
        </w:rPr>
        <w:t>[38]</w:t>
      </w:r>
      <w:r w:rsidRPr="00456FF8">
        <w:rPr>
          <w:rFonts w:ascii="Times New Roman" w:eastAsia="Segoe UI" w:hAnsi="Times New Roman" w:cs="Times New Roman"/>
          <w:sz w:val="24"/>
          <w:szCs w:val="24"/>
        </w:rPr>
        <w:t>.</w:t>
      </w:r>
    </w:p>
    <w:p w:rsidR="00B94DB2" w:rsidRPr="00456FF8" w:rsidRDefault="00B94DB2" w:rsidP="00B94DB2">
      <w:pPr>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 xml:space="preserve">Experience of referral service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None of the articles provided insights into cognition and emotional support aspects of referral</w:t>
      </w:r>
      <w:r w:rsidRPr="00456FF8">
        <w:rPr>
          <w:rFonts w:ascii="Times New Roman" w:hAnsi="Times New Roman" w:cs="Times New Roman"/>
          <w:i/>
          <w:sz w:val="24"/>
          <w:szCs w:val="24"/>
        </w:rPr>
        <w:t xml:space="preserve">. </w:t>
      </w:r>
      <w:r w:rsidRPr="00456FF8">
        <w:rPr>
          <w:rFonts w:ascii="Times New Roman" w:hAnsi="Times New Roman" w:cs="Times New Roman"/>
          <w:sz w:val="24"/>
          <w:szCs w:val="24"/>
        </w:rPr>
        <w:t xml:space="preserve">In Tanzania, some women in a primary health facility indicated that doctors were not readily available to check their progress and refer them to an EmOC facility, if necessary </w:t>
      </w:r>
      <w:r w:rsidRPr="00456FF8">
        <w:rPr>
          <w:rFonts w:ascii="Times New Roman" w:hAnsi="Times New Roman" w:cs="Times New Roman"/>
          <w:noProof/>
          <w:sz w:val="24"/>
          <w:szCs w:val="24"/>
        </w:rPr>
        <w:t>[41]</w:t>
      </w:r>
      <w:r w:rsidRPr="00456FF8">
        <w:rPr>
          <w:rFonts w:ascii="Times New Roman" w:hAnsi="Times New Roman" w:cs="Times New Roman"/>
          <w:sz w:val="24"/>
          <w:szCs w:val="24"/>
        </w:rPr>
        <w:t>. One woman narrated her story:</w:t>
      </w:r>
    </w:p>
    <w:p w:rsidR="00B94DB2" w:rsidRPr="00456FF8" w:rsidRDefault="00B94DB2" w:rsidP="00B94DB2">
      <w:pPr>
        <w:spacing w:line="480" w:lineRule="auto"/>
        <w:ind w:left="720"/>
        <w:jc w:val="both"/>
        <w:rPr>
          <w:rFonts w:ascii="Times New Roman" w:hAnsi="Times New Roman" w:cs="Times New Roman"/>
          <w:i/>
          <w:sz w:val="24"/>
          <w:szCs w:val="24"/>
        </w:rPr>
      </w:pPr>
      <w:r w:rsidRPr="00456FF8">
        <w:rPr>
          <w:rFonts w:ascii="Times New Roman" w:hAnsi="Times New Roman" w:cs="Times New Roman"/>
          <w:i/>
          <w:sz w:val="24"/>
          <w:szCs w:val="24"/>
        </w:rPr>
        <w:t xml:space="preserve">“When we got to the dispensary nurses told me to wait. At 8 pm labour pains became intense, I started pushing but the baby could not come out, and the doctor was not around. Next day I continued pushing the whole day again until at around 8 pm when the doctor came…” </w:t>
      </w:r>
      <w:r w:rsidRPr="00456FF8">
        <w:rPr>
          <w:rFonts w:ascii="Times New Roman" w:hAnsi="Times New Roman" w:cs="Times New Roman"/>
          <w:sz w:val="24"/>
          <w:szCs w:val="24"/>
        </w:rPr>
        <w:t>(Divorced, aged 33, Mbori</w:t>
      </w:r>
      <w:r>
        <w:rPr>
          <w:rFonts w:ascii="Times New Roman" w:hAnsi="Times New Roman" w:cs="Times New Roman"/>
          <w:sz w:val="24"/>
          <w:szCs w:val="24"/>
        </w:rPr>
        <w:t xml:space="preserve"> </w:t>
      </w:r>
      <w:r w:rsidRPr="00456FF8">
        <w:rPr>
          <w:rFonts w:ascii="Times New Roman" w:hAnsi="Times New Roman" w:cs="Times New Roman"/>
          <w:sz w:val="24"/>
          <w:szCs w:val="24"/>
        </w:rPr>
        <w:t>Dodoma),</w:t>
      </w:r>
      <w:r w:rsidRPr="00456FF8">
        <w:rPr>
          <w:rFonts w:ascii="Times New Roman" w:hAnsi="Times New Roman" w:cs="Times New Roman"/>
          <w:i/>
          <w:sz w:val="24"/>
          <w:szCs w:val="24"/>
        </w:rPr>
        <w:t xml:space="preserve"> </w:t>
      </w:r>
      <w:r w:rsidRPr="00456FF8">
        <w:rPr>
          <w:rFonts w:ascii="Times New Roman" w:hAnsi="Times New Roman" w:cs="Times New Roman"/>
          <w:noProof/>
          <w:sz w:val="24"/>
          <w:szCs w:val="24"/>
        </w:rPr>
        <w:t>[41]</w:t>
      </w:r>
      <w:r w:rsidRPr="00456FF8">
        <w:rPr>
          <w:rFonts w:ascii="Times New Roman" w:hAnsi="Times New Roman" w:cs="Times New Roman"/>
          <w:sz w:val="24"/>
          <w:szCs w:val="24"/>
        </w:rPr>
        <w:t xml:space="preserve">. </w:t>
      </w:r>
    </w:p>
    <w:p w:rsidR="00B94DB2" w:rsidRPr="00456FF8" w:rsidRDefault="00B94DB2" w:rsidP="00B94DB2">
      <w:pPr>
        <w:spacing w:line="480" w:lineRule="auto"/>
        <w:jc w:val="both"/>
        <w:rPr>
          <w:rFonts w:ascii="Times New Roman" w:hAnsi="Times New Roman" w:cs="Times New Roman"/>
          <w:i/>
          <w:sz w:val="24"/>
          <w:szCs w:val="24"/>
        </w:rPr>
      </w:pPr>
      <w:r w:rsidRPr="00456FF8">
        <w:rPr>
          <w:rFonts w:ascii="Times New Roman" w:hAnsi="Times New Roman" w:cs="Times New Roman"/>
          <w:sz w:val="24"/>
          <w:szCs w:val="24"/>
        </w:rPr>
        <w:t xml:space="preserve">Just over 10 percent (N= 390) of women in three health facilities in Accra Ghana indicated that poor attitudes of nurses were a source constraint to referral </w:t>
      </w:r>
      <w:r w:rsidRPr="00456FF8">
        <w:rPr>
          <w:rFonts w:ascii="Times New Roman" w:hAnsi="Times New Roman" w:cs="Times New Roman"/>
          <w:noProof/>
          <w:sz w:val="24"/>
          <w:szCs w:val="24"/>
        </w:rPr>
        <w:t>[42]</w:t>
      </w:r>
      <w:r w:rsidRPr="00456FF8">
        <w:rPr>
          <w:rFonts w:ascii="Times New Roman" w:hAnsi="Times New Roman" w:cs="Times New Roman"/>
          <w:sz w:val="24"/>
          <w:szCs w:val="24"/>
        </w:rPr>
        <w:t xml:space="preserve">. In three urban BEmOC facilities in Ghana 180  out of 390 women complained about costs while three women reported previous bad experiences as sources of dissatisfaction and constraints to referrals without further details [42]. </w:t>
      </w:r>
    </w:p>
    <w:p w:rsidR="00B94DB2" w:rsidRPr="00456FF8" w:rsidRDefault="00B94DB2" w:rsidP="00B94DB2">
      <w:pPr>
        <w:tabs>
          <w:tab w:val="left" w:pos="7760"/>
        </w:tabs>
        <w:spacing w:line="480" w:lineRule="auto"/>
        <w:jc w:val="both"/>
        <w:rPr>
          <w:rFonts w:ascii="Times New Roman" w:hAnsi="Times New Roman" w:cs="Times New Roman"/>
          <w:sz w:val="24"/>
          <w:szCs w:val="24"/>
        </w:rPr>
      </w:pPr>
      <w:r w:rsidRPr="00456FF8">
        <w:rPr>
          <w:rFonts w:ascii="Times New Roman" w:hAnsi="Times New Roman" w:cs="Times New Roman"/>
          <w:b/>
          <w:sz w:val="24"/>
          <w:szCs w:val="24"/>
        </w:rPr>
        <w:t>Socio-cultural factors affecting women’s adherence to referral</w:t>
      </w:r>
    </w:p>
    <w:p w:rsidR="00B94DB2" w:rsidRPr="00456FF8" w:rsidRDefault="00B94DB2" w:rsidP="00B94DB2">
      <w:pPr>
        <w:tabs>
          <w:tab w:val="left" w:pos="7760"/>
        </w:tabs>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While the framework did not include socio-cultural factors, these were identified as having an effect on a women's referral for care. In</w:t>
      </w:r>
      <w:r w:rsidRPr="00456FF8">
        <w:rPr>
          <w:rFonts w:ascii="Times New Roman" w:hAnsi="Times New Roman" w:cs="Times New Roman"/>
          <w:noProof/>
          <w:sz w:val="24"/>
          <w:szCs w:val="24"/>
        </w:rPr>
        <w:t xml:space="preserve"> </w:t>
      </w:r>
      <w:r w:rsidRPr="00456FF8">
        <w:rPr>
          <w:rFonts w:ascii="Times New Roman" w:hAnsi="Times New Roman" w:cs="Times New Roman"/>
          <w:sz w:val="24"/>
          <w:szCs w:val="24"/>
        </w:rPr>
        <w:t xml:space="preserve">Ghana socio-cultural beliefs relating to fear of blood transfusion and fear of death in higher level facilities affected women’s desire to travel to next level facilities </w:t>
      </w:r>
      <w:r w:rsidRPr="00456FF8">
        <w:rPr>
          <w:rFonts w:ascii="Times New Roman" w:hAnsi="Times New Roman" w:cs="Times New Roman"/>
          <w:noProof/>
          <w:sz w:val="24"/>
          <w:szCs w:val="24"/>
        </w:rPr>
        <w:t>[37]</w:t>
      </w:r>
      <w:r w:rsidRPr="00456FF8">
        <w:rPr>
          <w:rFonts w:ascii="Times New Roman" w:hAnsi="Times New Roman" w:cs="Times New Roman"/>
          <w:sz w:val="24"/>
          <w:szCs w:val="24"/>
        </w:rPr>
        <w:t>.  In a CEmOC health facility</w:t>
      </w:r>
      <w:r w:rsidRPr="00456FF8" w:rsidDel="00D07993">
        <w:rPr>
          <w:rFonts w:ascii="Times New Roman" w:hAnsi="Times New Roman" w:cs="Times New Roman"/>
          <w:sz w:val="24"/>
          <w:szCs w:val="24"/>
        </w:rPr>
        <w:t xml:space="preserve"> </w:t>
      </w:r>
      <w:r w:rsidRPr="00456FF8">
        <w:rPr>
          <w:rFonts w:ascii="Times New Roman" w:hAnsi="Times New Roman" w:cs="Times New Roman"/>
          <w:sz w:val="24"/>
          <w:szCs w:val="24"/>
        </w:rPr>
        <w:t xml:space="preserve">in Ghana, 720 (57%) women had to consult their husbands for permission to follow the advice of health professionals </w:t>
      </w:r>
      <w:r w:rsidRPr="00456FF8">
        <w:rPr>
          <w:rFonts w:ascii="Times New Roman" w:hAnsi="Times New Roman" w:cs="Times New Roman"/>
          <w:noProof/>
          <w:sz w:val="24"/>
          <w:szCs w:val="24"/>
        </w:rPr>
        <w:t>[40]</w:t>
      </w:r>
      <w:r w:rsidRPr="00456FF8">
        <w:rPr>
          <w:rFonts w:ascii="Times New Roman" w:hAnsi="Times New Roman" w:cs="Times New Roman"/>
          <w:sz w:val="24"/>
          <w:szCs w:val="24"/>
        </w:rPr>
        <w:t>.</w:t>
      </w:r>
      <w:r w:rsidRPr="00456FF8">
        <w:rPr>
          <w:rFonts w:ascii="Times New Roman" w:hAnsi="Times New Roman" w:cs="Times New Roman"/>
          <w:noProof/>
          <w:sz w:val="24"/>
          <w:szCs w:val="24"/>
        </w:rPr>
        <w:t xml:space="preserve"> S</w:t>
      </w:r>
      <w:r w:rsidRPr="00456FF8">
        <w:rPr>
          <w:rFonts w:ascii="Times New Roman" w:hAnsi="Times New Roman" w:cs="Times New Roman"/>
          <w:sz w:val="24"/>
          <w:szCs w:val="24"/>
        </w:rPr>
        <w:t xml:space="preserve">ome women in rural Tanzania with obstetric fistula indicated that the decision to travel to the next facility was made by their uncles, grandmothers, husbands and mothers-in-law </w:t>
      </w:r>
      <w:r w:rsidRPr="00456FF8">
        <w:rPr>
          <w:rFonts w:ascii="Times New Roman" w:hAnsi="Times New Roman" w:cs="Times New Roman"/>
          <w:noProof/>
          <w:sz w:val="24"/>
          <w:szCs w:val="24"/>
        </w:rPr>
        <w:t>[41]</w:t>
      </w:r>
      <w:r w:rsidRPr="00456FF8">
        <w:rPr>
          <w:rFonts w:ascii="Times New Roman" w:hAnsi="Times New Roman" w:cs="Times New Roman"/>
          <w:sz w:val="24"/>
          <w:szCs w:val="24"/>
        </w:rPr>
        <w:t xml:space="preserve">. </w:t>
      </w:r>
    </w:p>
    <w:p w:rsidR="00B94DB2" w:rsidRPr="00456FF8" w:rsidRDefault="00B94DB2" w:rsidP="00B94DB2">
      <w:pPr>
        <w:tabs>
          <w:tab w:val="left" w:pos="5840"/>
        </w:tabs>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Discussion</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Mere existence of referral guidelines does not imply their full application in maternal and newborn referrals SSA LLMICs. Application of guidelines is hindered by heavy workloads, low competence of healthcare providers and non-availability of ambulances </w:t>
      </w:r>
      <w:r w:rsidRPr="00456FF8">
        <w:rPr>
          <w:rFonts w:ascii="Times New Roman" w:hAnsi="Times New Roman" w:cs="Times New Roman"/>
          <w:noProof/>
          <w:sz w:val="24"/>
          <w:szCs w:val="24"/>
        </w:rPr>
        <w:t>[13, 37, 43]</w:t>
      </w:r>
      <w:r w:rsidRPr="00456FF8">
        <w:rPr>
          <w:rFonts w:ascii="Times New Roman" w:hAnsi="Times New Roman" w:cs="Times New Roman"/>
          <w:sz w:val="24"/>
          <w:szCs w:val="24"/>
        </w:rPr>
        <w:t xml:space="preserve">. This requires greater policy attention and reaffirms the lack of competent staff and essential medicines for managing obstetric conditions </w:t>
      </w:r>
      <w:r w:rsidRPr="00456FF8">
        <w:rPr>
          <w:rFonts w:ascii="Times New Roman" w:hAnsi="Times New Roman" w:cs="Times New Roman"/>
          <w:noProof/>
          <w:sz w:val="24"/>
          <w:szCs w:val="24"/>
        </w:rPr>
        <w:t>[4</w:t>
      </w:r>
      <w:r>
        <w:rPr>
          <w:rFonts w:ascii="Times New Roman" w:hAnsi="Times New Roman" w:cs="Times New Roman"/>
          <w:noProof/>
          <w:sz w:val="24"/>
          <w:szCs w:val="24"/>
        </w:rPr>
        <w:t>5</w:t>
      </w:r>
      <w:r w:rsidRPr="00456FF8">
        <w:rPr>
          <w:rFonts w:ascii="Times New Roman" w:hAnsi="Times New Roman" w:cs="Times New Roman"/>
          <w:noProof/>
          <w:sz w:val="24"/>
          <w:szCs w:val="24"/>
        </w:rPr>
        <w:t>-</w:t>
      </w:r>
      <w:r>
        <w:rPr>
          <w:rFonts w:ascii="Times New Roman" w:hAnsi="Times New Roman" w:cs="Times New Roman"/>
          <w:noProof/>
          <w:sz w:val="24"/>
          <w:szCs w:val="24"/>
        </w:rPr>
        <w:t>48</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Strategies such as task sharing may be useful and involves upscaling of lower cadres of staff to conduct assessments to refer promptly or immediately receive women for treatment </w:t>
      </w:r>
      <w:r w:rsidRPr="00456FF8">
        <w:rPr>
          <w:rFonts w:ascii="Times New Roman" w:hAnsi="Times New Roman" w:cs="Times New Roman"/>
          <w:noProof/>
          <w:sz w:val="24"/>
          <w:szCs w:val="24"/>
        </w:rPr>
        <w:t>[</w:t>
      </w:r>
      <w:r>
        <w:rPr>
          <w:rFonts w:ascii="Times New Roman" w:hAnsi="Times New Roman" w:cs="Times New Roman"/>
          <w:noProof/>
          <w:sz w:val="24"/>
          <w:szCs w:val="24"/>
        </w:rPr>
        <w:t>49</w:t>
      </w:r>
      <w:r w:rsidRPr="00456FF8">
        <w:rPr>
          <w:rFonts w:ascii="Times New Roman" w:hAnsi="Times New Roman" w:cs="Times New Roman"/>
          <w:noProof/>
          <w:sz w:val="24"/>
          <w:szCs w:val="24"/>
        </w:rPr>
        <w:t>]</w:t>
      </w:r>
      <w:r w:rsidRPr="00456FF8">
        <w:rPr>
          <w:rFonts w:ascii="Times New Roman" w:hAnsi="Times New Roman" w:cs="Times New Roman"/>
          <w:sz w:val="24"/>
          <w:szCs w:val="24"/>
        </w:rPr>
        <w:t>.</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Few quality referrals were reported among lower-level midwives and, nurses in clinics, health centres and medical centres [38, 42]. Training and supervision were, however, associated with higher quality referrals </w:t>
      </w:r>
      <w:r w:rsidRPr="00456FF8">
        <w:rPr>
          <w:rFonts w:ascii="Times New Roman" w:hAnsi="Times New Roman" w:cs="Times New Roman"/>
          <w:noProof/>
          <w:sz w:val="24"/>
          <w:szCs w:val="24"/>
        </w:rPr>
        <w:t>[30]</w:t>
      </w:r>
      <w:r w:rsidRPr="00456FF8">
        <w:rPr>
          <w:rFonts w:ascii="Times New Roman" w:hAnsi="Times New Roman" w:cs="Times New Roman"/>
          <w:sz w:val="24"/>
          <w:szCs w:val="24"/>
        </w:rPr>
        <w:t xml:space="preserve">.  For TBAs, our findings reinforce the position of </w:t>
      </w:r>
      <w:r w:rsidRPr="00456FF8">
        <w:rPr>
          <w:rFonts w:ascii="Times New Roman" w:hAnsi="Times New Roman" w:cs="Times New Roman"/>
          <w:noProof/>
          <w:sz w:val="24"/>
          <w:szCs w:val="24"/>
        </w:rPr>
        <w:t>Sibley &amp;, Sipe [5</w:t>
      </w:r>
      <w:r>
        <w:rPr>
          <w:rFonts w:ascii="Times New Roman" w:hAnsi="Times New Roman" w:cs="Times New Roman"/>
          <w:noProof/>
          <w:sz w:val="24"/>
          <w:szCs w:val="24"/>
        </w:rPr>
        <w:t>0</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that TBAs need to be trained to refer women. Strong teamwork and collaboration between TBAs, lower and higher level healthcare providers could result in better outcomes </w:t>
      </w:r>
      <w:r w:rsidRPr="00456FF8">
        <w:rPr>
          <w:rFonts w:ascii="Times New Roman" w:hAnsi="Times New Roman" w:cs="Times New Roman"/>
          <w:noProof/>
          <w:sz w:val="24"/>
          <w:szCs w:val="24"/>
        </w:rPr>
        <w:t>[5</w:t>
      </w:r>
      <w:r>
        <w:rPr>
          <w:rFonts w:ascii="Times New Roman" w:hAnsi="Times New Roman" w:cs="Times New Roman"/>
          <w:noProof/>
          <w:sz w:val="24"/>
          <w:szCs w:val="24"/>
        </w:rPr>
        <w:t>1</w:t>
      </w:r>
      <w:r w:rsidRPr="00456FF8">
        <w:rPr>
          <w:rFonts w:ascii="Times New Roman" w:hAnsi="Times New Roman" w:cs="Times New Roman"/>
          <w:noProof/>
          <w:sz w:val="24"/>
          <w:szCs w:val="24"/>
        </w:rPr>
        <w:t>]</w:t>
      </w:r>
      <w:r w:rsidRPr="00456FF8">
        <w:rPr>
          <w:rFonts w:ascii="Times New Roman" w:hAnsi="Times New Roman" w:cs="Times New Roman"/>
          <w:sz w:val="24"/>
          <w:szCs w:val="24"/>
        </w:rPr>
        <w:t>. Our findings corroborate</w:t>
      </w:r>
      <w:r w:rsidRPr="00456FF8">
        <w:rPr>
          <w:rFonts w:ascii="Times New Roman" w:hAnsi="Times New Roman" w:cs="Times New Roman"/>
          <w:noProof/>
          <w:sz w:val="24"/>
          <w:szCs w:val="24"/>
        </w:rPr>
        <w:t xml:space="preserve"> </w:t>
      </w:r>
      <w:r w:rsidRPr="00456FF8">
        <w:rPr>
          <w:rFonts w:ascii="Times New Roman" w:hAnsi="Times New Roman" w:cs="Times New Roman"/>
          <w:sz w:val="24"/>
          <w:szCs w:val="24"/>
        </w:rPr>
        <w:t xml:space="preserve">the need to equip district level managers to monitor the effectiveness of maternal and newborn referrals </w:t>
      </w:r>
      <w:r w:rsidRPr="00456FF8">
        <w:rPr>
          <w:rFonts w:ascii="Times New Roman" w:hAnsi="Times New Roman" w:cs="Times New Roman"/>
          <w:noProof/>
          <w:sz w:val="24"/>
          <w:szCs w:val="24"/>
        </w:rPr>
        <w:t>[5</w:t>
      </w:r>
      <w:r>
        <w:rPr>
          <w:rFonts w:ascii="Times New Roman" w:hAnsi="Times New Roman" w:cs="Times New Roman"/>
          <w:noProof/>
          <w:sz w:val="24"/>
          <w:szCs w:val="24"/>
        </w:rPr>
        <w:t>2</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Consistent professional development is needed for all health workers to identify and manage complications and refer in a timely manner during all stages of labour </w:t>
      </w:r>
      <w:r w:rsidRPr="00456FF8">
        <w:rPr>
          <w:rFonts w:ascii="Times New Roman" w:hAnsi="Times New Roman" w:cs="Times New Roman"/>
          <w:noProof/>
          <w:sz w:val="24"/>
          <w:szCs w:val="24"/>
        </w:rPr>
        <w:t>[5</w:t>
      </w:r>
      <w:r>
        <w:rPr>
          <w:rFonts w:ascii="Times New Roman" w:hAnsi="Times New Roman" w:cs="Times New Roman"/>
          <w:noProof/>
          <w:sz w:val="24"/>
          <w:szCs w:val="24"/>
        </w:rPr>
        <w:t>3</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Knowledge of potential delays in referral decision making meant that some women bypassed lower level facilities as noted in other studies </w:t>
      </w:r>
      <w:r w:rsidRPr="00456FF8">
        <w:rPr>
          <w:rFonts w:ascii="Times New Roman" w:hAnsi="Times New Roman" w:cs="Times New Roman"/>
          <w:noProof/>
          <w:sz w:val="24"/>
          <w:szCs w:val="24"/>
        </w:rPr>
        <w:t>[</w:t>
      </w:r>
      <w:r>
        <w:rPr>
          <w:rFonts w:ascii="Times New Roman" w:hAnsi="Times New Roman" w:cs="Times New Roman"/>
          <w:noProof/>
          <w:sz w:val="24"/>
          <w:szCs w:val="24"/>
        </w:rPr>
        <w:t>54,55</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Other studies similarly showed that such delays as well as delays in triage initiation </w:t>
      </w:r>
      <w:r>
        <w:rPr>
          <w:rFonts w:ascii="Times New Roman" w:hAnsi="Times New Roman" w:cs="Times New Roman"/>
          <w:sz w:val="24"/>
          <w:szCs w:val="24"/>
        </w:rPr>
        <w:t xml:space="preserve">in referring facility </w:t>
      </w:r>
      <w:r w:rsidRPr="00456FF8">
        <w:rPr>
          <w:rFonts w:ascii="Times New Roman" w:hAnsi="Times New Roman" w:cs="Times New Roman"/>
          <w:sz w:val="24"/>
          <w:szCs w:val="24"/>
        </w:rPr>
        <w:t xml:space="preserve">compromise the quality of referrals </w:t>
      </w:r>
      <w:r w:rsidRPr="00456FF8">
        <w:rPr>
          <w:rFonts w:ascii="Times New Roman" w:hAnsi="Times New Roman" w:cs="Times New Roman"/>
          <w:noProof/>
          <w:sz w:val="24"/>
          <w:szCs w:val="24"/>
        </w:rPr>
        <w:t>[9, 5</w:t>
      </w:r>
      <w:r>
        <w:rPr>
          <w:rFonts w:ascii="Times New Roman" w:hAnsi="Times New Roman" w:cs="Times New Roman"/>
          <w:noProof/>
          <w:sz w:val="24"/>
          <w:szCs w:val="24"/>
        </w:rPr>
        <w:t>6</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Regular monitoring and evaluation of referral processes especially at district level may be essential in improving referrals. Such activities can focus on specific indicators such as triage duration, referral decision-making competencies, referral outcomes and availability of means of transport for all obstetric emergencies </w:t>
      </w:r>
      <w:r w:rsidRPr="00456FF8">
        <w:rPr>
          <w:rFonts w:ascii="Times New Roman" w:hAnsi="Times New Roman" w:cs="Times New Roman"/>
          <w:noProof/>
          <w:sz w:val="24"/>
          <w:szCs w:val="24"/>
        </w:rPr>
        <w:t>[5</w:t>
      </w:r>
      <w:r>
        <w:rPr>
          <w:rFonts w:ascii="Times New Roman" w:hAnsi="Times New Roman" w:cs="Times New Roman"/>
          <w:noProof/>
          <w:sz w:val="24"/>
          <w:szCs w:val="24"/>
        </w:rPr>
        <w:t>2</w:t>
      </w:r>
      <w:r w:rsidRPr="00456FF8">
        <w:rPr>
          <w:rFonts w:ascii="Times New Roman" w:hAnsi="Times New Roman" w:cs="Times New Roman"/>
          <w:noProof/>
          <w:sz w:val="24"/>
          <w:szCs w:val="24"/>
        </w:rPr>
        <w:t>]</w:t>
      </w:r>
      <w:r w:rsidRPr="00456FF8">
        <w:rPr>
          <w:rFonts w:ascii="Times New Roman" w:hAnsi="Times New Roman" w:cs="Times New Roman"/>
          <w:sz w:val="24"/>
          <w:szCs w:val="24"/>
        </w:rPr>
        <w:t>.</w:t>
      </w:r>
    </w:p>
    <w:p w:rsidR="00B94DB2" w:rsidRPr="00456FF8" w:rsidRDefault="00B94DB2" w:rsidP="00B94DB2">
      <w:pPr>
        <w:pStyle w:val="CommentText"/>
        <w:spacing w:line="480" w:lineRule="auto"/>
        <w:jc w:val="both"/>
        <w:rPr>
          <w:rFonts w:ascii="Times New Roman" w:hAnsi="Times New Roman" w:cs="Times New Roman"/>
        </w:rPr>
      </w:pPr>
      <w:r w:rsidRPr="00456FF8">
        <w:rPr>
          <w:rFonts w:ascii="Times New Roman" w:hAnsi="Times New Roman" w:cs="Times New Roman"/>
          <w:sz w:val="24"/>
          <w:szCs w:val="24"/>
        </w:rPr>
        <w:t xml:space="preserve">Varied forms of remote support can be employed to facilitate referrals using tools such as phone calls depending on feasibility and geographical context. Interventions using such tools have been trialled in LLMICs. Toll-free numbers for mobile phones have been used to coordinate referrals </w:t>
      </w:r>
      <w:r w:rsidRPr="00456FF8">
        <w:rPr>
          <w:rFonts w:ascii="Times New Roman" w:hAnsi="Times New Roman" w:cs="Times New Roman"/>
          <w:noProof/>
          <w:sz w:val="24"/>
          <w:szCs w:val="24"/>
        </w:rPr>
        <w:t>[</w:t>
      </w:r>
      <w:r>
        <w:rPr>
          <w:rFonts w:ascii="Times New Roman" w:hAnsi="Times New Roman" w:cs="Times New Roman"/>
          <w:noProof/>
          <w:sz w:val="24"/>
          <w:szCs w:val="24"/>
        </w:rPr>
        <w:t>57</w:t>
      </w:r>
      <w:r w:rsidRPr="00456FF8">
        <w:rPr>
          <w:rFonts w:ascii="Times New Roman" w:hAnsi="Times New Roman" w:cs="Times New Roman"/>
          <w:noProof/>
          <w:sz w:val="24"/>
          <w:szCs w:val="24"/>
        </w:rPr>
        <w:t xml:space="preserve">, </w:t>
      </w:r>
      <w:r>
        <w:rPr>
          <w:rFonts w:ascii="Times New Roman" w:hAnsi="Times New Roman" w:cs="Times New Roman"/>
          <w:noProof/>
          <w:sz w:val="24"/>
          <w:szCs w:val="24"/>
        </w:rPr>
        <w:t>58</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and Geographic Information Systems (GIS) based transport has been used to facilitate transport arrangements </w:t>
      </w:r>
      <w:r w:rsidRPr="00456FF8">
        <w:rPr>
          <w:rFonts w:ascii="Times New Roman" w:hAnsi="Times New Roman" w:cs="Times New Roman"/>
          <w:noProof/>
          <w:sz w:val="24"/>
          <w:szCs w:val="24"/>
        </w:rPr>
        <w:t>[</w:t>
      </w:r>
      <w:r>
        <w:rPr>
          <w:rFonts w:ascii="Times New Roman" w:hAnsi="Times New Roman" w:cs="Times New Roman"/>
          <w:noProof/>
          <w:sz w:val="24"/>
          <w:szCs w:val="24"/>
        </w:rPr>
        <w:t>59</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Although these interventions do not address all obstacles to maternal referrals, they have been found to facilitate these services </w:t>
      </w:r>
      <w:r w:rsidRPr="00456FF8">
        <w:rPr>
          <w:rFonts w:ascii="Times New Roman" w:hAnsi="Times New Roman" w:cs="Times New Roman"/>
          <w:noProof/>
          <w:sz w:val="24"/>
          <w:szCs w:val="24"/>
        </w:rPr>
        <w:t>[6</w:t>
      </w:r>
      <w:r>
        <w:rPr>
          <w:rFonts w:ascii="Times New Roman" w:hAnsi="Times New Roman" w:cs="Times New Roman"/>
          <w:noProof/>
          <w:sz w:val="24"/>
          <w:szCs w:val="24"/>
        </w:rPr>
        <w:t>0</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Mobile phone applications or mHealth interventions have also proven essential for coordinating referrals, handling complications and guiding referral processes in general </w:t>
      </w:r>
      <w:r w:rsidRPr="00456FF8">
        <w:rPr>
          <w:rFonts w:ascii="Times New Roman" w:hAnsi="Times New Roman" w:cs="Times New Roman"/>
          <w:noProof/>
          <w:sz w:val="24"/>
          <w:szCs w:val="24"/>
        </w:rPr>
        <w:t>[6</w:t>
      </w:r>
      <w:r>
        <w:rPr>
          <w:rFonts w:ascii="Times New Roman" w:hAnsi="Times New Roman" w:cs="Times New Roman"/>
          <w:noProof/>
          <w:sz w:val="24"/>
          <w:szCs w:val="24"/>
        </w:rPr>
        <w:t>1</w:t>
      </w:r>
      <w:r w:rsidRPr="00456FF8">
        <w:rPr>
          <w:rFonts w:ascii="Times New Roman" w:hAnsi="Times New Roman" w:cs="Times New Roman"/>
          <w:noProof/>
          <w:sz w:val="24"/>
          <w:szCs w:val="24"/>
        </w:rPr>
        <w:t>-6</w:t>
      </w:r>
      <w:r>
        <w:rPr>
          <w:rFonts w:ascii="Times New Roman" w:hAnsi="Times New Roman" w:cs="Times New Roman"/>
          <w:noProof/>
          <w:sz w:val="24"/>
          <w:szCs w:val="24"/>
        </w:rPr>
        <w:t>3</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Poor referral record keeping is consistent with other studies resulting from the limited knowledge of healthcare providers or financial constraints </w:t>
      </w:r>
      <w:r w:rsidRPr="00456FF8">
        <w:rPr>
          <w:rFonts w:ascii="Times New Roman" w:hAnsi="Times New Roman" w:cs="Times New Roman"/>
          <w:noProof/>
          <w:sz w:val="24"/>
          <w:szCs w:val="24"/>
        </w:rPr>
        <w:t>[37, 6</w:t>
      </w:r>
      <w:r>
        <w:rPr>
          <w:rFonts w:ascii="Times New Roman" w:hAnsi="Times New Roman" w:cs="Times New Roman"/>
          <w:noProof/>
          <w:sz w:val="24"/>
          <w:szCs w:val="24"/>
        </w:rPr>
        <w:t>4</w:t>
      </w:r>
      <w:r w:rsidRPr="00456FF8">
        <w:rPr>
          <w:rFonts w:ascii="Times New Roman" w:hAnsi="Times New Roman" w:cs="Times New Roman"/>
          <w:noProof/>
          <w:sz w:val="24"/>
          <w:szCs w:val="24"/>
        </w:rPr>
        <w:t>-6</w:t>
      </w:r>
      <w:r>
        <w:rPr>
          <w:rFonts w:ascii="Times New Roman" w:hAnsi="Times New Roman" w:cs="Times New Roman"/>
          <w:noProof/>
          <w:sz w:val="24"/>
          <w:szCs w:val="24"/>
        </w:rPr>
        <w:t>6</w:t>
      </w:r>
      <w:r w:rsidRPr="00456FF8">
        <w:rPr>
          <w:rFonts w:ascii="Times New Roman" w:hAnsi="Times New Roman" w:cs="Times New Roman"/>
          <w:noProof/>
          <w:sz w:val="24"/>
          <w:szCs w:val="24"/>
        </w:rPr>
        <w:t>]</w:t>
      </w:r>
      <w:r w:rsidRPr="00456FF8">
        <w:rPr>
          <w:rFonts w:ascii="Times New Roman" w:hAnsi="Times New Roman" w:cs="Times New Roman"/>
          <w:sz w:val="24"/>
          <w:szCs w:val="24"/>
        </w:rPr>
        <w:t>. Mechanisms that provide reminders to encourage healthcare providers to have detailed documentation, in addition to user-friendly forms and provider training on the relevance of documentation could improve this.</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The instrumental role of free or low cost, safe and reliable transport, preferably with ambulances, has been widely acknowledged </w:t>
      </w:r>
      <w:r w:rsidRPr="00456FF8">
        <w:rPr>
          <w:rFonts w:ascii="Times New Roman" w:hAnsi="Times New Roman" w:cs="Times New Roman"/>
          <w:noProof/>
          <w:sz w:val="24"/>
          <w:szCs w:val="24"/>
        </w:rPr>
        <w:t>[</w:t>
      </w:r>
      <w:r>
        <w:rPr>
          <w:rFonts w:ascii="Times New Roman" w:hAnsi="Times New Roman" w:cs="Times New Roman"/>
          <w:noProof/>
          <w:sz w:val="24"/>
          <w:szCs w:val="24"/>
        </w:rPr>
        <w:t>6</w:t>
      </w:r>
      <w:r w:rsidRPr="00456FF8">
        <w:rPr>
          <w:rFonts w:ascii="Times New Roman" w:hAnsi="Times New Roman" w:cs="Times New Roman"/>
          <w:noProof/>
          <w:sz w:val="24"/>
          <w:szCs w:val="24"/>
        </w:rPr>
        <w:t>7-7</w:t>
      </w:r>
      <w:r>
        <w:rPr>
          <w:rFonts w:ascii="Times New Roman" w:hAnsi="Times New Roman" w:cs="Times New Roman"/>
          <w:noProof/>
          <w:sz w:val="24"/>
          <w:szCs w:val="24"/>
        </w:rPr>
        <w:t>0</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Motorcycle ambulances could be used as they are relatively cheaper options </w:t>
      </w:r>
      <w:r w:rsidRPr="00456FF8">
        <w:rPr>
          <w:rFonts w:ascii="Times New Roman" w:hAnsi="Times New Roman" w:cs="Times New Roman"/>
          <w:noProof/>
          <w:sz w:val="24"/>
          <w:szCs w:val="24"/>
        </w:rPr>
        <w:t>[7</w:t>
      </w:r>
      <w:r>
        <w:rPr>
          <w:rFonts w:ascii="Times New Roman" w:hAnsi="Times New Roman" w:cs="Times New Roman"/>
          <w:noProof/>
          <w:sz w:val="24"/>
          <w:szCs w:val="24"/>
        </w:rPr>
        <w:t>1</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Our findings corroborate the need to strengthen transport for maternal and newborn referral that is free of charge to women and their families </w:t>
      </w:r>
      <w:r w:rsidRPr="00456FF8">
        <w:rPr>
          <w:rFonts w:ascii="Times New Roman" w:hAnsi="Times New Roman" w:cs="Times New Roman"/>
          <w:noProof/>
          <w:sz w:val="24"/>
          <w:szCs w:val="24"/>
        </w:rPr>
        <w:t>[7</w:t>
      </w:r>
      <w:r>
        <w:rPr>
          <w:rFonts w:ascii="Times New Roman" w:hAnsi="Times New Roman" w:cs="Times New Roman"/>
          <w:noProof/>
          <w:sz w:val="24"/>
          <w:szCs w:val="24"/>
        </w:rPr>
        <w:t>2</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An efficient, low cost transport system can provide women with a positive maternal referral experience </w:t>
      </w:r>
      <w:r w:rsidRPr="00456FF8">
        <w:rPr>
          <w:rFonts w:ascii="Times New Roman" w:hAnsi="Times New Roman" w:cs="Times New Roman"/>
          <w:noProof/>
          <w:sz w:val="24"/>
          <w:szCs w:val="24"/>
        </w:rPr>
        <w:t>[7</w:t>
      </w:r>
      <w:r>
        <w:rPr>
          <w:rFonts w:ascii="Times New Roman" w:hAnsi="Times New Roman" w:cs="Times New Roman"/>
          <w:noProof/>
          <w:sz w:val="24"/>
          <w:szCs w:val="24"/>
        </w:rPr>
        <w:t>3</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The element of “cost” originating from referral transport and other components of maternal and newborn referrals may dissuade women from adhering to referral advice </w:t>
      </w:r>
      <w:r w:rsidRPr="00456FF8">
        <w:rPr>
          <w:rFonts w:ascii="Times New Roman" w:hAnsi="Times New Roman" w:cs="Times New Roman"/>
          <w:noProof/>
          <w:sz w:val="24"/>
          <w:szCs w:val="24"/>
        </w:rPr>
        <w:t>[7</w:t>
      </w:r>
      <w:r>
        <w:rPr>
          <w:rFonts w:ascii="Times New Roman" w:hAnsi="Times New Roman" w:cs="Times New Roman"/>
          <w:noProof/>
          <w:sz w:val="24"/>
          <w:szCs w:val="24"/>
        </w:rPr>
        <w:t>4</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Future maternal health policies should guarantee free or less expensive timely referral and these could make use of pro-poor health insurance schemes, user-fee exemptions and maternal service vouchers </w:t>
      </w:r>
      <w:r w:rsidRPr="00456FF8">
        <w:rPr>
          <w:rFonts w:ascii="Times New Roman" w:hAnsi="Times New Roman" w:cs="Times New Roman"/>
          <w:noProof/>
          <w:sz w:val="24"/>
          <w:szCs w:val="24"/>
        </w:rPr>
        <w:t>[7</w:t>
      </w:r>
      <w:r>
        <w:rPr>
          <w:rFonts w:ascii="Times New Roman" w:hAnsi="Times New Roman" w:cs="Times New Roman"/>
          <w:noProof/>
          <w:sz w:val="24"/>
          <w:szCs w:val="24"/>
        </w:rPr>
        <w:t>5</w:t>
      </w:r>
      <w:r w:rsidRPr="00456FF8">
        <w:rPr>
          <w:rFonts w:ascii="Times New Roman" w:hAnsi="Times New Roman" w:cs="Times New Roman"/>
          <w:noProof/>
          <w:sz w:val="24"/>
          <w:szCs w:val="24"/>
        </w:rPr>
        <w:t>, 7</w:t>
      </w:r>
      <w:r>
        <w:rPr>
          <w:rFonts w:ascii="Times New Roman" w:hAnsi="Times New Roman" w:cs="Times New Roman"/>
          <w:noProof/>
          <w:sz w:val="24"/>
          <w:szCs w:val="24"/>
        </w:rPr>
        <w:t>6</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Limited decision-making capacity of women, fear of blood transfusion and fear to die in higher level health facilities  have been noted by similar studies in SSA where men, in-laws and elder decide whether women are allowed to travel </w:t>
      </w:r>
      <w:r w:rsidRPr="00456FF8">
        <w:rPr>
          <w:rFonts w:ascii="Times New Roman" w:hAnsi="Times New Roman" w:cs="Times New Roman"/>
          <w:noProof/>
          <w:sz w:val="24"/>
          <w:szCs w:val="24"/>
        </w:rPr>
        <w:t>[</w:t>
      </w:r>
      <w:r>
        <w:rPr>
          <w:rFonts w:ascii="Times New Roman" w:hAnsi="Times New Roman" w:cs="Times New Roman"/>
          <w:noProof/>
          <w:sz w:val="24"/>
          <w:szCs w:val="24"/>
        </w:rPr>
        <w:t>77</w:t>
      </w:r>
      <w:r w:rsidRPr="00456FF8">
        <w:rPr>
          <w:rFonts w:ascii="Times New Roman" w:hAnsi="Times New Roman" w:cs="Times New Roman"/>
          <w:noProof/>
          <w:sz w:val="24"/>
          <w:szCs w:val="24"/>
        </w:rPr>
        <w:t>-</w:t>
      </w:r>
      <w:r>
        <w:rPr>
          <w:rFonts w:ascii="Times New Roman" w:hAnsi="Times New Roman" w:cs="Times New Roman"/>
          <w:noProof/>
          <w:sz w:val="24"/>
          <w:szCs w:val="24"/>
        </w:rPr>
        <w:t>79</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In rural Uganda, women who could endure obstetric pain were considered brave since pregnancy was perceived as a test of endurance </w:t>
      </w:r>
      <w:r w:rsidRPr="00456FF8">
        <w:rPr>
          <w:rFonts w:ascii="Times New Roman" w:hAnsi="Times New Roman" w:cs="Times New Roman"/>
          <w:noProof/>
          <w:sz w:val="24"/>
          <w:szCs w:val="24"/>
        </w:rPr>
        <w:t>[8</w:t>
      </w:r>
      <w:r>
        <w:rPr>
          <w:rFonts w:ascii="Times New Roman" w:hAnsi="Times New Roman" w:cs="Times New Roman"/>
          <w:noProof/>
          <w:sz w:val="24"/>
          <w:szCs w:val="24"/>
        </w:rPr>
        <w:t>0</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These women considered referral facilities as the last resort due to a preference for traditional birthing at home </w:t>
      </w:r>
      <w:r w:rsidRPr="00456FF8">
        <w:rPr>
          <w:rFonts w:ascii="Times New Roman" w:hAnsi="Times New Roman" w:cs="Times New Roman"/>
          <w:noProof/>
          <w:sz w:val="24"/>
          <w:szCs w:val="24"/>
        </w:rPr>
        <w:t>[8</w:t>
      </w:r>
      <w:r>
        <w:rPr>
          <w:rFonts w:ascii="Times New Roman" w:hAnsi="Times New Roman" w:cs="Times New Roman"/>
          <w:noProof/>
          <w:sz w:val="24"/>
          <w:szCs w:val="24"/>
        </w:rPr>
        <w:t>0</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Active community engagement is essential in overcoming these socio-cultural barriers </w:t>
      </w:r>
      <w:r w:rsidRPr="00456FF8">
        <w:rPr>
          <w:rFonts w:ascii="Times New Roman" w:hAnsi="Times New Roman" w:cs="Times New Roman"/>
          <w:noProof/>
          <w:sz w:val="24"/>
          <w:szCs w:val="24"/>
        </w:rPr>
        <w:t>[8</w:t>
      </w:r>
      <w:r>
        <w:rPr>
          <w:rFonts w:ascii="Times New Roman" w:hAnsi="Times New Roman" w:cs="Times New Roman"/>
          <w:noProof/>
          <w:sz w:val="24"/>
          <w:szCs w:val="24"/>
        </w:rPr>
        <w:t>1</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Evidence indicates that involving men or women’s partners is beneficial because men can escort women or their wives if they understand why women are referred </w:t>
      </w:r>
      <w:r w:rsidRPr="00456FF8">
        <w:rPr>
          <w:rFonts w:ascii="Times New Roman" w:hAnsi="Times New Roman" w:cs="Times New Roman"/>
          <w:noProof/>
          <w:sz w:val="24"/>
          <w:szCs w:val="24"/>
        </w:rPr>
        <w:t>[8</w:t>
      </w:r>
      <w:r>
        <w:rPr>
          <w:rFonts w:ascii="Times New Roman" w:hAnsi="Times New Roman" w:cs="Times New Roman"/>
          <w:noProof/>
          <w:sz w:val="24"/>
          <w:szCs w:val="24"/>
        </w:rPr>
        <w:t>2</w:t>
      </w:r>
      <w:r w:rsidRPr="00456FF8">
        <w:rPr>
          <w:rFonts w:ascii="Times New Roman" w:hAnsi="Times New Roman" w:cs="Times New Roman"/>
          <w:noProof/>
          <w:sz w:val="24"/>
          <w:szCs w:val="24"/>
        </w:rPr>
        <w:t>-8</w:t>
      </w:r>
      <w:r>
        <w:rPr>
          <w:rFonts w:ascii="Times New Roman" w:hAnsi="Times New Roman" w:cs="Times New Roman"/>
          <w:noProof/>
          <w:sz w:val="24"/>
          <w:szCs w:val="24"/>
        </w:rPr>
        <w:t>4</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Poor performance is likely to be a source of dissatisfaction that may often be the case, especially where there is a shortage of skilled health professionals </w:t>
      </w:r>
      <w:r w:rsidRPr="00456FF8">
        <w:rPr>
          <w:rFonts w:ascii="Times New Roman" w:hAnsi="Times New Roman" w:cs="Times New Roman"/>
          <w:noProof/>
          <w:sz w:val="24"/>
          <w:szCs w:val="24"/>
        </w:rPr>
        <w:t>[47-49]</w:t>
      </w:r>
      <w:r w:rsidRPr="00456FF8">
        <w:rPr>
          <w:rFonts w:ascii="Times New Roman" w:hAnsi="Times New Roman" w:cs="Times New Roman"/>
          <w:sz w:val="24"/>
          <w:szCs w:val="24"/>
        </w:rPr>
        <w:t xml:space="preserve">. Lack of medical supplies and essential utilities such as electricity and clean water could also result in poor care experiences as reported in South Sudan </w:t>
      </w:r>
      <w:r w:rsidRPr="00456FF8">
        <w:rPr>
          <w:rFonts w:ascii="Times New Roman" w:hAnsi="Times New Roman" w:cs="Times New Roman"/>
          <w:noProof/>
          <w:sz w:val="24"/>
          <w:szCs w:val="24"/>
        </w:rPr>
        <w:t>[8</w:t>
      </w:r>
      <w:r>
        <w:rPr>
          <w:rFonts w:ascii="Times New Roman" w:hAnsi="Times New Roman" w:cs="Times New Roman"/>
          <w:noProof/>
          <w:sz w:val="24"/>
          <w:szCs w:val="24"/>
        </w:rPr>
        <w:t>5</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Training adequate numbers of obstetric healthcare providers and ensuring an equitable distribution can mitigate some of the challenges confronting quality maternal and newborn referrals </w:t>
      </w:r>
      <w:r w:rsidRPr="00456FF8">
        <w:rPr>
          <w:rFonts w:ascii="Times New Roman" w:hAnsi="Times New Roman" w:cs="Times New Roman"/>
          <w:noProof/>
          <w:sz w:val="24"/>
          <w:szCs w:val="24"/>
        </w:rPr>
        <w:t>[</w:t>
      </w:r>
      <w:r>
        <w:rPr>
          <w:rFonts w:ascii="Times New Roman" w:hAnsi="Times New Roman" w:cs="Times New Roman"/>
          <w:noProof/>
          <w:sz w:val="24"/>
          <w:szCs w:val="24"/>
        </w:rPr>
        <w:t>86</w:t>
      </w:r>
      <w:r w:rsidRPr="00456FF8">
        <w:rPr>
          <w:rFonts w:ascii="Times New Roman" w:hAnsi="Times New Roman" w:cs="Times New Roman"/>
          <w:noProof/>
          <w:sz w:val="24"/>
          <w:szCs w:val="24"/>
        </w:rPr>
        <w:t>-</w:t>
      </w:r>
      <w:r>
        <w:rPr>
          <w:rFonts w:ascii="Times New Roman" w:hAnsi="Times New Roman" w:cs="Times New Roman"/>
          <w:noProof/>
          <w:sz w:val="24"/>
          <w:szCs w:val="24"/>
        </w:rPr>
        <w:t>87</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None of the studies in our review investigated women’s experience in relation with human-centred and dignified care. Women who feel that they were respected, treated with equity and offered emotional support tend to have better post-partum psychological outcomes </w:t>
      </w:r>
      <w:r w:rsidRPr="00456FF8">
        <w:rPr>
          <w:rFonts w:ascii="Times New Roman" w:hAnsi="Times New Roman" w:cs="Times New Roman"/>
          <w:noProof/>
          <w:sz w:val="24"/>
          <w:szCs w:val="24"/>
        </w:rPr>
        <w:t>[</w:t>
      </w:r>
      <w:r>
        <w:rPr>
          <w:rFonts w:ascii="Times New Roman" w:hAnsi="Times New Roman" w:cs="Times New Roman"/>
          <w:noProof/>
          <w:sz w:val="24"/>
          <w:szCs w:val="24"/>
        </w:rPr>
        <w:t>88</w:t>
      </w:r>
      <w:r w:rsidRPr="00456FF8">
        <w:rPr>
          <w:rFonts w:ascii="Times New Roman" w:hAnsi="Times New Roman" w:cs="Times New Roman"/>
          <w:noProof/>
          <w:sz w:val="24"/>
          <w:szCs w:val="24"/>
        </w:rPr>
        <w:t>]</w:t>
      </w:r>
      <w:r w:rsidRPr="00456FF8">
        <w:rPr>
          <w:rFonts w:ascii="Times New Roman" w:hAnsi="Times New Roman" w:cs="Times New Roman"/>
          <w:sz w:val="24"/>
          <w:szCs w:val="24"/>
        </w:rPr>
        <w:t xml:space="preserve">.  WHO notes that about 10% of pregnant women and 13% of women who have just given birth encounter mental health issues globally </w:t>
      </w:r>
      <w:r w:rsidRPr="00456FF8">
        <w:rPr>
          <w:rFonts w:ascii="Times New Roman" w:hAnsi="Times New Roman" w:cs="Times New Roman"/>
          <w:noProof/>
          <w:sz w:val="24"/>
          <w:szCs w:val="24"/>
        </w:rPr>
        <w:t>[</w:t>
      </w:r>
      <w:r>
        <w:rPr>
          <w:rFonts w:ascii="Times New Roman" w:hAnsi="Times New Roman" w:cs="Times New Roman"/>
          <w:noProof/>
          <w:sz w:val="24"/>
          <w:szCs w:val="24"/>
        </w:rPr>
        <w:t>8</w:t>
      </w:r>
      <w:r w:rsidRPr="00456FF8">
        <w:rPr>
          <w:rFonts w:ascii="Times New Roman" w:hAnsi="Times New Roman" w:cs="Times New Roman"/>
          <w:noProof/>
          <w:sz w:val="24"/>
          <w:szCs w:val="24"/>
        </w:rPr>
        <w:t>9]</w:t>
      </w:r>
      <w:r w:rsidRPr="00456FF8">
        <w:rPr>
          <w:rFonts w:ascii="Times New Roman" w:hAnsi="Times New Roman" w:cs="Times New Roman"/>
          <w:sz w:val="24"/>
          <w:szCs w:val="24"/>
        </w:rPr>
        <w:t>. These are even higher (15.6% during pregnancy and 19.8% after birth) in SSA LLMICs. This prompts the need for maternal and newborn healthcare providers to prioritise emotional wellbeing of women, especially after referral.</w:t>
      </w:r>
    </w:p>
    <w:p w:rsidR="00B94DB2" w:rsidRPr="00456FF8" w:rsidRDefault="00B94DB2" w:rsidP="00B94DB2">
      <w:pPr>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Quality referral was interpreted differently by authors in the different studies. Some focused on the ability of healthcare providers to identify and initiate referral, having means of transport and detailed documentation of referral cases. These fit well within our conceptual framework as indispensable elements in achieving high-quality maternal and newborn referral [</w:t>
      </w:r>
      <w:r w:rsidRPr="00456FF8">
        <w:rPr>
          <w:rFonts w:ascii="Times New Roman" w:hAnsi="Times New Roman" w:cs="Times New Roman"/>
          <w:noProof/>
          <w:sz w:val="24"/>
          <w:szCs w:val="24"/>
        </w:rPr>
        <w:t>22]</w:t>
      </w:r>
      <w:r w:rsidRPr="00456FF8">
        <w:rPr>
          <w:rFonts w:ascii="Times New Roman" w:hAnsi="Times New Roman" w:cs="Times New Roman"/>
          <w:sz w:val="24"/>
          <w:szCs w:val="24"/>
        </w:rPr>
        <w:t xml:space="preserve">. Our findings imply the absence of a standard definition or conceptualisation of quality referral, yet these key elements must characterise a maternal and newborn referral system that seeks to achieve desirable outcomes and positive maternal experiences. Monitoring and evaluation aimed at determining whether referrals reflect those features in our review and those outlined by WHO are needed to enhance referral </w:t>
      </w:r>
      <w:r w:rsidRPr="00456FF8">
        <w:rPr>
          <w:rFonts w:ascii="Times New Roman" w:hAnsi="Times New Roman" w:cs="Times New Roman"/>
          <w:noProof/>
          <w:sz w:val="24"/>
          <w:szCs w:val="24"/>
        </w:rPr>
        <w:t xml:space="preserve">[11, </w:t>
      </w:r>
      <w:r>
        <w:rPr>
          <w:rFonts w:ascii="Times New Roman" w:hAnsi="Times New Roman" w:cs="Times New Roman"/>
          <w:noProof/>
          <w:sz w:val="24"/>
          <w:szCs w:val="24"/>
        </w:rPr>
        <w:t>68</w:t>
      </w:r>
      <w:r w:rsidRPr="00456FF8">
        <w:rPr>
          <w:rFonts w:ascii="Times New Roman" w:hAnsi="Times New Roman" w:cs="Times New Roman"/>
          <w:noProof/>
          <w:sz w:val="24"/>
          <w:szCs w:val="24"/>
        </w:rPr>
        <w:t>]</w:t>
      </w:r>
      <w:r w:rsidRPr="00456FF8">
        <w:rPr>
          <w:rFonts w:ascii="Times New Roman" w:hAnsi="Times New Roman" w:cs="Times New Roman"/>
          <w:sz w:val="24"/>
          <w:szCs w:val="24"/>
        </w:rPr>
        <w:t>.</w:t>
      </w:r>
    </w:p>
    <w:p w:rsidR="00B94DB2" w:rsidRPr="00456FF8" w:rsidRDefault="00B94DB2" w:rsidP="00B94DB2">
      <w:pPr>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Strengths and limitations</w:t>
      </w:r>
    </w:p>
    <w:p w:rsidR="00B94DB2" w:rsidRPr="00456FF8" w:rsidRDefault="00B94DB2" w:rsidP="00B94DB2">
      <w:pPr>
        <w:spacing w:line="480" w:lineRule="auto"/>
        <w:jc w:val="both"/>
        <w:rPr>
          <w:rFonts w:ascii="Times New Roman" w:hAnsi="Times New Roman" w:cs="Times New Roman"/>
          <w:b/>
          <w:sz w:val="24"/>
          <w:szCs w:val="24"/>
        </w:rPr>
      </w:pPr>
      <w:r w:rsidRPr="00456FF8">
        <w:rPr>
          <w:rFonts w:ascii="Times New Roman" w:hAnsi="Times New Roman" w:cs="Times New Roman"/>
          <w:sz w:val="24"/>
          <w:szCs w:val="24"/>
        </w:rPr>
        <w:t>Our study followed the PRISMA Statements for conducting systematic reviews. The study was underpinned by a framework that provides a balance between embracing quality maternal and newborn referrals from the perspective of both healthcare providers and women.  The study was limited, however, to articles published in English in SSA LLMICs.</w:t>
      </w:r>
    </w:p>
    <w:p w:rsidR="00B94DB2" w:rsidRPr="00456FF8" w:rsidRDefault="00B94DB2" w:rsidP="00B94DB2">
      <w:pPr>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Conclusion</w:t>
      </w:r>
    </w:p>
    <w:p w:rsidR="00B94DB2" w:rsidRPr="00456FF8" w:rsidRDefault="00B94DB2" w:rsidP="00B94DB2">
      <w:pPr>
        <w:tabs>
          <w:tab w:val="num" w:pos="720"/>
        </w:tabs>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 xml:space="preserve">Referral guidelines are not always properly implemented due to human resource constraints, referral costs borne by women and their families, poor coordination between levels of care and limited availability of equipment and medicines and transport issues. Governments, planning agencies and healthcare administrators need to focus on more operationally-oriented guidelines to enable health facilities to function optimally in relation to maternal and newborn referral. There is a need for well-coordinated and strengthened teamwork and collaboration between PHC, BEmOC and CEmOC healthcare providers. Community education and interventions can encourage men to be involved in the maternity care of their partners. Low cost transport is needed to mitigate barriers for referral. To ensure quality maternal and newborn referral, mechanisms should be instituted for health managers at district level to monitor and evaluate referral documentation, its quality and efficiency on a regular basis. </w:t>
      </w:r>
    </w:p>
    <w:p w:rsidR="00B94DB2" w:rsidRPr="00456FF8" w:rsidRDefault="00B94DB2" w:rsidP="00B94DB2">
      <w:pPr>
        <w:tabs>
          <w:tab w:val="num" w:pos="720"/>
        </w:tabs>
        <w:spacing w:line="480" w:lineRule="auto"/>
        <w:jc w:val="both"/>
        <w:rPr>
          <w:rFonts w:ascii="Times New Roman" w:hAnsi="Times New Roman" w:cs="Times New Roman"/>
          <w:b/>
          <w:sz w:val="24"/>
          <w:szCs w:val="24"/>
        </w:rPr>
      </w:pPr>
    </w:p>
    <w:p w:rsidR="00B94DB2" w:rsidRPr="00456FF8" w:rsidRDefault="00B94DB2" w:rsidP="00B94DB2">
      <w:pPr>
        <w:tabs>
          <w:tab w:val="num" w:pos="720"/>
        </w:tabs>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Abbreviations</w:t>
      </w:r>
    </w:p>
    <w:p w:rsidR="00B94DB2" w:rsidRPr="00456FF8" w:rsidRDefault="00B94DB2" w:rsidP="00B94DB2">
      <w:pPr>
        <w:tabs>
          <w:tab w:val="num" w:pos="720"/>
        </w:tabs>
        <w:spacing w:line="480" w:lineRule="auto"/>
        <w:jc w:val="both"/>
        <w:rPr>
          <w:rFonts w:ascii="Times New Roman" w:hAnsi="Times New Roman" w:cs="Times New Roman"/>
          <w:bCs/>
        </w:rPr>
      </w:pPr>
      <w:r w:rsidRPr="00456FF8">
        <w:rPr>
          <w:rFonts w:ascii="Times New Roman" w:hAnsi="Times New Roman" w:cs="Times New Roman"/>
          <w:sz w:val="24"/>
          <w:szCs w:val="24"/>
        </w:rPr>
        <w:t xml:space="preserve">BEmONC: Basic Emergency Obstetric and Newborn Care; CEmOC: Comprehensive emergency and obstetric care; EmOC: Emergency and Obstetric Care; EmONC: Emergency obstetric and newborn care; FBO: Faith-Based Organisation; GIS: Geographic Information Systems; NGOs: Non-governmental Organisations; PRISMA: </w:t>
      </w:r>
      <w:r w:rsidRPr="00456FF8">
        <w:rPr>
          <w:rFonts w:ascii="Times New Roman" w:hAnsi="Times New Roman" w:cs="Times New Roman"/>
          <w:bCs/>
          <w:sz w:val="24"/>
          <w:szCs w:val="24"/>
        </w:rPr>
        <w:t>Preferred Reporting Items for Systematic Reviews and Meta-Analyses;</w:t>
      </w:r>
      <w:r w:rsidRPr="00456FF8">
        <w:rPr>
          <w:rFonts w:ascii="Times New Roman" w:hAnsi="Times New Roman" w:cs="Times New Roman"/>
          <w:sz w:val="24"/>
          <w:szCs w:val="24"/>
        </w:rPr>
        <w:t xml:space="preserve"> SSA-LLMICs: Sub-Saharan African Low and Lower Middle Income Countries; TBA: Traditional Birth Attendant;</w:t>
      </w:r>
      <w:r w:rsidRPr="00456FF8">
        <w:rPr>
          <w:rFonts w:ascii="Times New Roman" w:hAnsi="Times New Roman" w:cs="Times New Roman"/>
          <w:bCs/>
          <w:sz w:val="24"/>
          <w:szCs w:val="24"/>
        </w:rPr>
        <w:t xml:space="preserve"> WHO: World Health Organisation</w:t>
      </w:r>
    </w:p>
    <w:p w:rsidR="00B94DB2" w:rsidRPr="00456FF8" w:rsidRDefault="00B94DB2" w:rsidP="00B94DB2">
      <w:pPr>
        <w:tabs>
          <w:tab w:val="num" w:pos="720"/>
        </w:tabs>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Declarations</w:t>
      </w:r>
    </w:p>
    <w:p w:rsidR="00B94DB2" w:rsidRPr="00456FF8" w:rsidRDefault="00B94DB2" w:rsidP="00B94DB2">
      <w:pPr>
        <w:tabs>
          <w:tab w:val="num" w:pos="720"/>
        </w:tabs>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Ethics approval and consent to participate</w:t>
      </w:r>
    </w:p>
    <w:p w:rsidR="00B94DB2" w:rsidRPr="00456FF8" w:rsidRDefault="00B94DB2" w:rsidP="00B94DB2">
      <w:pPr>
        <w:tabs>
          <w:tab w:val="num" w:pos="720"/>
        </w:tabs>
        <w:spacing w:line="480" w:lineRule="auto"/>
        <w:jc w:val="both"/>
        <w:rPr>
          <w:rFonts w:ascii="Times New Roman" w:hAnsi="Times New Roman" w:cs="Times New Roman"/>
          <w:b/>
          <w:sz w:val="24"/>
          <w:szCs w:val="24"/>
        </w:rPr>
      </w:pPr>
      <w:r w:rsidRPr="00456FF8">
        <w:rPr>
          <w:rFonts w:ascii="Times New Roman" w:hAnsi="Times New Roman" w:cs="Times New Roman"/>
          <w:sz w:val="24"/>
          <w:szCs w:val="24"/>
        </w:rPr>
        <w:t>Not applicable</w:t>
      </w:r>
    </w:p>
    <w:p w:rsidR="00B94DB2" w:rsidRPr="00456FF8" w:rsidRDefault="00B94DB2" w:rsidP="00B94DB2">
      <w:pPr>
        <w:tabs>
          <w:tab w:val="num" w:pos="720"/>
        </w:tabs>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Consent for publication</w:t>
      </w:r>
    </w:p>
    <w:p w:rsidR="00B94DB2" w:rsidRPr="00456FF8" w:rsidRDefault="00B94DB2" w:rsidP="00B94DB2">
      <w:pPr>
        <w:tabs>
          <w:tab w:val="num" w:pos="720"/>
        </w:tabs>
        <w:spacing w:line="480" w:lineRule="auto"/>
        <w:jc w:val="both"/>
        <w:rPr>
          <w:rFonts w:ascii="Times New Roman" w:hAnsi="Times New Roman" w:cs="Times New Roman"/>
          <w:b/>
          <w:sz w:val="24"/>
          <w:szCs w:val="24"/>
        </w:rPr>
      </w:pPr>
      <w:r w:rsidRPr="00456FF8">
        <w:rPr>
          <w:rFonts w:ascii="Times New Roman" w:hAnsi="Times New Roman" w:cs="Times New Roman"/>
          <w:sz w:val="24"/>
          <w:szCs w:val="24"/>
        </w:rPr>
        <w:t>Not applicable</w:t>
      </w:r>
    </w:p>
    <w:p w:rsidR="00B94DB2" w:rsidRPr="00456FF8" w:rsidRDefault="00B94DB2" w:rsidP="00B94DB2">
      <w:pPr>
        <w:tabs>
          <w:tab w:val="num" w:pos="720"/>
        </w:tabs>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Availability of data and materials</w:t>
      </w:r>
    </w:p>
    <w:p w:rsidR="00B94DB2" w:rsidRPr="00456FF8" w:rsidRDefault="00B94DB2" w:rsidP="00B94DB2">
      <w:pPr>
        <w:tabs>
          <w:tab w:val="num" w:pos="720"/>
        </w:tabs>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All analysed data are included in this article.</w:t>
      </w:r>
    </w:p>
    <w:p w:rsidR="00B94DB2" w:rsidRPr="00456FF8" w:rsidRDefault="00B94DB2" w:rsidP="00B94DB2">
      <w:pPr>
        <w:tabs>
          <w:tab w:val="num" w:pos="720"/>
        </w:tabs>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Competing interests</w:t>
      </w:r>
    </w:p>
    <w:p w:rsidR="00B94DB2" w:rsidRPr="00456FF8" w:rsidRDefault="00B94DB2" w:rsidP="00B94DB2">
      <w:pPr>
        <w:tabs>
          <w:tab w:val="num" w:pos="720"/>
        </w:tabs>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The authors declare that they have no competing interests.</w:t>
      </w:r>
    </w:p>
    <w:p w:rsidR="00B94DB2" w:rsidRPr="00456FF8" w:rsidRDefault="00B94DB2" w:rsidP="00B94DB2">
      <w:pPr>
        <w:tabs>
          <w:tab w:val="num" w:pos="720"/>
        </w:tabs>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Funding</w:t>
      </w:r>
    </w:p>
    <w:p w:rsidR="00B94DB2" w:rsidRPr="00456FF8" w:rsidRDefault="00B94DB2" w:rsidP="00B94DB2">
      <w:pPr>
        <w:tabs>
          <w:tab w:val="num" w:pos="720"/>
        </w:tabs>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No funding was received for this study.</w:t>
      </w:r>
    </w:p>
    <w:p w:rsidR="00B94DB2" w:rsidRPr="00456FF8" w:rsidRDefault="00B94DB2" w:rsidP="00B94DB2">
      <w:pPr>
        <w:tabs>
          <w:tab w:val="num" w:pos="720"/>
        </w:tabs>
        <w:spacing w:line="480" w:lineRule="auto"/>
        <w:jc w:val="both"/>
        <w:rPr>
          <w:rFonts w:ascii="Times New Roman" w:hAnsi="Times New Roman" w:cs="Times New Roman"/>
          <w:sz w:val="24"/>
          <w:szCs w:val="24"/>
        </w:rPr>
      </w:pPr>
      <w:r w:rsidRPr="00456FF8">
        <w:rPr>
          <w:rFonts w:ascii="Times New Roman" w:hAnsi="Times New Roman" w:cs="Times New Roman"/>
          <w:b/>
          <w:sz w:val="24"/>
          <w:szCs w:val="24"/>
        </w:rPr>
        <w:t>Authors’ Contributions</w:t>
      </w:r>
    </w:p>
    <w:p w:rsidR="00B94DB2" w:rsidRPr="00456FF8" w:rsidRDefault="00B94DB2" w:rsidP="00B94DB2">
      <w:pPr>
        <w:tabs>
          <w:tab w:val="num" w:pos="720"/>
        </w:tabs>
        <w:spacing w:line="480" w:lineRule="auto"/>
        <w:jc w:val="both"/>
        <w:rPr>
          <w:rFonts w:ascii="Times New Roman" w:hAnsi="Times New Roman" w:cs="Times New Roman"/>
          <w:b/>
          <w:sz w:val="24"/>
          <w:szCs w:val="24"/>
        </w:rPr>
      </w:pPr>
      <w:r w:rsidRPr="00456FF8">
        <w:rPr>
          <w:rFonts w:ascii="Times New Roman" w:hAnsi="Times New Roman" w:cs="Times New Roman"/>
          <w:sz w:val="24"/>
          <w:szCs w:val="24"/>
        </w:rPr>
        <w:t>EKA conceived the study, EKA and CN conducted the search and extracted the data. EKA and CN conducted the quality assessment. EKA, CN, AD and NTT compiled, designed the study, interpreted the data and revised the manuscript. All authors read and approved the final version.</w:t>
      </w:r>
    </w:p>
    <w:p w:rsidR="00B94DB2" w:rsidRPr="00456FF8" w:rsidRDefault="00B94DB2" w:rsidP="00B94DB2">
      <w:pPr>
        <w:tabs>
          <w:tab w:val="num" w:pos="720"/>
        </w:tabs>
        <w:spacing w:line="480" w:lineRule="auto"/>
        <w:jc w:val="both"/>
        <w:rPr>
          <w:rFonts w:ascii="Times New Roman" w:hAnsi="Times New Roman" w:cs="Times New Roman"/>
          <w:b/>
          <w:sz w:val="24"/>
          <w:szCs w:val="24"/>
        </w:rPr>
      </w:pPr>
      <w:r w:rsidRPr="00456FF8">
        <w:rPr>
          <w:rFonts w:ascii="Times New Roman" w:hAnsi="Times New Roman" w:cs="Times New Roman"/>
          <w:b/>
          <w:sz w:val="24"/>
          <w:szCs w:val="24"/>
        </w:rPr>
        <w:t>Acknowledgements</w:t>
      </w:r>
    </w:p>
    <w:p w:rsidR="00B94DB2" w:rsidRDefault="00B94DB2" w:rsidP="00B94DB2">
      <w:pPr>
        <w:tabs>
          <w:tab w:val="num" w:pos="720"/>
        </w:tabs>
        <w:spacing w:line="480" w:lineRule="auto"/>
        <w:jc w:val="both"/>
        <w:rPr>
          <w:rFonts w:ascii="Times New Roman" w:hAnsi="Times New Roman" w:cs="Times New Roman"/>
          <w:sz w:val="24"/>
          <w:szCs w:val="24"/>
        </w:rPr>
      </w:pPr>
      <w:r w:rsidRPr="00456FF8">
        <w:rPr>
          <w:rFonts w:ascii="Times New Roman" w:hAnsi="Times New Roman" w:cs="Times New Roman"/>
          <w:sz w:val="24"/>
          <w:szCs w:val="24"/>
        </w:rPr>
        <w:t>We express our profound gratitude to the Faculty of Health, University of Technology Sydney, for funding this study.</w:t>
      </w: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Pr="00CA7DC3" w:rsidRDefault="00B94DB2" w:rsidP="00B94DB2">
      <w:pPr>
        <w:pStyle w:val="EndNoteBibliography"/>
        <w:spacing w:after="0" w:line="480" w:lineRule="auto"/>
        <w:rPr>
          <w:rFonts w:ascii="Times New Roman" w:hAnsi="Times New Roman" w:cs="Times New Roman"/>
          <w:b/>
          <w:sz w:val="24"/>
          <w:szCs w:val="24"/>
        </w:rPr>
      </w:pPr>
      <w:r w:rsidRPr="00CA7DC3">
        <w:rPr>
          <w:rFonts w:ascii="Times New Roman" w:hAnsi="Times New Roman" w:cs="Times New Roman"/>
          <w:b/>
          <w:sz w:val="24"/>
          <w:szCs w:val="24"/>
        </w:rPr>
        <w:t>References</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1.</w:t>
      </w:r>
      <w:r w:rsidRPr="00CA7DC3">
        <w:rPr>
          <w:rFonts w:ascii="Times New Roman" w:hAnsi="Times New Roman" w:cs="Times New Roman"/>
          <w:sz w:val="24"/>
          <w:szCs w:val="24"/>
        </w:rPr>
        <w:tab/>
        <w:t>Awoonor-Williams JK, Bailey PE, Yeji F et al. Conducting an audit to improve the facilitation of emergency maternal and newborn referral in northern Ghana. Global Public Health. 2015;10(9):1118-33.</w:t>
      </w:r>
    </w:p>
    <w:p w:rsidR="00B94DB2" w:rsidRPr="00CA7DC3" w:rsidRDefault="00B94DB2" w:rsidP="00B94DB2">
      <w:pPr>
        <w:pStyle w:val="EndNoteBibliography"/>
        <w:spacing w:after="0" w:line="480" w:lineRule="auto"/>
        <w:rPr>
          <w:rFonts w:ascii="Times New Roman" w:hAnsi="Times New Roman" w:cs="Times New Roman"/>
          <w:sz w:val="24"/>
          <w:szCs w:val="24"/>
          <w:lang w:val="nl-NL"/>
        </w:rPr>
      </w:pPr>
      <w:r w:rsidRPr="00CA7DC3">
        <w:rPr>
          <w:rFonts w:ascii="Times New Roman" w:hAnsi="Times New Roman" w:cs="Times New Roman"/>
          <w:sz w:val="24"/>
          <w:szCs w:val="24"/>
        </w:rPr>
        <w:t>2.</w:t>
      </w:r>
      <w:r w:rsidRPr="00CA7DC3">
        <w:rPr>
          <w:rFonts w:ascii="Times New Roman" w:hAnsi="Times New Roman" w:cs="Times New Roman"/>
          <w:sz w:val="24"/>
          <w:szCs w:val="24"/>
        </w:rPr>
        <w:tab/>
        <w:t xml:space="preserve">Hussein J, Kanguru L, Astin M et al. The effectiveness of emergency obstetric referral interventions in developing country settings: a systematic review. </w:t>
      </w:r>
      <w:r w:rsidRPr="00CA7DC3">
        <w:rPr>
          <w:rFonts w:ascii="Times New Roman" w:hAnsi="Times New Roman" w:cs="Times New Roman"/>
          <w:sz w:val="24"/>
          <w:szCs w:val="24"/>
          <w:lang w:val="nl-NL"/>
        </w:rPr>
        <w:t>PLoS Medicine. 2012;9(7):e1001264.</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lang w:val="nl-NL"/>
        </w:rPr>
        <w:t>3.</w:t>
      </w:r>
      <w:r w:rsidRPr="00CA7DC3">
        <w:rPr>
          <w:rFonts w:ascii="Times New Roman" w:hAnsi="Times New Roman" w:cs="Times New Roman"/>
          <w:sz w:val="24"/>
          <w:szCs w:val="24"/>
          <w:lang w:val="nl-NL"/>
        </w:rPr>
        <w:tab/>
        <w:t xml:space="preserve">Pattinson R, Kerber K, Buchmann E, et al. </w:t>
      </w:r>
      <w:r w:rsidRPr="00CA7DC3">
        <w:rPr>
          <w:rFonts w:ascii="Times New Roman" w:hAnsi="Times New Roman" w:cs="Times New Roman"/>
          <w:sz w:val="24"/>
          <w:szCs w:val="24"/>
        </w:rPr>
        <w:t>Stillbirths: how can health systems deliver for mothers and babies? The Lancet. 2011;377(9777):1610-23.</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4.</w:t>
      </w:r>
      <w:r w:rsidRPr="00CA7DC3">
        <w:rPr>
          <w:rFonts w:ascii="Times New Roman" w:hAnsi="Times New Roman" w:cs="Times New Roman"/>
          <w:sz w:val="24"/>
          <w:szCs w:val="24"/>
        </w:rPr>
        <w:tab/>
        <w:t>Tunçalp Ö, Hindin MJ, Souza J et al. The prevalence of maternal near miss: a systematic review. J BJOG: An International Journal of Obstetrics Gynaecology. 2012;119(6):653-61.</w:t>
      </w:r>
    </w:p>
    <w:p w:rsidR="00B94DB2" w:rsidRPr="00CA7DC3" w:rsidRDefault="00B94DB2" w:rsidP="00B94DB2">
      <w:pPr>
        <w:pStyle w:val="EndNoteBibliography"/>
        <w:spacing w:after="0" w:line="480" w:lineRule="auto"/>
        <w:rPr>
          <w:rFonts w:ascii="Times New Roman" w:hAnsi="Times New Roman" w:cs="Times New Roman"/>
          <w:sz w:val="24"/>
          <w:szCs w:val="24"/>
          <w:lang w:val="nl-NL"/>
        </w:rPr>
      </w:pPr>
      <w:r w:rsidRPr="00CA7DC3">
        <w:rPr>
          <w:rFonts w:ascii="Times New Roman" w:hAnsi="Times New Roman" w:cs="Times New Roman"/>
          <w:sz w:val="24"/>
          <w:szCs w:val="24"/>
        </w:rPr>
        <w:t>5.</w:t>
      </w:r>
      <w:r w:rsidRPr="00CA7DC3">
        <w:rPr>
          <w:rFonts w:ascii="Times New Roman" w:hAnsi="Times New Roman" w:cs="Times New Roman"/>
          <w:sz w:val="24"/>
          <w:szCs w:val="24"/>
        </w:rPr>
        <w:tab/>
        <w:t xml:space="preserve">Geller SE, Koch AR, Garland CE et al. A global view of severe maternal morbidity: moving beyond maternal mortality. </w:t>
      </w:r>
      <w:r w:rsidRPr="00CA7DC3">
        <w:rPr>
          <w:rFonts w:ascii="Times New Roman" w:hAnsi="Times New Roman" w:cs="Times New Roman"/>
          <w:sz w:val="24"/>
          <w:szCs w:val="24"/>
          <w:lang w:val="nl-NL"/>
        </w:rPr>
        <w:t>Reproductive Health. 2018;15(1):98.</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lang w:val="nl-NL"/>
        </w:rPr>
        <w:t>6.</w:t>
      </w:r>
      <w:r w:rsidRPr="00CA7DC3">
        <w:rPr>
          <w:rFonts w:ascii="Times New Roman" w:hAnsi="Times New Roman" w:cs="Times New Roman"/>
          <w:sz w:val="24"/>
          <w:szCs w:val="24"/>
          <w:lang w:val="nl-NL"/>
        </w:rPr>
        <w:tab/>
        <w:t xml:space="preserve">Tura AK, Trang TL, van den Akker T, et al. </w:t>
      </w:r>
      <w:r w:rsidRPr="00CA7DC3">
        <w:rPr>
          <w:rFonts w:ascii="Times New Roman" w:hAnsi="Times New Roman" w:cs="Times New Roman"/>
          <w:sz w:val="24"/>
          <w:szCs w:val="24"/>
        </w:rPr>
        <w:t>Applicability of the WHO maternal near miss tool in sub-Saharan Africa: a systematic review. BMC Pregnancy and Childbirth. 2019;19(1):79.</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7.</w:t>
      </w:r>
      <w:r w:rsidRPr="00CA7DC3">
        <w:rPr>
          <w:rFonts w:ascii="Times New Roman" w:hAnsi="Times New Roman" w:cs="Times New Roman"/>
          <w:sz w:val="24"/>
          <w:szCs w:val="24"/>
        </w:rPr>
        <w:tab/>
        <w:t>Paxton A, Maine D, Freedman L et al. The evidence for emergency obstetric care. International Journal of Gynecology &amp; Obstetrics. 2005;88(2):181-93.</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8.</w:t>
      </w:r>
      <w:r w:rsidRPr="00CA7DC3">
        <w:rPr>
          <w:rFonts w:ascii="Times New Roman" w:hAnsi="Times New Roman" w:cs="Times New Roman"/>
          <w:sz w:val="24"/>
          <w:szCs w:val="24"/>
        </w:rPr>
        <w:tab/>
        <w:t>Okafor I, Arinze‑Onyia S, Ohayi S et al. Audit of Childbirth Emergency Referrals by Trained Traditional Birth Attendants in Enugu, Southeast, Nigeria. Annals of Medical and Health Sciences Research 2015;5(4):305-10.</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lang w:val="nl-NL"/>
        </w:rPr>
        <w:t>9.</w:t>
      </w:r>
      <w:r w:rsidRPr="00CA7DC3">
        <w:rPr>
          <w:rFonts w:ascii="Times New Roman" w:hAnsi="Times New Roman" w:cs="Times New Roman"/>
          <w:sz w:val="24"/>
          <w:szCs w:val="24"/>
          <w:lang w:val="nl-NL"/>
        </w:rPr>
        <w:tab/>
        <w:t xml:space="preserve">Nyamtema AS, Mwakatundu N, Dominico S, et al. </w:t>
      </w:r>
      <w:r w:rsidRPr="00CA7DC3">
        <w:rPr>
          <w:rFonts w:ascii="Times New Roman" w:hAnsi="Times New Roman" w:cs="Times New Roman"/>
          <w:sz w:val="24"/>
          <w:szCs w:val="24"/>
        </w:rPr>
        <w:t>Enhancing Maternal and Perinatal Health in Under-Served Remote Areas in Sub-Saharan Africa: A Tanzanian Model. PLoS One. 2016;11(3):e0151419.</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10.</w:t>
      </w:r>
      <w:r w:rsidRPr="00CA7DC3">
        <w:rPr>
          <w:rFonts w:ascii="Times New Roman" w:hAnsi="Times New Roman" w:cs="Times New Roman"/>
          <w:sz w:val="24"/>
          <w:szCs w:val="24"/>
        </w:rPr>
        <w:tab/>
        <w:t>WHO, UNFPA, UNICEF et al. Monitoring emergency obstetric care: a handbook. WHO Press, Geneva, Switzerland; 2009.</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11.</w:t>
      </w:r>
      <w:r w:rsidRPr="00CA7DC3">
        <w:rPr>
          <w:rFonts w:ascii="Times New Roman" w:hAnsi="Times New Roman" w:cs="Times New Roman"/>
          <w:sz w:val="24"/>
          <w:szCs w:val="24"/>
        </w:rPr>
        <w:tab/>
        <w:t>WHO. Standards for improving quality of maternal and newborn care in health facilities. Geneva, Switzerland: World Health Organisation; 2016.</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12.</w:t>
      </w:r>
      <w:r w:rsidRPr="00CA7DC3">
        <w:rPr>
          <w:rFonts w:ascii="Times New Roman" w:hAnsi="Times New Roman" w:cs="Times New Roman"/>
          <w:sz w:val="24"/>
          <w:szCs w:val="24"/>
        </w:rPr>
        <w:tab/>
        <w:t>WHO. WHO Recommended Interventions for Improving Maternal and Newborn Health. Geneva, Switzerland: World Health Organization; 2009.</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13.</w:t>
      </w:r>
      <w:r w:rsidRPr="00CA7DC3">
        <w:rPr>
          <w:rFonts w:ascii="Times New Roman" w:hAnsi="Times New Roman" w:cs="Times New Roman"/>
          <w:sz w:val="24"/>
          <w:szCs w:val="24"/>
        </w:rPr>
        <w:tab/>
        <w:t xml:space="preserve">M'Rithaa DK, Fawcus S, Korpela M et al. The expected and actual communication of health care workers during the management of intrapartum: An interpretive multiple case study. </w:t>
      </w:r>
      <w:r w:rsidRPr="00CA7DC3">
        <w:rPr>
          <w:rFonts w:ascii="Times New Roman" w:hAnsi="Times New Roman" w:cs="Times New Roman"/>
          <w:i/>
          <w:iCs/>
          <w:sz w:val="24"/>
          <w:szCs w:val="24"/>
        </w:rPr>
        <w:t>African Journal of Primary Health Care &amp; Family Medicine.</w:t>
      </w:r>
      <w:r w:rsidRPr="00CA7DC3">
        <w:rPr>
          <w:rFonts w:ascii="Times New Roman" w:hAnsi="Times New Roman" w:cs="Times New Roman"/>
          <w:sz w:val="24"/>
          <w:szCs w:val="24"/>
        </w:rPr>
        <w:t xml:space="preserve"> 2015;7(1).</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14.</w:t>
      </w:r>
      <w:r w:rsidRPr="00CA7DC3">
        <w:rPr>
          <w:rFonts w:ascii="Times New Roman" w:hAnsi="Times New Roman" w:cs="Times New Roman"/>
          <w:sz w:val="24"/>
          <w:szCs w:val="24"/>
        </w:rPr>
        <w:tab/>
        <w:t>Federal Democratic Republic of Ethiopia. Guideline for implementation of a Patient Referral System. Ministry of Health; 2010.</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15.</w:t>
      </w:r>
      <w:r w:rsidRPr="00CA7DC3">
        <w:rPr>
          <w:rFonts w:ascii="Times New Roman" w:hAnsi="Times New Roman" w:cs="Times New Roman"/>
          <w:sz w:val="24"/>
          <w:szCs w:val="24"/>
        </w:rPr>
        <w:tab/>
        <w:t>Ministry of Health. Ministry of Health Referral Policy and Guidelines. Ghana, Accra: Ministry of Health; 2012.</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16.</w:t>
      </w:r>
      <w:r w:rsidRPr="00CA7DC3">
        <w:rPr>
          <w:rFonts w:ascii="Times New Roman" w:hAnsi="Times New Roman" w:cs="Times New Roman"/>
          <w:sz w:val="24"/>
          <w:szCs w:val="24"/>
        </w:rPr>
        <w:tab/>
        <w:t>Kenya Ministry of Health. Kenya Health Sector Referral Implementation Guidelines. Nairobi, Kenya: Division of Emergency and Disaster Risk Management, Ministry of Health; 2014.</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17.</w:t>
      </w:r>
      <w:r w:rsidRPr="00CA7DC3">
        <w:rPr>
          <w:rFonts w:ascii="Times New Roman" w:hAnsi="Times New Roman" w:cs="Times New Roman"/>
          <w:sz w:val="24"/>
          <w:szCs w:val="24"/>
        </w:rPr>
        <w:tab/>
        <w:t>Dogba M, Fournier P. Human resources and the quality of emergency obstetric care in developing countries: a systematic review of the literature. Human Resources for Health. 2009;7(1):7.</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18.</w:t>
      </w:r>
      <w:r w:rsidRPr="00CA7DC3">
        <w:rPr>
          <w:rFonts w:ascii="Times New Roman" w:hAnsi="Times New Roman" w:cs="Times New Roman"/>
          <w:sz w:val="24"/>
          <w:szCs w:val="24"/>
        </w:rPr>
        <w:tab/>
        <w:t>Das A, Gopalan SS, Chandramohan D. Effect of pay for performance to improve quality of maternal and child care in low- and middle-income countries: a systematic review. BMC Public Health. 2016;16(1):321.</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19.</w:t>
      </w:r>
      <w:r w:rsidRPr="00CA7DC3">
        <w:rPr>
          <w:rFonts w:ascii="Times New Roman" w:hAnsi="Times New Roman" w:cs="Times New Roman"/>
          <w:sz w:val="24"/>
          <w:szCs w:val="24"/>
        </w:rPr>
        <w:tab/>
        <w:t>Fikre R. Factors that can affect the quality of emergency obstetric care in the health center level in developing countries: a systematic review of the literature. Pyrex Journal of Nursing and Midwifery. 2016;2(2):7-11.</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20.</w:t>
      </w:r>
      <w:r w:rsidRPr="00CA7DC3">
        <w:rPr>
          <w:rFonts w:ascii="Times New Roman" w:hAnsi="Times New Roman" w:cs="Times New Roman"/>
          <w:sz w:val="24"/>
          <w:szCs w:val="24"/>
        </w:rPr>
        <w:tab/>
        <w:t>Mahato PK, Van Teijlingen E, Simkhada P et al. Determinants of quality of care and access to Basic Emergency Obstetric and Neonatal Care facilities and midwife-led facilities in low and middle-income countries: A Systematic Review. Journal of Asian Midwives. 2018;4(2):25-61.</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21.</w:t>
      </w:r>
      <w:r w:rsidRPr="00CA7DC3">
        <w:rPr>
          <w:rFonts w:ascii="Times New Roman" w:hAnsi="Times New Roman" w:cs="Times New Roman"/>
          <w:sz w:val="24"/>
          <w:szCs w:val="24"/>
        </w:rPr>
        <w:tab/>
        <w:t>CRD. Systematic reviews CRD’s guidance for undertaking reviews in health care. York: Centre for Reviews and Dissemination, University of York; 2009.</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22.</w:t>
      </w:r>
      <w:r w:rsidRPr="00CA7DC3">
        <w:rPr>
          <w:rFonts w:ascii="Times New Roman" w:hAnsi="Times New Roman" w:cs="Times New Roman"/>
          <w:sz w:val="24"/>
          <w:szCs w:val="24"/>
        </w:rPr>
        <w:tab/>
        <w:t>Hulton L, Matthews Z, Stones RW. A framework for the evaluation of quality of care in maternity services. University of Southampton, Southampton; 2000.</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23.</w:t>
      </w:r>
      <w:r w:rsidRPr="00CA7DC3">
        <w:rPr>
          <w:rFonts w:ascii="Times New Roman" w:hAnsi="Times New Roman" w:cs="Times New Roman"/>
          <w:sz w:val="24"/>
          <w:szCs w:val="24"/>
        </w:rPr>
        <w:tab/>
        <w:t>WHO. Monitoring the building blocks of health systems: a handbook of indicators and their measurement strategies: World Health Organization; 2010.</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24.</w:t>
      </w:r>
      <w:r w:rsidRPr="00CA7DC3">
        <w:rPr>
          <w:rFonts w:ascii="Times New Roman" w:hAnsi="Times New Roman" w:cs="Times New Roman"/>
          <w:sz w:val="24"/>
          <w:szCs w:val="24"/>
        </w:rPr>
        <w:tab/>
        <w:t xml:space="preserve">The World Bank. World Bank Country and Lending Groups 2018 [Available from: </w:t>
      </w:r>
      <w:hyperlink r:id="rId6" w:history="1">
        <w:r w:rsidRPr="00CA7DC3">
          <w:rPr>
            <w:rStyle w:val="Hyperlink"/>
            <w:rFonts w:ascii="Times New Roman" w:hAnsi="Times New Roman" w:cs="Times New Roman"/>
            <w:sz w:val="24"/>
            <w:szCs w:val="24"/>
          </w:rPr>
          <w:t>https://datahelpdesk.worldbank.org/knowledgebase/articles/906519-world-bank-country-and-lending-groups</w:t>
        </w:r>
      </w:hyperlink>
      <w:r w:rsidRPr="00CA7DC3">
        <w:rPr>
          <w:rFonts w:ascii="Times New Roman" w:hAnsi="Times New Roman" w:cs="Times New Roman"/>
          <w:sz w:val="24"/>
          <w:szCs w:val="24"/>
        </w:rPr>
        <w:t>.</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25.</w:t>
      </w:r>
      <w:r w:rsidRPr="00CA7DC3">
        <w:rPr>
          <w:rFonts w:ascii="Times New Roman" w:hAnsi="Times New Roman" w:cs="Times New Roman"/>
          <w:sz w:val="24"/>
          <w:szCs w:val="24"/>
        </w:rPr>
        <w:tab/>
        <w:t>Moher D, Liberati A, Tetzlaff J. et al. Preferred reporting items for systematic reviews and meta-analyses: the PRISMA statement. PLoS Medicine. 2009;6(7):e1000097.</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26.</w:t>
      </w:r>
      <w:r w:rsidRPr="00CA7DC3">
        <w:rPr>
          <w:rFonts w:ascii="Times New Roman" w:hAnsi="Times New Roman" w:cs="Times New Roman"/>
          <w:sz w:val="24"/>
          <w:szCs w:val="24"/>
        </w:rPr>
        <w:tab/>
        <w:t xml:space="preserve">CASP. CASP Qualitative Checklist 2018 [cited 2019 11/03]. Available from: </w:t>
      </w:r>
      <w:hyperlink r:id="rId7" w:history="1">
        <w:r w:rsidRPr="00CA7DC3">
          <w:rPr>
            <w:rStyle w:val="Hyperlink"/>
            <w:rFonts w:ascii="Times New Roman" w:hAnsi="Times New Roman" w:cs="Times New Roman"/>
            <w:sz w:val="24"/>
            <w:szCs w:val="24"/>
          </w:rPr>
          <w:t>http://www.casp-uk.net</w:t>
        </w:r>
      </w:hyperlink>
      <w:r w:rsidRPr="00CA7DC3">
        <w:rPr>
          <w:rFonts w:ascii="Times New Roman" w:hAnsi="Times New Roman" w:cs="Times New Roman"/>
          <w:sz w:val="24"/>
          <w:szCs w:val="24"/>
        </w:rPr>
        <w:t>.</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27.</w:t>
      </w:r>
      <w:r w:rsidRPr="00CA7DC3">
        <w:rPr>
          <w:rFonts w:ascii="Times New Roman" w:hAnsi="Times New Roman" w:cs="Times New Roman"/>
          <w:sz w:val="24"/>
          <w:szCs w:val="24"/>
        </w:rPr>
        <w:tab/>
        <w:t>Law M, Stewart D, Pollock N. et al. Critical Review Form-Quantitative Studies. McMaster University; 1998.</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28.</w:t>
      </w:r>
      <w:r w:rsidRPr="00CA7DC3">
        <w:rPr>
          <w:rFonts w:ascii="Times New Roman" w:hAnsi="Times New Roman" w:cs="Times New Roman"/>
          <w:sz w:val="24"/>
          <w:szCs w:val="24"/>
        </w:rPr>
        <w:tab/>
        <w:t>Haggarty L. What is content analysis? Medical Teacher. 1996;18(2):99-101.</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29.</w:t>
      </w:r>
      <w:r w:rsidRPr="00CA7DC3">
        <w:rPr>
          <w:rFonts w:ascii="Times New Roman" w:hAnsi="Times New Roman" w:cs="Times New Roman"/>
          <w:sz w:val="24"/>
          <w:szCs w:val="24"/>
        </w:rPr>
        <w:tab/>
        <w:t>Akaba GO, Ekele BA. Maternal and fetal outcomes of emergency obstetric referrals to a Nigerian teaching hospital. Tropical Doctor. 2018;48(2):132-5.</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30.</w:t>
      </w:r>
      <w:r w:rsidRPr="00CA7DC3">
        <w:rPr>
          <w:rFonts w:ascii="Times New Roman" w:hAnsi="Times New Roman" w:cs="Times New Roman"/>
          <w:sz w:val="24"/>
          <w:szCs w:val="24"/>
        </w:rPr>
        <w:tab/>
        <w:t>Abodunrin O, Akande T, Musa I et al. Determinants of Referral Practices of Clients by Traditional Birth Attendants in Ilorin, Nigeria. African Journal of Reproductive Health. 2010;14(2):77-84.</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31.</w:t>
      </w:r>
      <w:r w:rsidRPr="00CA7DC3">
        <w:rPr>
          <w:rFonts w:ascii="Times New Roman" w:hAnsi="Times New Roman" w:cs="Times New Roman"/>
          <w:sz w:val="24"/>
          <w:szCs w:val="24"/>
        </w:rPr>
        <w:tab/>
        <w:t>Carnahan LR, Geller SE, Leshabari S. et al. Healthcare providers' knowledge and practices associated with postpartum haemorrhage during facility delivery in Dar es Salaam, Tanzania. International Journal of Gynecology &amp; Obstetrics. 2016;135(3):268-71.</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32.</w:t>
      </w:r>
      <w:r w:rsidRPr="00CA7DC3">
        <w:rPr>
          <w:rFonts w:ascii="Times New Roman" w:hAnsi="Times New Roman" w:cs="Times New Roman"/>
          <w:sz w:val="24"/>
          <w:szCs w:val="24"/>
        </w:rPr>
        <w:tab/>
        <w:t>Goodman DM, Srofenyoh EK, Olufolabi AJ et al. The third delay: understanding waiting time for obstetric referrals at a large regional hospital in Ghana. BMC Pregnancy &amp; Childbirth. 2017;17(1):216.</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33.</w:t>
      </w:r>
      <w:r w:rsidRPr="00CA7DC3">
        <w:rPr>
          <w:rFonts w:ascii="Times New Roman" w:hAnsi="Times New Roman" w:cs="Times New Roman"/>
          <w:sz w:val="24"/>
          <w:szCs w:val="24"/>
        </w:rPr>
        <w:tab/>
        <w:t>Kyei-Onanjiri M, Carolan-Olah M, Awoonor-Williams JK et al. Review of emergency obstetric care interventions in health facilities in the Upper East Region of Ghana: A questionnaire survey. BMC Health Services Research. 2018;18(1).</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34.</w:t>
      </w:r>
      <w:r w:rsidRPr="00CA7DC3">
        <w:rPr>
          <w:rFonts w:ascii="Times New Roman" w:hAnsi="Times New Roman" w:cs="Times New Roman"/>
          <w:sz w:val="24"/>
          <w:szCs w:val="24"/>
        </w:rPr>
        <w:tab/>
        <w:t>Strand RT, de Campos PA, Paulsson G. et al. Audit of Referral of Obstetric Emergencies in Angola: A Tool for Assessing Quality of Care. African Journal of Reproductive Health. 2009;13(2 ):75-86.</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35.</w:t>
      </w:r>
      <w:r w:rsidRPr="00CA7DC3">
        <w:rPr>
          <w:rFonts w:ascii="Times New Roman" w:hAnsi="Times New Roman" w:cs="Times New Roman"/>
          <w:sz w:val="24"/>
          <w:szCs w:val="24"/>
        </w:rPr>
        <w:tab/>
        <w:t>Tayler‐Smith K, Zachariah R, Manzi M, et al. An ambulance referral network improves access to emergency obstetric and neonatal care in a district of rural Burundi with high maternal mortality. Tropical Medicine &amp; International Health. 2013;18(8):993-1001.</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36.</w:t>
      </w:r>
      <w:r w:rsidRPr="00CA7DC3">
        <w:rPr>
          <w:rFonts w:ascii="Times New Roman" w:hAnsi="Times New Roman" w:cs="Times New Roman"/>
          <w:sz w:val="24"/>
          <w:szCs w:val="24"/>
        </w:rPr>
        <w:tab/>
        <w:t>Windsma M, Vermeiden T, Braat F, et al. Emergency obstetric care provision in Southern Ethiopia: a facility-based survey. BMJ Open. 2017;7(11):e018459.</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37.</w:t>
      </w:r>
      <w:r w:rsidRPr="00CA7DC3">
        <w:rPr>
          <w:rFonts w:ascii="Times New Roman" w:hAnsi="Times New Roman" w:cs="Times New Roman"/>
          <w:sz w:val="24"/>
          <w:szCs w:val="24"/>
        </w:rPr>
        <w:tab/>
        <w:t>Afari H, Hirschhorn LR, Michaelis A et al. Quality improvement in emergency obstetric referrals: qualitative study of provider perspectives in Assin North District, Ghana. BMJ Open. 2014;4(5):e005052.</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38.</w:t>
      </w:r>
      <w:r w:rsidRPr="00CA7DC3">
        <w:rPr>
          <w:rFonts w:ascii="Times New Roman" w:hAnsi="Times New Roman" w:cs="Times New Roman"/>
          <w:sz w:val="24"/>
          <w:szCs w:val="24"/>
        </w:rPr>
        <w:tab/>
        <w:t>Shimoda K, Leshabari S, Horiuchi S et al. Midwives' intrapartum monitoring process and management resulting in emergency referrals in Tanzania: a qualitative study. BMC Pregnancy &amp; Childbirth. 2015;15:248.</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39.</w:t>
      </w:r>
      <w:r w:rsidRPr="00CA7DC3">
        <w:rPr>
          <w:rFonts w:ascii="Times New Roman" w:hAnsi="Times New Roman" w:cs="Times New Roman"/>
          <w:sz w:val="24"/>
          <w:szCs w:val="24"/>
        </w:rPr>
        <w:tab/>
        <w:t>Mirkuzie AH, Sisay MM, Bedane MM. High proportions of obstetric referrals in Addis Ababa: the case of term premature rupture of membranes. BMC Research Notes. 2016;9:40.</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40.</w:t>
      </w:r>
      <w:r w:rsidRPr="00CA7DC3">
        <w:rPr>
          <w:rFonts w:ascii="Times New Roman" w:hAnsi="Times New Roman" w:cs="Times New Roman"/>
          <w:sz w:val="24"/>
          <w:szCs w:val="24"/>
        </w:rPr>
        <w:tab/>
        <w:t>Nuamah GB, Agyei-Baffour P, Akohene KM et al. Incentives to yield to Obstetric Referrals in deprived areas of Amansie West district in the Ashanti Region, Ghana. International Journal for Equity in Health. 2016;15(1):117.</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41.</w:t>
      </w:r>
      <w:r w:rsidRPr="00CA7DC3">
        <w:rPr>
          <w:rFonts w:ascii="Times New Roman" w:hAnsi="Times New Roman" w:cs="Times New Roman"/>
          <w:sz w:val="24"/>
          <w:szCs w:val="24"/>
        </w:rPr>
        <w:tab/>
        <w:t>Mselle LT, Kohi TW. Healthcare access and quality of birth care: narratives of women living with obstetric fistula in rural Tanzania. Reproductive Health. 2016;13(1):87.</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42.     Nwameme AU, Phillips JF, Adongo PB. Compliance with emergency obstetric care referrals among pregnant women in an urban informal settlement of Accra, Ghana. Maternal &amp; Child Health Journal. 2014;18(6):1403-12.</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43.</w:t>
      </w:r>
      <w:r w:rsidRPr="00CA7DC3">
        <w:rPr>
          <w:rFonts w:ascii="Times New Roman" w:hAnsi="Times New Roman" w:cs="Times New Roman"/>
          <w:sz w:val="24"/>
          <w:szCs w:val="24"/>
        </w:rPr>
        <w:tab/>
        <w:t>Elmusharaf K, Byrne E, AbuAgla A, et al. Patterns and determinants of pathways to reach comprehensive emergency obstetric and neonatal care (CEmONC) in South Sudan: qualitative diagrammatic pathway analysis. BMC Pregnancy &amp; Childbirth. 2017;17(1):278.</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44.</w:t>
      </w:r>
      <w:r w:rsidRPr="00CA7DC3">
        <w:rPr>
          <w:rFonts w:ascii="Times New Roman" w:hAnsi="Times New Roman" w:cs="Times New Roman"/>
          <w:sz w:val="24"/>
          <w:szCs w:val="24"/>
        </w:rPr>
        <w:tab/>
        <w:t>Mirkuzie AH, Sisay MM, Bedane MM. High proportions of obstetric referrals in Addis Ababa: the case of term premature rupture of membranes. BMC Research Notes. 2016;9:40.</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45.</w:t>
      </w:r>
      <w:r w:rsidRPr="00CA7DC3">
        <w:rPr>
          <w:rFonts w:ascii="Times New Roman" w:hAnsi="Times New Roman" w:cs="Times New Roman"/>
          <w:sz w:val="24"/>
          <w:szCs w:val="24"/>
        </w:rPr>
        <w:tab/>
        <w:t>Ueno E, Adegoke AA, Masenga G et al. Skilled Birth Attendants in Tanzania: A Descriptive Study of Cadres and Emergency Obstetric Care Signal Functions Performed. Maternal Child Health Journal. 2015;19(1):155-69.</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46.</w:t>
      </w:r>
      <w:r w:rsidRPr="00CA7DC3">
        <w:rPr>
          <w:rFonts w:ascii="Times New Roman" w:hAnsi="Times New Roman" w:cs="Times New Roman"/>
          <w:sz w:val="24"/>
          <w:szCs w:val="24"/>
        </w:rPr>
        <w:tab/>
        <w:t>Combs Thorsen V, Sundby J, Malata A. Piecing together the maternal death puzzle through narratives: the three delays model revisited. PloS One. 2012;7(12):e52090-e.</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47.</w:t>
      </w:r>
      <w:r w:rsidRPr="00CA7DC3">
        <w:rPr>
          <w:rFonts w:ascii="Times New Roman" w:hAnsi="Times New Roman" w:cs="Times New Roman"/>
          <w:sz w:val="24"/>
          <w:szCs w:val="24"/>
        </w:rPr>
        <w:tab/>
        <w:t>Geleto A, Chojenta C, Musa A et al. Barriers to access and utilization of emergency obstetric care at health facilities in sub-Saharan Africa: a systematic review of literature. Systematic Reviews. 2018;7(1):183.</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48.</w:t>
      </w:r>
      <w:r w:rsidRPr="00CA7DC3">
        <w:rPr>
          <w:rFonts w:ascii="Times New Roman" w:hAnsi="Times New Roman" w:cs="Times New Roman"/>
          <w:sz w:val="24"/>
          <w:szCs w:val="24"/>
        </w:rPr>
        <w:tab/>
        <w:t>Pembe AB, Paulo C, D’mello BS et al. Maternal mortality at Muhimbili National Hospital in Dar-es-Salaam, Tanzania in the year 2011. BMC Pregnancy and Childbirth. 2014;14(1):320.</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49.</w:t>
      </w:r>
      <w:r w:rsidRPr="00CA7DC3">
        <w:rPr>
          <w:rFonts w:ascii="Times New Roman" w:hAnsi="Times New Roman" w:cs="Times New Roman"/>
          <w:sz w:val="24"/>
          <w:szCs w:val="24"/>
        </w:rPr>
        <w:tab/>
        <w:t>Dawson AJ, Buchan J, Duffield C et al. Task shifting and sharing in maternal and reproductive health in low-income countries: a narrative synthesis of current evidence. Health Policy Planning. 2013;29(3):396-408.</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50.</w:t>
      </w:r>
      <w:r w:rsidRPr="00CA7DC3">
        <w:rPr>
          <w:rFonts w:ascii="Times New Roman" w:hAnsi="Times New Roman" w:cs="Times New Roman"/>
          <w:sz w:val="24"/>
          <w:szCs w:val="24"/>
        </w:rPr>
        <w:tab/>
        <w:t>Sibley L, Sipe TA, Koblinsky M. Does traditional birth attendant training improve referral of women with obstetric complications: a review of the evidence. Social Science &amp; Medicine. 2004;1;59(8):1757-68.</w:t>
      </w:r>
      <w:r w:rsidRPr="00CA7DC3" w:rsidDel="0055417E">
        <w:rPr>
          <w:rFonts w:ascii="Times New Roman" w:hAnsi="Times New Roman" w:cs="Times New Roman"/>
          <w:sz w:val="24"/>
          <w:szCs w:val="24"/>
        </w:rPr>
        <w:t xml:space="preserve"> </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51.</w:t>
      </w:r>
      <w:r w:rsidRPr="00CA7DC3">
        <w:rPr>
          <w:rFonts w:ascii="Times New Roman" w:hAnsi="Times New Roman" w:cs="Times New Roman"/>
          <w:sz w:val="24"/>
          <w:szCs w:val="24"/>
        </w:rPr>
        <w:tab/>
        <w:t>Keri L, Kaye D, Sibylle K. Referral practices and perceived barriers to timely obstetric care among Ugandan traditional birth attendants (TBA). African Health Sciences. 2010;10(1):75-81.</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52.</w:t>
      </w:r>
      <w:r w:rsidRPr="00CA7DC3">
        <w:rPr>
          <w:rFonts w:ascii="Times New Roman" w:hAnsi="Times New Roman" w:cs="Times New Roman"/>
          <w:sz w:val="24"/>
          <w:szCs w:val="24"/>
        </w:rPr>
        <w:tab/>
        <w:t>Murray SF, Davies S, Phiri RK et al. Tools for monitoring the effectiveness of district maternity referral systems. Health Policy and Planning. 2001;16(4):353-61.</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53.</w:t>
      </w:r>
      <w:r w:rsidRPr="00CA7DC3">
        <w:rPr>
          <w:rFonts w:ascii="Times New Roman" w:hAnsi="Times New Roman" w:cs="Times New Roman"/>
          <w:sz w:val="24"/>
          <w:szCs w:val="24"/>
        </w:rPr>
        <w:tab/>
        <w:t>Ameh CA, van den Broek N. Making it happen: training health-care providers in emergency obstetric and newborn care. Best Practice &amp; Research Clinical Obstetrics &amp; Gynaecology. 2015;29(8):1077-91.</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54.</w:t>
      </w:r>
      <w:r w:rsidRPr="00CA7DC3">
        <w:rPr>
          <w:rFonts w:ascii="Times New Roman" w:hAnsi="Times New Roman" w:cs="Times New Roman"/>
          <w:sz w:val="24"/>
          <w:szCs w:val="24"/>
        </w:rPr>
        <w:tab/>
        <w:t>Kiruja J, Osman F, Egal JA et al. Maternal near-miss and death incidences–Frequencies, causes and the referral chain in Somaliland: A pilot study using the WHO near-miss approach. Sexual Reproductive Healthcare. 2017;12:30-6.</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55.</w:t>
      </w:r>
      <w:r w:rsidRPr="00CA7DC3">
        <w:rPr>
          <w:rFonts w:ascii="Times New Roman" w:hAnsi="Times New Roman" w:cs="Times New Roman"/>
          <w:sz w:val="24"/>
          <w:szCs w:val="24"/>
        </w:rPr>
        <w:tab/>
        <w:t>Singh S, Doyle P, Campbell OM et al. Referrals between Public Sector Health Institutions for Women with Obstetric High Risk, Complications, or Emergencies in India - A Systematic Review. PloS One. 2016;11(8):e0159793-e.</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56.</w:t>
      </w:r>
      <w:r w:rsidRPr="00CA7DC3">
        <w:rPr>
          <w:rFonts w:ascii="Times New Roman" w:hAnsi="Times New Roman" w:cs="Times New Roman"/>
          <w:sz w:val="24"/>
          <w:szCs w:val="24"/>
        </w:rPr>
        <w:tab/>
        <w:t>Mbachu, II, Ezeama C, Osuagwu K et al. A cross sectional study of maternal near miss and mortality at a rural tertiary centre in southern nigeria. BMC Pregnancy &amp; Childbirth. 2017;17(1):251.</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57.</w:t>
      </w:r>
      <w:r w:rsidRPr="00CA7DC3">
        <w:rPr>
          <w:rFonts w:ascii="Times New Roman" w:hAnsi="Times New Roman" w:cs="Times New Roman"/>
          <w:sz w:val="24"/>
          <w:szCs w:val="24"/>
        </w:rPr>
        <w:tab/>
        <w:t>Frimpong E, Oduro‐Mensah E, Vanotoo L et al. An exploratory case study of the organizational functioning of a decision‐making and referral support call center for frontline providers of maternal and new born care in the Greater Accra Region of Ghana. The International Journal of Health Planning and Management. 2018;33(4):e1112-e23.</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58.</w:t>
      </w:r>
      <w:r w:rsidRPr="00CA7DC3">
        <w:rPr>
          <w:rFonts w:ascii="Times New Roman" w:hAnsi="Times New Roman" w:cs="Times New Roman"/>
          <w:sz w:val="24"/>
          <w:szCs w:val="24"/>
        </w:rPr>
        <w:tab/>
        <w:t>Gitaka J, Natecho A, Mwambeo HM et al. Evaluating quality neonatal care, call Centre service, tele-health and community engagement in reducing newborn morbidity and mortality in Bungoma county, Kenya. BMC Health Services Research. 2018;18(1):493.</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59.</w:t>
      </w:r>
      <w:r w:rsidRPr="00CA7DC3">
        <w:rPr>
          <w:rFonts w:ascii="Times New Roman" w:hAnsi="Times New Roman" w:cs="Times New Roman"/>
          <w:sz w:val="24"/>
          <w:szCs w:val="24"/>
        </w:rPr>
        <w:tab/>
        <w:t>Chowdhury AI, Haider R, Abdullah AYM, et al. Using geospatial techniques to develop an emergency referral transport system for suspected sepsis patients in Bangladesh. PloS One. 2018;13(1):e0191054.</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60.</w:t>
      </w:r>
      <w:r w:rsidRPr="00CA7DC3">
        <w:rPr>
          <w:rFonts w:ascii="Times New Roman" w:hAnsi="Times New Roman" w:cs="Times New Roman"/>
          <w:sz w:val="24"/>
          <w:szCs w:val="24"/>
        </w:rPr>
        <w:tab/>
        <w:t>Harahap NC, Handayani PW, Hidayanto A. Barriers and technologies of maternal and neonatal referral system in developing countries: A narrative review. Informatics in Medicine Unlocked 2019;15:100184.</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61.</w:t>
      </w:r>
      <w:r w:rsidRPr="00CA7DC3">
        <w:rPr>
          <w:rFonts w:ascii="Times New Roman" w:hAnsi="Times New Roman" w:cs="Times New Roman"/>
          <w:sz w:val="24"/>
          <w:szCs w:val="24"/>
        </w:rPr>
        <w:tab/>
        <w:t>Battle JD, Farrow L, Tibaijuka J et al. mHealth for Safer Deliveries: A mixed methods evaluation of the effect of an integrated mobile health intervention on maternal care utilization. Healthc (Amst). 2015;3(4):180-4.</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62.</w:t>
      </w:r>
      <w:r w:rsidRPr="00CA7DC3">
        <w:rPr>
          <w:rFonts w:ascii="Times New Roman" w:hAnsi="Times New Roman" w:cs="Times New Roman"/>
          <w:sz w:val="24"/>
          <w:szCs w:val="24"/>
        </w:rPr>
        <w:tab/>
        <w:t>Martinez B, Ixen EC, Hall-Clifford R, et al. mHealth intervention to improve the continuum of maternal and perinatal care in rural Guatemala: a pragmatic, randomized controlled feasibility trial. Reproductive Health. 2018;15(1):120.</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63.</w:t>
      </w:r>
      <w:r w:rsidRPr="00CA7DC3">
        <w:rPr>
          <w:rFonts w:ascii="Times New Roman" w:hAnsi="Times New Roman" w:cs="Times New Roman"/>
          <w:sz w:val="24"/>
          <w:szCs w:val="24"/>
        </w:rPr>
        <w:tab/>
        <w:t>Ojo AI. mHealth Interventions in South Africa: A Review. SAGE Open. 2018;8(1):2158244018767223.</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64.</w:t>
      </w:r>
      <w:r w:rsidRPr="00CA7DC3">
        <w:rPr>
          <w:rFonts w:ascii="Times New Roman" w:hAnsi="Times New Roman" w:cs="Times New Roman"/>
          <w:sz w:val="24"/>
          <w:szCs w:val="24"/>
        </w:rPr>
        <w:tab/>
        <w:t>Umar AS, Kabamba L. Maternal Mortality in the Main Referral Hospital in Angola, 2010-2014: Understanding the Context for Maternal Deaths Amidst Poor Documentation. International journal of MCH and AIDS. 2016;5(1):61-71.</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65.</w:t>
      </w:r>
      <w:r w:rsidRPr="00CA7DC3">
        <w:rPr>
          <w:rFonts w:ascii="Times New Roman" w:hAnsi="Times New Roman" w:cs="Times New Roman"/>
          <w:sz w:val="24"/>
          <w:szCs w:val="24"/>
        </w:rPr>
        <w:tab/>
        <w:t>Odekunle FF, Odekunle RO, Shankar S. Why sub-Saharan Africa lags in electronic health record adoption and possible strategies to increase its adoption in this region. International Journal of Health Sciences. 2017;11(4):59-64.</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66.</w:t>
      </w:r>
      <w:r w:rsidRPr="00CA7DC3">
        <w:rPr>
          <w:rFonts w:ascii="Times New Roman" w:hAnsi="Times New Roman" w:cs="Times New Roman"/>
          <w:sz w:val="24"/>
          <w:szCs w:val="24"/>
        </w:rPr>
        <w:tab/>
        <w:t>Gyamfi A, Mensah KA, Oduro G, et al. Barriers and facilitators to Electronic Medical Records usage in the Emergency Centre at Komfo Anokye Teaching Hospital, Kumasi-Ghana. African Journal of Emergency Medicine. 2017;7(4):177-82.</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67.</w:t>
      </w:r>
      <w:r w:rsidRPr="00CA7DC3">
        <w:rPr>
          <w:rFonts w:ascii="Times New Roman" w:hAnsi="Times New Roman" w:cs="Times New Roman"/>
          <w:sz w:val="24"/>
          <w:szCs w:val="24"/>
        </w:rPr>
        <w:tab/>
        <w:t>Giovine A, Ostrowski C. Improving transportation and referral for maternal health: knowledge gaps &amp; recommendations. A technical report for the Woodrow Wilson International Center for Scholars; 2010.</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68.</w:t>
      </w:r>
      <w:r w:rsidRPr="00CA7DC3">
        <w:rPr>
          <w:rFonts w:ascii="Times New Roman" w:hAnsi="Times New Roman" w:cs="Times New Roman"/>
          <w:sz w:val="24"/>
          <w:szCs w:val="24"/>
        </w:rPr>
        <w:tab/>
        <w:t>Murray SF, Pearson S. Maternity referral systems in developing countries: current knowledge and future research needs. Social Science Medicine. 2006;62(9):2205-15.</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69.</w:t>
      </w:r>
      <w:r w:rsidRPr="00CA7DC3">
        <w:rPr>
          <w:rFonts w:ascii="Times New Roman" w:hAnsi="Times New Roman" w:cs="Times New Roman"/>
          <w:sz w:val="24"/>
          <w:szCs w:val="24"/>
        </w:rPr>
        <w:tab/>
        <w:t>Bailey PE, Keyes EB, Parker C et al. Using a GIS to model interventions to strengthen the emergency referral system for maternal and newborn health in Ethiopia. International Journal of Gynecology Obstetrics 2011;115(3):300-9.</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70.</w:t>
      </w:r>
      <w:r w:rsidRPr="00CA7DC3">
        <w:rPr>
          <w:rFonts w:ascii="Times New Roman" w:hAnsi="Times New Roman" w:cs="Times New Roman"/>
          <w:sz w:val="24"/>
          <w:szCs w:val="24"/>
        </w:rPr>
        <w:tab/>
        <w:t>Surridge M, Green C, Kaluba D et al. Filling a Gap in the Referral System: Linking Communities to Quality Maternal Health Care via an Emergency Transport System in Six Districts of Zambia. Report Prepared for Mobilising Access to Maternal Health Services in Zambia. 2014.</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71.</w:t>
      </w:r>
      <w:r w:rsidRPr="00CA7DC3">
        <w:rPr>
          <w:rFonts w:ascii="Times New Roman" w:hAnsi="Times New Roman" w:cs="Times New Roman"/>
          <w:sz w:val="24"/>
          <w:szCs w:val="24"/>
        </w:rPr>
        <w:tab/>
        <w:t>Hofman JJ, Dzimadzi C, Lungu K,  et al. Motorcycle ambulances for referral of obstetric emergencies in rural Malawi: do they reduce delay and what do they cost? International Journal of Gynecology Obstetrics and Gynecology. 2008;102(2):191-7.</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72.</w:t>
      </w:r>
      <w:r w:rsidRPr="00CA7DC3">
        <w:rPr>
          <w:rFonts w:ascii="Times New Roman" w:hAnsi="Times New Roman" w:cs="Times New Roman"/>
          <w:sz w:val="24"/>
          <w:szCs w:val="24"/>
        </w:rPr>
        <w:tab/>
        <w:t>Ngoma T, Asiimwe AR, Mukasa J, et al. Addressing the Second Delay in Saving Mothers, Giving Life Districts in Uganda and Zambia: reaching appropriate maternal care in a timely manner. Global Health: Science &amp; Practice. 2019;7(Supplement 1):S68-S84.</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73.</w:t>
      </w:r>
      <w:r w:rsidRPr="00CA7DC3">
        <w:rPr>
          <w:rFonts w:ascii="Times New Roman" w:hAnsi="Times New Roman" w:cs="Times New Roman"/>
          <w:sz w:val="24"/>
          <w:szCs w:val="24"/>
        </w:rPr>
        <w:tab/>
        <w:t>Pembe AB, Urassa DP, Darj E, et al. Qualitative study on maternal referrals in rural Tanzania: decision making and acceptance of referral advice. African Journal of Reproductive Health. 2008;12(2):120-31.</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74.</w:t>
      </w:r>
      <w:r w:rsidRPr="00CA7DC3">
        <w:rPr>
          <w:rFonts w:ascii="Times New Roman" w:hAnsi="Times New Roman" w:cs="Times New Roman"/>
          <w:sz w:val="24"/>
          <w:szCs w:val="24"/>
        </w:rPr>
        <w:tab/>
        <w:t>Pembe AB, Carlstedt A, Urassa DP,  et al. Effectiveness of maternal referral system in a rural setting: a case study from Rufiji district, Tanzania. BMC Health Services Research. 2010;10:326.</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75.</w:t>
      </w:r>
      <w:r w:rsidRPr="00CA7DC3">
        <w:rPr>
          <w:rFonts w:ascii="Times New Roman" w:hAnsi="Times New Roman" w:cs="Times New Roman"/>
          <w:sz w:val="24"/>
          <w:szCs w:val="24"/>
        </w:rPr>
        <w:tab/>
        <w:t>Hatt LE, Makinen M, Madhavan S et al. Effects of user fee exemptions on the provision and use of maternal health services: a review of literature. Journal of Health, Population and Nutrition. 2013;31(4 Suppl 2):S67.</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76.</w:t>
      </w:r>
      <w:r w:rsidRPr="00CA7DC3">
        <w:rPr>
          <w:rFonts w:ascii="Times New Roman" w:hAnsi="Times New Roman" w:cs="Times New Roman"/>
          <w:sz w:val="24"/>
          <w:szCs w:val="24"/>
        </w:rPr>
        <w:tab/>
        <w:t>Dennis ML, Abuya T, Campbell OMR,  et al. Evaluating the impact of a maternal health voucher programme on service use before and after the introduction of free maternity services in Kenya: a quasi-experimental study. BMJ Global Health. 2018;3(2):e000726.</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77.</w:t>
      </w:r>
      <w:r w:rsidRPr="00CA7DC3">
        <w:rPr>
          <w:rFonts w:ascii="Times New Roman" w:hAnsi="Times New Roman" w:cs="Times New Roman"/>
          <w:sz w:val="24"/>
          <w:szCs w:val="24"/>
        </w:rPr>
        <w:tab/>
        <w:t>Yarney L. Does knowledge on socio-cultural factors associated with maternal mortality affect maternal health decisions? A cross-sectional study of the Greater Accra region of Ghana. BMC Pregnancy &amp; Childbirth. 2019;19(1):47.</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78.</w:t>
      </w:r>
      <w:r w:rsidRPr="00CA7DC3">
        <w:rPr>
          <w:rFonts w:ascii="Times New Roman" w:hAnsi="Times New Roman" w:cs="Times New Roman"/>
          <w:sz w:val="24"/>
          <w:szCs w:val="24"/>
        </w:rPr>
        <w:tab/>
        <w:t>Dapaah JM, Nachinaab JO. Sociocultural Determinants of the Utilization of Maternal Health Care Services in the Tallensi District in the Upper East Region of Ghana. Advances in Public Health. 2019;2019:11.</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79.</w:t>
      </w:r>
      <w:r w:rsidRPr="00CA7DC3">
        <w:rPr>
          <w:rFonts w:ascii="Times New Roman" w:hAnsi="Times New Roman" w:cs="Times New Roman"/>
          <w:sz w:val="24"/>
          <w:szCs w:val="24"/>
        </w:rPr>
        <w:tab/>
        <w:t>Pembe AB, Mbekenga CK, Olsson P. et al. Why do women not adhere to advice on maternal referral in rural Tanzania? Narratives of women and their family members. Global Health Action. 2017;10(1):1364888.</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80.</w:t>
      </w:r>
      <w:r w:rsidRPr="00CA7DC3">
        <w:rPr>
          <w:rFonts w:ascii="Times New Roman" w:hAnsi="Times New Roman" w:cs="Times New Roman"/>
          <w:sz w:val="24"/>
          <w:szCs w:val="24"/>
        </w:rPr>
        <w:tab/>
        <w:t>Kyomuhendo GB. Low Use of Rural Maternity Services in Uganda: Impact of Women's Status, Traditional Beliefs and Limited Resources. Reproductive Health Matters. 2003;11(21):16-26.</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81.</w:t>
      </w:r>
      <w:r w:rsidRPr="00CA7DC3">
        <w:rPr>
          <w:rFonts w:ascii="Times New Roman" w:hAnsi="Times New Roman" w:cs="Times New Roman"/>
          <w:sz w:val="24"/>
          <w:szCs w:val="24"/>
        </w:rPr>
        <w:tab/>
        <w:t>WHO, Enfants du Monde, PAHO. Working with individuals, families and communities to improve maternal and newborn health: a toolkit for implementation: WHO; 2017 [cited 2019 07/06]. Available from: https://www.who.int/maternal_child_adolescent/documents/community-engagement-mnh-toolkit/en/.</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82.</w:t>
      </w:r>
      <w:r w:rsidRPr="00CA7DC3">
        <w:rPr>
          <w:rFonts w:ascii="Times New Roman" w:hAnsi="Times New Roman" w:cs="Times New Roman"/>
          <w:sz w:val="24"/>
          <w:szCs w:val="24"/>
        </w:rPr>
        <w:tab/>
        <w:t>August F, Pembe AB, Mpembeni R et al. Community health workers can improve male involvement in maternal health: evidence from rural Tanzania. Global Health Action. 2016;9(1):30064.</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83.</w:t>
      </w:r>
      <w:r w:rsidRPr="00CA7DC3">
        <w:rPr>
          <w:rFonts w:ascii="Times New Roman" w:hAnsi="Times New Roman" w:cs="Times New Roman"/>
          <w:sz w:val="24"/>
          <w:szCs w:val="24"/>
        </w:rPr>
        <w:tab/>
        <w:t>Tokhi M, Comrie-Thomson L, Davis J, et al. Involving men to improve maternal and newborn health: A systematic review of the effectiveness of interventions. PLOS One. 2018;13(1):e0191620.</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84.</w:t>
      </w:r>
      <w:r w:rsidRPr="00CA7DC3">
        <w:rPr>
          <w:rFonts w:ascii="Times New Roman" w:hAnsi="Times New Roman" w:cs="Times New Roman"/>
          <w:sz w:val="24"/>
          <w:szCs w:val="24"/>
        </w:rPr>
        <w:tab/>
        <w:t>Elazan SJ, Higgins-Steele AE, Fotso JC et al. Reproductive, maternal, newborn, and child health in the community: Task-sharing between male and female health workers in an Indian rural context. Indian journal of community medicine: official publication of Indian Association of Preventive &amp; Social Medicine. 2016;41(1):34.</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 xml:space="preserve">85. </w:t>
      </w:r>
      <w:r w:rsidRPr="00CA7DC3">
        <w:rPr>
          <w:rFonts w:ascii="Times New Roman" w:hAnsi="Times New Roman" w:cs="Times New Roman"/>
          <w:sz w:val="24"/>
          <w:szCs w:val="24"/>
        </w:rPr>
        <w:tab/>
        <w:t>Mugo NS, Dibley MJ, Damundu EY et al. Barriers Faced by the Health Workers to Deliver Maternal Care Services and Their Perceptions of the Factors Preventing Their Clients from Receiving the Services: A Qualitative Study in South Sudan. Maternal Child Health Journal. 2018;22(11):1598-606.</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86.</w:t>
      </w:r>
      <w:r w:rsidRPr="00CA7DC3">
        <w:rPr>
          <w:rFonts w:ascii="Times New Roman" w:hAnsi="Times New Roman" w:cs="Times New Roman"/>
          <w:sz w:val="24"/>
          <w:szCs w:val="24"/>
        </w:rPr>
        <w:tab/>
        <w:t>Devkota HR, Murray E, Kett M et al. Are maternal healthcare services accessible to vulnerable group? A study among women with disabilities in rural Nepal. PLOS One. 2018;13(7):e0200370.</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87.</w:t>
      </w:r>
      <w:r w:rsidRPr="00CA7DC3">
        <w:rPr>
          <w:rFonts w:ascii="Times New Roman" w:hAnsi="Times New Roman" w:cs="Times New Roman"/>
          <w:sz w:val="24"/>
          <w:szCs w:val="24"/>
        </w:rPr>
        <w:tab/>
        <w:t>Miteniece E, Pavlova M, Shengelia L et al. Barriers to accessing adequate maternal care in Georgia: a qualitative study. BMC Health Services Research. 2018;18(1):631.</w:t>
      </w:r>
    </w:p>
    <w:p w:rsidR="00B94DB2" w:rsidRPr="00CA7DC3" w:rsidRDefault="00B94DB2" w:rsidP="00B94DB2">
      <w:pPr>
        <w:pStyle w:val="EndNoteBibliography"/>
        <w:spacing w:after="0" w:line="480" w:lineRule="auto"/>
        <w:rPr>
          <w:rFonts w:ascii="Times New Roman" w:hAnsi="Times New Roman" w:cs="Times New Roman"/>
          <w:sz w:val="24"/>
          <w:szCs w:val="24"/>
        </w:rPr>
      </w:pPr>
      <w:r w:rsidRPr="00CA7DC3">
        <w:rPr>
          <w:rFonts w:ascii="Times New Roman" w:hAnsi="Times New Roman" w:cs="Times New Roman"/>
          <w:sz w:val="24"/>
          <w:szCs w:val="24"/>
        </w:rPr>
        <w:t>88.</w:t>
      </w:r>
      <w:r w:rsidRPr="00CA7DC3">
        <w:rPr>
          <w:rFonts w:ascii="Times New Roman" w:hAnsi="Times New Roman" w:cs="Times New Roman"/>
          <w:sz w:val="24"/>
          <w:szCs w:val="24"/>
        </w:rPr>
        <w:tab/>
        <w:t>Nilsson L, Thorsell T, Hertfelt WE et al.  Factors influencing positive birth experiences of first-time mothers. Nursing Research and Practice. 2013;2013:349124.</w:t>
      </w:r>
    </w:p>
    <w:p w:rsidR="00B94DB2" w:rsidRPr="00CA7DC3" w:rsidRDefault="00B94DB2" w:rsidP="00B94DB2">
      <w:pPr>
        <w:rPr>
          <w:rFonts w:ascii="Times New Roman" w:hAnsi="Times New Roman" w:cs="Times New Roman"/>
          <w:sz w:val="24"/>
          <w:szCs w:val="24"/>
        </w:rPr>
      </w:pPr>
      <w:r w:rsidRPr="00CA7DC3">
        <w:rPr>
          <w:rFonts w:ascii="Times New Roman" w:hAnsi="Times New Roman" w:cs="Times New Roman"/>
          <w:sz w:val="24"/>
          <w:szCs w:val="24"/>
        </w:rPr>
        <w:t>89.</w:t>
      </w:r>
      <w:r w:rsidRPr="00CA7DC3">
        <w:rPr>
          <w:rFonts w:ascii="Times New Roman" w:hAnsi="Times New Roman" w:cs="Times New Roman"/>
          <w:sz w:val="24"/>
          <w:szCs w:val="24"/>
        </w:rPr>
        <w:tab/>
        <w:t>WHO. Maternal mental health: WHO; 2019 [cited 2019 22/05]. Available from: https://www.who.int/mental_health/maternal-child/maternal_mental_health/en/.</w:t>
      </w:r>
    </w:p>
    <w:p w:rsidR="00B94DB2" w:rsidRDefault="00B94DB2" w:rsidP="00B94DB2">
      <w:pPr>
        <w:tabs>
          <w:tab w:val="num" w:pos="720"/>
        </w:tabs>
        <w:spacing w:line="480" w:lineRule="auto"/>
        <w:jc w:val="both"/>
        <w:rPr>
          <w:rFonts w:ascii="Times New Roman" w:hAnsi="Times New Roman" w:cs="Times New Roman"/>
          <w:sz w:val="24"/>
          <w:szCs w:val="24"/>
        </w:rPr>
      </w:pPr>
    </w:p>
    <w:p w:rsidR="00B94DB2" w:rsidRDefault="00B94DB2" w:rsidP="00B94DB2">
      <w:pPr>
        <w:spacing w:line="480" w:lineRule="auto"/>
        <w:rPr>
          <w:rFonts w:ascii="Times New Roman" w:hAnsi="Times New Roman" w:cs="Times New Roman"/>
          <w:b/>
          <w:sz w:val="24"/>
          <w:szCs w:val="24"/>
        </w:rPr>
      </w:pPr>
    </w:p>
    <w:p w:rsidR="00B94DB2" w:rsidRPr="00456FF8" w:rsidRDefault="00B94DB2" w:rsidP="00B94DB2">
      <w:pPr>
        <w:pStyle w:val="EndNoteBibliography"/>
        <w:spacing w:after="0" w:line="480" w:lineRule="auto"/>
        <w:rPr>
          <w:rFonts w:ascii="Times New Roman" w:hAnsi="Times New Roman" w:cs="Times New Roman"/>
        </w:rPr>
      </w:pPr>
    </w:p>
    <w:p w:rsidR="00B94DB2" w:rsidRPr="00456FF8" w:rsidRDefault="00B94DB2" w:rsidP="00B94DB2">
      <w:pPr>
        <w:pStyle w:val="EndNoteBibliography"/>
        <w:spacing w:after="0" w:line="480" w:lineRule="auto"/>
        <w:rPr>
          <w:rFonts w:ascii="Times New Roman" w:hAnsi="Times New Roman" w:cs="Times New Roman"/>
        </w:rPr>
      </w:pPr>
    </w:p>
    <w:p w:rsidR="00B94DB2" w:rsidRPr="00456FF8" w:rsidRDefault="00B94DB2" w:rsidP="00B94DB2">
      <w:pPr>
        <w:pStyle w:val="EndNoteBibliography"/>
        <w:spacing w:after="0" w:line="480" w:lineRule="auto"/>
        <w:rPr>
          <w:rFonts w:ascii="Times New Roman" w:hAnsi="Times New Roman" w:cs="Times New Roman"/>
        </w:rPr>
      </w:pPr>
    </w:p>
    <w:p w:rsidR="00B94DB2" w:rsidRPr="00456FF8" w:rsidRDefault="00B94DB2" w:rsidP="00B94DB2">
      <w:pPr>
        <w:pStyle w:val="EndNoteBibliography"/>
        <w:spacing w:after="0" w:line="480" w:lineRule="auto"/>
        <w:rPr>
          <w:rFonts w:ascii="Times New Roman" w:hAnsi="Times New Roman" w:cs="Times New Roman"/>
        </w:rPr>
      </w:pPr>
    </w:p>
    <w:p w:rsidR="00B94DB2" w:rsidRPr="00456FF8" w:rsidRDefault="00B94DB2" w:rsidP="00B94DB2">
      <w:pPr>
        <w:spacing w:line="480" w:lineRule="auto"/>
        <w:rPr>
          <w:rFonts w:ascii="Times New Roman" w:hAnsi="Times New Roman" w:cs="Times New Roman"/>
          <w:sz w:val="24"/>
          <w:szCs w:val="24"/>
        </w:rPr>
      </w:pPr>
    </w:p>
    <w:p w:rsidR="00B94DB2" w:rsidRPr="00456FF8" w:rsidRDefault="00B94DB2" w:rsidP="00B94DB2">
      <w:pPr>
        <w:spacing w:line="480" w:lineRule="auto"/>
        <w:rPr>
          <w:rFonts w:ascii="Times New Roman" w:hAnsi="Times New Roman" w:cs="Times New Roman"/>
        </w:rPr>
      </w:pPr>
    </w:p>
    <w:p w:rsidR="006C4700" w:rsidRDefault="00B94DB2"/>
    <w:sectPr w:rsidR="006C4700" w:rsidSect="00247B14">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28034550"/>
      <w:docPartObj>
        <w:docPartGallery w:val="Page Numbers (Bottom of Page)"/>
        <w:docPartUnique/>
      </w:docPartObj>
    </w:sdtPr>
    <w:sdtEndPr>
      <w:rPr>
        <w:noProof/>
      </w:rPr>
    </w:sdtEndPr>
    <w:sdtContent>
      <w:p w:rsidR="00D26A77" w:rsidRDefault="00B94DB2">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D26A77" w:rsidRDefault="00B94DB2">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0DB5"/>
    <w:multiLevelType w:val="hybridMultilevel"/>
    <w:tmpl w:val="297CF5B2"/>
    <w:lvl w:ilvl="0" w:tplc="CF72D9A0">
      <w:start w:val="1"/>
      <w:numFmt w:val="bullet"/>
      <w:lvlText w:val=""/>
      <w:lvlJc w:val="left"/>
      <w:pPr>
        <w:ind w:left="360" w:hanging="360"/>
      </w:pPr>
      <w:rPr>
        <w:rFonts w:ascii="Wingdings" w:hAnsi="Wingdings" w:hint="default"/>
      </w:rPr>
    </w:lvl>
    <w:lvl w:ilvl="1" w:tplc="6D523C78" w:tentative="1">
      <w:start w:val="1"/>
      <w:numFmt w:val="bullet"/>
      <w:lvlText w:val="o"/>
      <w:lvlJc w:val="left"/>
      <w:pPr>
        <w:ind w:left="1080" w:hanging="360"/>
      </w:pPr>
      <w:rPr>
        <w:rFonts w:ascii="Courier New" w:hAnsi="Courier New" w:cs="Courier New" w:hint="default"/>
      </w:rPr>
    </w:lvl>
    <w:lvl w:ilvl="2" w:tplc="4C642768" w:tentative="1">
      <w:start w:val="1"/>
      <w:numFmt w:val="bullet"/>
      <w:lvlText w:val=""/>
      <w:lvlJc w:val="left"/>
      <w:pPr>
        <w:ind w:left="1800" w:hanging="360"/>
      </w:pPr>
      <w:rPr>
        <w:rFonts w:ascii="Wingdings" w:hAnsi="Wingdings" w:hint="default"/>
      </w:rPr>
    </w:lvl>
    <w:lvl w:ilvl="3" w:tplc="33222D6E" w:tentative="1">
      <w:start w:val="1"/>
      <w:numFmt w:val="bullet"/>
      <w:lvlText w:val=""/>
      <w:lvlJc w:val="left"/>
      <w:pPr>
        <w:ind w:left="2520" w:hanging="360"/>
      </w:pPr>
      <w:rPr>
        <w:rFonts w:ascii="Symbol" w:hAnsi="Symbol" w:hint="default"/>
      </w:rPr>
    </w:lvl>
    <w:lvl w:ilvl="4" w:tplc="3B9C5932" w:tentative="1">
      <w:start w:val="1"/>
      <w:numFmt w:val="bullet"/>
      <w:lvlText w:val="o"/>
      <w:lvlJc w:val="left"/>
      <w:pPr>
        <w:ind w:left="3240" w:hanging="360"/>
      </w:pPr>
      <w:rPr>
        <w:rFonts w:ascii="Courier New" w:hAnsi="Courier New" w:cs="Courier New" w:hint="default"/>
      </w:rPr>
    </w:lvl>
    <w:lvl w:ilvl="5" w:tplc="58004DD6" w:tentative="1">
      <w:start w:val="1"/>
      <w:numFmt w:val="bullet"/>
      <w:lvlText w:val=""/>
      <w:lvlJc w:val="left"/>
      <w:pPr>
        <w:ind w:left="3960" w:hanging="360"/>
      </w:pPr>
      <w:rPr>
        <w:rFonts w:ascii="Wingdings" w:hAnsi="Wingdings" w:hint="default"/>
      </w:rPr>
    </w:lvl>
    <w:lvl w:ilvl="6" w:tplc="7604F46A" w:tentative="1">
      <w:start w:val="1"/>
      <w:numFmt w:val="bullet"/>
      <w:lvlText w:val=""/>
      <w:lvlJc w:val="left"/>
      <w:pPr>
        <w:ind w:left="4680" w:hanging="360"/>
      </w:pPr>
      <w:rPr>
        <w:rFonts w:ascii="Symbol" w:hAnsi="Symbol" w:hint="default"/>
      </w:rPr>
    </w:lvl>
    <w:lvl w:ilvl="7" w:tplc="0AD602D2" w:tentative="1">
      <w:start w:val="1"/>
      <w:numFmt w:val="bullet"/>
      <w:lvlText w:val="o"/>
      <w:lvlJc w:val="left"/>
      <w:pPr>
        <w:ind w:left="5400" w:hanging="360"/>
      </w:pPr>
      <w:rPr>
        <w:rFonts w:ascii="Courier New" w:hAnsi="Courier New" w:cs="Courier New" w:hint="default"/>
      </w:rPr>
    </w:lvl>
    <w:lvl w:ilvl="8" w:tplc="916C46B6" w:tentative="1">
      <w:start w:val="1"/>
      <w:numFmt w:val="bullet"/>
      <w:lvlText w:val=""/>
      <w:lvlJc w:val="left"/>
      <w:pPr>
        <w:ind w:left="6120" w:hanging="360"/>
      </w:pPr>
      <w:rPr>
        <w:rFonts w:ascii="Wingdings" w:hAnsi="Wingdings" w:hint="default"/>
      </w:rPr>
    </w:lvl>
  </w:abstractNum>
  <w:abstractNum w:abstractNumId="1" w15:restartNumberingAfterBreak="0">
    <w:nsid w:val="033B2A4D"/>
    <w:multiLevelType w:val="hybridMultilevel"/>
    <w:tmpl w:val="0B16966C"/>
    <w:lvl w:ilvl="0" w:tplc="4A40EC72">
      <w:start w:val="1"/>
      <w:numFmt w:val="bullet"/>
      <w:lvlText w:val=""/>
      <w:lvlJc w:val="left"/>
      <w:pPr>
        <w:ind w:left="360" w:hanging="360"/>
      </w:pPr>
      <w:rPr>
        <w:rFonts w:ascii="Wingdings" w:hAnsi="Wingdings" w:hint="default"/>
      </w:rPr>
    </w:lvl>
    <w:lvl w:ilvl="1" w:tplc="848C72F6" w:tentative="1">
      <w:start w:val="1"/>
      <w:numFmt w:val="bullet"/>
      <w:lvlText w:val="o"/>
      <w:lvlJc w:val="left"/>
      <w:pPr>
        <w:ind w:left="1080" w:hanging="360"/>
      </w:pPr>
      <w:rPr>
        <w:rFonts w:ascii="Courier New" w:hAnsi="Courier New" w:cs="Courier New" w:hint="default"/>
      </w:rPr>
    </w:lvl>
    <w:lvl w:ilvl="2" w:tplc="D60C22E2" w:tentative="1">
      <w:start w:val="1"/>
      <w:numFmt w:val="bullet"/>
      <w:lvlText w:val=""/>
      <w:lvlJc w:val="left"/>
      <w:pPr>
        <w:ind w:left="1800" w:hanging="360"/>
      </w:pPr>
      <w:rPr>
        <w:rFonts w:ascii="Wingdings" w:hAnsi="Wingdings" w:hint="default"/>
      </w:rPr>
    </w:lvl>
    <w:lvl w:ilvl="3" w:tplc="A30C8CB8" w:tentative="1">
      <w:start w:val="1"/>
      <w:numFmt w:val="bullet"/>
      <w:lvlText w:val=""/>
      <w:lvlJc w:val="left"/>
      <w:pPr>
        <w:ind w:left="2520" w:hanging="360"/>
      </w:pPr>
      <w:rPr>
        <w:rFonts w:ascii="Symbol" w:hAnsi="Symbol" w:hint="default"/>
      </w:rPr>
    </w:lvl>
    <w:lvl w:ilvl="4" w:tplc="0D189826" w:tentative="1">
      <w:start w:val="1"/>
      <w:numFmt w:val="bullet"/>
      <w:lvlText w:val="o"/>
      <w:lvlJc w:val="left"/>
      <w:pPr>
        <w:ind w:left="3240" w:hanging="360"/>
      </w:pPr>
      <w:rPr>
        <w:rFonts w:ascii="Courier New" w:hAnsi="Courier New" w:cs="Courier New" w:hint="default"/>
      </w:rPr>
    </w:lvl>
    <w:lvl w:ilvl="5" w:tplc="6CC42BB8" w:tentative="1">
      <w:start w:val="1"/>
      <w:numFmt w:val="bullet"/>
      <w:lvlText w:val=""/>
      <w:lvlJc w:val="left"/>
      <w:pPr>
        <w:ind w:left="3960" w:hanging="360"/>
      </w:pPr>
      <w:rPr>
        <w:rFonts w:ascii="Wingdings" w:hAnsi="Wingdings" w:hint="default"/>
      </w:rPr>
    </w:lvl>
    <w:lvl w:ilvl="6" w:tplc="B3A8D0FE" w:tentative="1">
      <w:start w:val="1"/>
      <w:numFmt w:val="bullet"/>
      <w:lvlText w:val=""/>
      <w:lvlJc w:val="left"/>
      <w:pPr>
        <w:ind w:left="4680" w:hanging="360"/>
      </w:pPr>
      <w:rPr>
        <w:rFonts w:ascii="Symbol" w:hAnsi="Symbol" w:hint="default"/>
      </w:rPr>
    </w:lvl>
    <w:lvl w:ilvl="7" w:tplc="30C66534" w:tentative="1">
      <w:start w:val="1"/>
      <w:numFmt w:val="bullet"/>
      <w:lvlText w:val="o"/>
      <w:lvlJc w:val="left"/>
      <w:pPr>
        <w:ind w:left="5400" w:hanging="360"/>
      </w:pPr>
      <w:rPr>
        <w:rFonts w:ascii="Courier New" w:hAnsi="Courier New" w:cs="Courier New" w:hint="default"/>
      </w:rPr>
    </w:lvl>
    <w:lvl w:ilvl="8" w:tplc="FA146914" w:tentative="1">
      <w:start w:val="1"/>
      <w:numFmt w:val="bullet"/>
      <w:lvlText w:val=""/>
      <w:lvlJc w:val="left"/>
      <w:pPr>
        <w:ind w:left="6120" w:hanging="360"/>
      </w:pPr>
      <w:rPr>
        <w:rFonts w:ascii="Wingdings" w:hAnsi="Wingdings" w:hint="default"/>
      </w:rPr>
    </w:lvl>
  </w:abstractNum>
  <w:abstractNum w:abstractNumId="2" w15:restartNumberingAfterBreak="0">
    <w:nsid w:val="08E7407F"/>
    <w:multiLevelType w:val="hybridMultilevel"/>
    <w:tmpl w:val="54E2D826"/>
    <w:lvl w:ilvl="0" w:tplc="9B00FF30">
      <w:start w:val="1"/>
      <w:numFmt w:val="bullet"/>
      <w:lvlText w:val=""/>
      <w:lvlJc w:val="left"/>
      <w:pPr>
        <w:ind w:left="360" w:hanging="360"/>
      </w:pPr>
      <w:rPr>
        <w:rFonts w:ascii="Wingdings" w:hAnsi="Wingdings" w:hint="default"/>
      </w:rPr>
    </w:lvl>
    <w:lvl w:ilvl="1" w:tplc="6D4C89F6" w:tentative="1">
      <w:start w:val="1"/>
      <w:numFmt w:val="bullet"/>
      <w:lvlText w:val="o"/>
      <w:lvlJc w:val="left"/>
      <w:pPr>
        <w:ind w:left="1080" w:hanging="360"/>
      </w:pPr>
      <w:rPr>
        <w:rFonts w:ascii="Courier New" w:hAnsi="Courier New" w:cs="Courier New" w:hint="default"/>
      </w:rPr>
    </w:lvl>
    <w:lvl w:ilvl="2" w:tplc="3F8A0AA2" w:tentative="1">
      <w:start w:val="1"/>
      <w:numFmt w:val="bullet"/>
      <w:lvlText w:val=""/>
      <w:lvlJc w:val="left"/>
      <w:pPr>
        <w:ind w:left="1800" w:hanging="360"/>
      </w:pPr>
      <w:rPr>
        <w:rFonts w:ascii="Wingdings" w:hAnsi="Wingdings" w:hint="default"/>
      </w:rPr>
    </w:lvl>
    <w:lvl w:ilvl="3" w:tplc="2BA6D54A" w:tentative="1">
      <w:start w:val="1"/>
      <w:numFmt w:val="bullet"/>
      <w:lvlText w:val=""/>
      <w:lvlJc w:val="left"/>
      <w:pPr>
        <w:ind w:left="2520" w:hanging="360"/>
      </w:pPr>
      <w:rPr>
        <w:rFonts w:ascii="Symbol" w:hAnsi="Symbol" w:hint="default"/>
      </w:rPr>
    </w:lvl>
    <w:lvl w:ilvl="4" w:tplc="FCDC0AB2" w:tentative="1">
      <w:start w:val="1"/>
      <w:numFmt w:val="bullet"/>
      <w:lvlText w:val="o"/>
      <w:lvlJc w:val="left"/>
      <w:pPr>
        <w:ind w:left="3240" w:hanging="360"/>
      </w:pPr>
      <w:rPr>
        <w:rFonts w:ascii="Courier New" w:hAnsi="Courier New" w:cs="Courier New" w:hint="default"/>
      </w:rPr>
    </w:lvl>
    <w:lvl w:ilvl="5" w:tplc="C02AACB4" w:tentative="1">
      <w:start w:val="1"/>
      <w:numFmt w:val="bullet"/>
      <w:lvlText w:val=""/>
      <w:lvlJc w:val="left"/>
      <w:pPr>
        <w:ind w:left="3960" w:hanging="360"/>
      </w:pPr>
      <w:rPr>
        <w:rFonts w:ascii="Wingdings" w:hAnsi="Wingdings" w:hint="default"/>
      </w:rPr>
    </w:lvl>
    <w:lvl w:ilvl="6" w:tplc="E1A04130" w:tentative="1">
      <w:start w:val="1"/>
      <w:numFmt w:val="bullet"/>
      <w:lvlText w:val=""/>
      <w:lvlJc w:val="left"/>
      <w:pPr>
        <w:ind w:left="4680" w:hanging="360"/>
      </w:pPr>
      <w:rPr>
        <w:rFonts w:ascii="Symbol" w:hAnsi="Symbol" w:hint="default"/>
      </w:rPr>
    </w:lvl>
    <w:lvl w:ilvl="7" w:tplc="1BC0ECF4" w:tentative="1">
      <w:start w:val="1"/>
      <w:numFmt w:val="bullet"/>
      <w:lvlText w:val="o"/>
      <w:lvlJc w:val="left"/>
      <w:pPr>
        <w:ind w:left="5400" w:hanging="360"/>
      </w:pPr>
      <w:rPr>
        <w:rFonts w:ascii="Courier New" w:hAnsi="Courier New" w:cs="Courier New" w:hint="default"/>
      </w:rPr>
    </w:lvl>
    <w:lvl w:ilvl="8" w:tplc="EF2E53C2" w:tentative="1">
      <w:start w:val="1"/>
      <w:numFmt w:val="bullet"/>
      <w:lvlText w:val=""/>
      <w:lvlJc w:val="left"/>
      <w:pPr>
        <w:ind w:left="6120" w:hanging="360"/>
      </w:pPr>
      <w:rPr>
        <w:rFonts w:ascii="Wingdings" w:hAnsi="Wingdings" w:hint="default"/>
      </w:rPr>
    </w:lvl>
  </w:abstractNum>
  <w:abstractNum w:abstractNumId="3" w15:restartNumberingAfterBreak="0">
    <w:nsid w:val="114128BF"/>
    <w:multiLevelType w:val="hybridMultilevel"/>
    <w:tmpl w:val="BD864DE2"/>
    <w:lvl w:ilvl="0" w:tplc="271EFBA4">
      <w:start w:val="1"/>
      <w:numFmt w:val="bullet"/>
      <w:lvlText w:val=""/>
      <w:lvlJc w:val="left"/>
      <w:pPr>
        <w:ind w:left="360" w:hanging="360"/>
      </w:pPr>
      <w:rPr>
        <w:rFonts w:ascii="Wingdings" w:hAnsi="Wingdings" w:hint="default"/>
      </w:rPr>
    </w:lvl>
    <w:lvl w:ilvl="1" w:tplc="7564F578" w:tentative="1">
      <w:start w:val="1"/>
      <w:numFmt w:val="bullet"/>
      <w:lvlText w:val="o"/>
      <w:lvlJc w:val="left"/>
      <w:pPr>
        <w:ind w:left="1080" w:hanging="360"/>
      </w:pPr>
      <w:rPr>
        <w:rFonts w:ascii="Courier New" w:hAnsi="Courier New" w:cs="Courier New" w:hint="default"/>
      </w:rPr>
    </w:lvl>
    <w:lvl w:ilvl="2" w:tplc="BDE0B504" w:tentative="1">
      <w:start w:val="1"/>
      <w:numFmt w:val="bullet"/>
      <w:lvlText w:val=""/>
      <w:lvlJc w:val="left"/>
      <w:pPr>
        <w:ind w:left="1800" w:hanging="360"/>
      </w:pPr>
      <w:rPr>
        <w:rFonts w:ascii="Wingdings" w:hAnsi="Wingdings" w:hint="default"/>
      </w:rPr>
    </w:lvl>
    <w:lvl w:ilvl="3" w:tplc="F74EF93A" w:tentative="1">
      <w:start w:val="1"/>
      <w:numFmt w:val="bullet"/>
      <w:lvlText w:val=""/>
      <w:lvlJc w:val="left"/>
      <w:pPr>
        <w:ind w:left="2520" w:hanging="360"/>
      </w:pPr>
      <w:rPr>
        <w:rFonts w:ascii="Symbol" w:hAnsi="Symbol" w:hint="default"/>
      </w:rPr>
    </w:lvl>
    <w:lvl w:ilvl="4" w:tplc="F37CA7BA" w:tentative="1">
      <w:start w:val="1"/>
      <w:numFmt w:val="bullet"/>
      <w:lvlText w:val="o"/>
      <w:lvlJc w:val="left"/>
      <w:pPr>
        <w:ind w:left="3240" w:hanging="360"/>
      </w:pPr>
      <w:rPr>
        <w:rFonts w:ascii="Courier New" w:hAnsi="Courier New" w:cs="Courier New" w:hint="default"/>
      </w:rPr>
    </w:lvl>
    <w:lvl w:ilvl="5" w:tplc="2DAEEF60" w:tentative="1">
      <w:start w:val="1"/>
      <w:numFmt w:val="bullet"/>
      <w:lvlText w:val=""/>
      <w:lvlJc w:val="left"/>
      <w:pPr>
        <w:ind w:left="3960" w:hanging="360"/>
      </w:pPr>
      <w:rPr>
        <w:rFonts w:ascii="Wingdings" w:hAnsi="Wingdings" w:hint="default"/>
      </w:rPr>
    </w:lvl>
    <w:lvl w:ilvl="6" w:tplc="D0FA897A" w:tentative="1">
      <w:start w:val="1"/>
      <w:numFmt w:val="bullet"/>
      <w:lvlText w:val=""/>
      <w:lvlJc w:val="left"/>
      <w:pPr>
        <w:ind w:left="4680" w:hanging="360"/>
      </w:pPr>
      <w:rPr>
        <w:rFonts w:ascii="Symbol" w:hAnsi="Symbol" w:hint="default"/>
      </w:rPr>
    </w:lvl>
    <w:lvl w:ilvl="7" w:tplc="A148C7EC" w:tentative="1">
      <w:start w:val="1"/>
      <w:numFmt w:val="bullet"/>
      <w:lvlText w:val="o"/>
      <w:lvlJc w:val="left"/>
      <w:pPr>
        <w:ind w:left="5400" w:hanging="360"/>
      </w:pPr>
      <w:rPr>
        <w:rFonts w:ascii="Courier New" w:hAnsi="Courier New" w:cs="Courier New" w:hint="default"/>
      </w:rPr>
    </w:lvl>
    <w:lvl w:ilvl="8" w:tplc="27C06AC4" w:tentative="1">
      <w:start w:val="1"/>
      <w:numFmt w:val="bullet"/>
      <w:lvlText w:val=""/>
      <w:lvlJc w:val="left"/>
      <w:pPr>
        <w:ind w:left="6120" w:hanging="360"/>
      </w:pPr>
      <w:rPr>
        <w:rFonts w:ascii="Wingdings" w:hAnsi="Wingdings" w:hint="default"/>
      </w:rPr>
    </w:lvl>
  </w:abstractNum>
  <w:abstractNum w:abstractNumId="4" w15:restartNumberingAfterBreak="0">
    <w:nsid w:val="114420F9"/>
    <w:multiLevelType w:val="hybridMultilevel"/>
    <w:tmpl w:val="43404D7A"/>
    <w:lvl w:ilvl="0" w:tplc="9716B984">
      <w:start w:val="1"/>
      <w:numFmt w:val="decimal"/>
      <w:lvlText w:val="%1."/>
      <w:lvlJc w:val="left"/>
      <w:pPr>
        <w:ind w:left="720" w:hanging="360"/>
      </w:pPr>
      <w:rPr>
        <w:rFonts w:hint="default"/>
      </w:rPr>
    </w:lvl>
    <w:lvl w:ilvl="1" w:tplc="A9FEF162" w:tentative="1">
      <w:start w:val="1"/>
      <w:numFmt w:val="lowerLetter"/>
      <w:lvlText w:val="%2."/>
      <w:lvlJc w:val="left"/>
      <w:pPr>
        <w:ind w:left="1440" w:hanging="360"/>
      </w:pPr>
    </w:lvl>
    <w:lvl w:ilvl="2" w:tplc="EE3ACBA4" w:tentative="1">
      <w:start w:val="1"/>
      <w:numFmt w:val="lowerRoman"/>
      <w:lvlText w:val="%3."/>
      <w:lvlJc w:val="right"/>
      <w:pPr>
        <w:ind w:left="2160" w:hanging="180"/>
      </w:pPr>
    </w:lvl>
    <w:lvl w:ilvl="3" w:tplc="EBB2CCC2" w:tentative="1">
      <w:start w:val="1"/>
      <w:numFmt w:val="decimal"/>
      <w:lvlText w:val="%4."/>
      <w:lvlJc w:val="left"/>
      <w:pPr>
        <w:ind w:left="2880" w:hanging="360"/>
      </w:pPr>
    </w:lvl>
    <w:lvl w:ilvl="4" w:tplc="E8A23E8E" w:tentative="1">
      <w:start w:val="1"/>
      <w:numFmt w:val="lowerLetter"/>
      <w:lvlText w:val="%5."/>
      <w:lvlJc w:val="left"/>
      <w:pPr>
        <w:ind w:left="3600" w:hanging="360"/>
      </w:pPr>
    </w:lvl>
    <w:lvl w:ilvl="5" w:tplc="20BAD992" w:tentative="1">
      <w:start w:val="1"/>
      <w:numFmt w:val="lowerRoman"/>
      <w:lvlText w:val="%6."/>
      <w:lvlJc w:val="right"/>
      <w:pPr>
        <w:ind w:left="4320" w:hanging="180"/>
      </w:pPr>
    </w:lvl>
    <w:lvl w:ilvl="6" w:tplc="74BE0A16" w:tentative="1">
      <w:start w:val="1"/>
      <w:numFmt w:val="decimal"/>
      <w:lvlText w:val="%7."/>
      <w:lvlJc w:val="left"/>
      <w:pPr>
        <w:ind w:left="5040" w:hanging="360"/>
      </w:pPr>
    </w:lvl>
    <w:lvl w:ilvl="7" w:tplc="5204E2A4" w:tentative="1">
      <w:start w:val="1"/>
      <w:numFmt w:val="lowerLetter"/>
      <w:lvlText w:val="%8."/>
      <w:lvlJc w:val="left"/>
      <w:pPr>
        <w:ind w:left="5760" w:hanging="360"/>
      </w:pPr>
    </w:lvl>
    <w:lvl w:ilvl="8" w:tplc="2C0AEF04" w:tentative="1">
      <w:start w:val="1"/>
      <w:numFmt w:val="lowerRoman"/>
      <w:lvlText w:val="%9."/>
      <w:lvlJc w:val="right"/>
      <w:pPr>
        <w:ind w:left="6480" w:hanging="180"/>
      </w:pPr>
    </w:lvl>
  </w:abstractNum>
  <w:abstractNum w:abstractNumId="5" w15:restartNumberingAfterBreak="0">
    <w:nsid w:val="1B3E4376"/>
    <w:multiLevelType w:val="hybridMultilevel"/>
    <w:tmpl w:val="75B8A446"/>
    <w:lvl w:ilvl="0" w:tplc="A3DE1500">
      <w:start w:val="1"/>
      <w:numFmt w:val="bullet"/>
      <w:lvlText w:val=""/>
      <w:lvlJc w:val="left"/>
      <w:pPr>
        <w:ind w:left="360" w:hanging="360"/>
      </w:pPr>
      <w:rPr>
        <w:rFonts w:ascii="Wingdings" w:hAnsi="Wingdings" w:hint="default"/>
      </w:rPr>
    </w:lvl>
    <w:lvl w:ilvl="1" w:tplc="2522E10C" w:tentative="1">
      <w:start w:val="1"/>
      <w:numFmt w:val="bullet"/>
      <w:lvlText w:val="o"/>
      <w:lvlJc w:val="left"/>
      <w:pPr>
        <w:ind w:left="1080" w:hanging="360"/>
      </w:pPr>
      <w:rPr>
        <w:rFonts w:ascii="Courier New" w:hAnsi="Courier New" w:cs="Courier New" w:hint="default"/>
      </w:rPr>
    </w:lvl>
    <w:lvl w:ilvl="2" w:tplc="283E49E6" w:tentative="1">
      <w:start w:val="1"/>
      <w:numFmt w:val="bullet"/>
      <w:lvlText w:val=""/>
      <w:lvlJc w:val="left"/>
      <w:pPr>
        <w:ind w:left="1800" w:hanging="360"/>
      </w:pPr>
      <w:rPr>
        <w:rFonts w:ascii="Wingdings" w:hAnsi="Wingdings" w:hint="default"/>
      </w:rPr>
    </w:lvl>
    <w:lvl w:ilvl="3" w:tplc="60588AAA" w:tentative="1">
      <w:start w:val="1"/>
      <w:numFmt w:val="bullet"/>
      <w:lvlText w:val=""/>
      <w:lvlJc w:val="left"/>
      <w:pPr>
        <w:ind w:left="2520" w:hanging="360"/>
      </w:pPr>
      <w:rPr>
        <w:rFonts w:ascii="Symbol" w:hAnsi="Symbol" w:hint="default"/>
      </w:rPr>
    </w:lvl>
    <w:lvl w:ilvl="4" w:tplc="24448F88" w:tentative="1">
      <w:start w:val="1"/>
      <w:numFmt w:val="bullet"/>
      <w:lvlText w:val="o"/>
      <w:lvlJc w:val="left"/>
      <w:pPr>
        <w:ind w:left="3240" w:hanging="360"/>
      </w:pPr>
      <w:rPr>
        <w:rFonts w:ascii="Courier New" w:hAnsi="Courier New" w:cs="Courier New" w:hint="default"/>
      </w:rPr>
    </w:lvl>
    <w:lvl w:ilvl="5" w:tplc="C1F8BA88" w:tentative="1">
      <w:start w:val="1"/>
      <w:numFmt w:val="bullet"/>
      <w:lvlText w:val=""/>
      <w:lvlJc w:val="left"/>
      <w:pPr>
        <w:ind w:left="3960" w:hanging="360"/>
      </w:pPr>
      <w:rPr>
        <w:rFonts w:ascii="Wingdings" w:hAnsi="Wingdings" w:hint="default"/>
      </w:rPr>
    </w:lvl>
    <w:lvl w:ilvl="6" w:tplc="9DE6264C" w:tentative="1">
      <w:start w:val="1"/>
      <w:numFmt w:val="bullet"/>
      <w:lvlText w:val=""/>
      <w:lvlJc w:val="left"/>
      <w:pPr>
        <w:ind w:left="4680" w:hanging="360"/>
      </w:pPr>
      <w:rPr>
        <w:rFonts w:ascii="Symbol" w:hAnsi="Symbol" w:hint="default"/>
      </w:rPr>
    </w:lvl>
    <w:lvl w:ilvl="7" w:tplc="BBF4153A" w:tentative="1">
      <w:start w:val="1"/>
      <w:numFmt w:val="bullet"/>
      <w:lvlText w:val="o"/>
      <w:lvlJc w:val="left"/>
      <w:pPr>
        <w:ind w:left="5400" w:hanging="360"/>
      </w:pPr>
      <w:rPr>
        <w:rFonts w:ascii="Courier New" w:hAnsi="Courier New" w:cs="Courier New" w:hint="default"/>
      </w:rPr>
    </w:lvl>
    <w:lvl w:ilvl="8" w:tplc="BC849C2E" w:tentative="1">
      <w:start w:val="1"/>
      <w:numFmt w:val="bullet"/>
      <w:lvlText w:val=""/>
      <w:lvlJc w:val="left"/>
      <w:pPr>
        <w:ind w:left="6120" w:hanging="360"/>
      </w:pPr>
      <w:rPr>
        <w:rFonts w:ascii="Wingdings" w:hAnsi="Wingdings" w:hint="default"/>
      </w:rPr>
    </w:lvl>
  </w:abstractNum>
  <w:abstractNum w:abstractNumId="6" w15:restartNumberingAfterBreak="0">
    <w:nsid w:val="1C7D1409"/>
    <w:multiLevelType w:val="hybridMultilevel"/>
    <w:tmpl w:val="B7667364"/>
    <w:lvl w:ilvl="0" w:tplc="AF7CB8D0">
      <w:start w:val="1"/>
      <w:numFmt w:val="bullet"/>
      <w:lvlText w:val=""/>
      <w:lvlJc w:val="left"/>
      <w:pPr>
        <w:ind w:left="360" w:hanging="360"/>
      </w:pPr>
      <w:rPr>
        <w:rFonts w:ascii="Wingdings" w:hAnsi="Wingdings" w:hint="default"/>
      </w:rPr>
    </w:lvl>
    <w:lvl w:ilvl="1" w:tplc="B66AB3B8" w:tentative="1">
      <w:start w:val="1"/>
      <w:numFmt w:val="bullet"/>
      <w:lvlText w:val="o"/>
      <w:lvlJc w:val="left"/>
      <w:pPr>
        <w:ind w:left="1080" w:hanging="360"/>
      </w:pPr>
      <w:rPr>
        <w:rFonts w:ascii="Courier New" w:hAnsi="Courier New" w:cs="Courier New" w:hint="default"/>
      </w:rPr>
    </w:lvl>
    <w:lvl w:ilvl="2" w:tplc="07F6EC3A" w:tentative="1">
      <w:start w:val="1"/>
      <w:numFmt w:val="bullet"/>
      <w:lvlText w:val=""/>
      <w:lvlJc w:val="left"/>
      <w:pPr>
        <w:ind w:left="1800" w:hanging="360"/>
      </w:pPr>
      <w:rPr>
        <w:rFonts w:ascii="Wingdings" w:hAnsi="Wingdings" w:hint="default"/>
      </w:rPr>
    </w:lvl>
    <w:lvl w:ilvl="3" w:tplc="31423A52" w:tentative="1">
      <w:start w:val="1"/>
      <w:numFmt w:val="bullet"/>
      <w:lvlText w:val=""/>
      <w:lvlJc w:val="left"/>
      <w:pPr>
        <w:ind w:left="2520" w:hanging="360"/>
      </w:pPr>
      <w:rPr>
        <w:rFonts w:ascii="Symbol" w:hAnsi="Symbol" w:hint="default"/>
      </w:rPr>
    </w:lvl>
    <w:lvl w:ilvl="4" w:tplc="ED1A8776" w:tentative="1">
      <w:start w:val="1"/>
      <w:numFmt w:val="bullet"/>
      <w:lvlText w:val="o"/>
      <w:lvlJc w:val="left"/>
      <w:pPr>
        <w:ind w:left="3240" w:hanging="360"/>
      </w:pPr>
      <w:rPr>
        <w:rFonts w:ascii="Courier New" w:hAnsi="Courier New" w:cs="Courier New" w:hint="default"/>
      </w:rPr>
    </w:lvl>
    <w:lvl w:ilvl="5" w:tplc="59A0D1C8" w:tentative="1">
      <w:start w:val="1"/>
      <w:numFmt w:val="bullet"/>
      <w:lvlText w:val=""/>
      <w:lvlJc w:val="left"/>
      <w:pPr>
        <w:ind w:left="3960" w:hanging="360"/>
      </w:pPr>
      <w:rPr>
        <w:rFonts w:ascii="Wingdings" w:hAnsi="Wingdings" w:hint="default"/>
      </w:rPr>
    </w:lvl>
    <w:lvl w:ilvl="6" w:tplc="A44EE4EA" w:tentative="1">
      <w:start w:val="1"/>
      <w:numFmt w:val="bullet"/>
      <w:lvlText w:val=""/>
      <w:lvlJc w:val="left"/>
      <w:pPr>
        <w:ind w:left="4680" w:hanging="360"/>
      </w:pPr>
      <w:rPr>
        <w:rFonts w:ascii="Symbol" w:hAnsi="Symbol" w:hint="default"/>
      </w:rPr>
    </w:lvl>
    <w:lvl w:ilvl="7" w:tplc="7CA44532" w:tentative="1">
      <w:start w:val="1"/>
      <w:numFmt w:val="bullet"/>
      <w:lvlText w:val="o"/>
      <w:lvlJc w:val="left"/>
      <w:pPr>
        <w:ind w:left="5400" w:hanging="360"/>
      </w:pPr>
      <w:rPr>
        <w:rFonts w:ascii="Courier New" w:hAnsi="Courier New" w:cs="Courier New" w:hint="default"/>
      </w:rPr>
    </w:lvl>
    <w:lvl w:ilvl="8" w:tplc="EDD80168" w:tentative="1">
      <w:start w:val="1"/>
      <w:numFmt w:val="bullet"/>
      <w:lvlText w:val=""/>
      <w:lvlJc w:val="left"/>
      <w:pPr>
        <w:ind w:left="6120" w:hanging="360"/>
      </w:pPr>
      <w:rPr>
        <w:rFonts w:ascii="Wingdings" w:hAnsi="Wingdings" w:hint="default"/>
      </w:rPr>
    </w:lvl>
  </w:abstractNum>
  <w:abstractNum w:abstractNumId="7" w15:restartNumberingAfterBreak="0">
    <w:nsid w:val="21A74512"/>
    <w:multiLevelType w:val="hybridMultilevel"/>
    <w:tmpl w:val="31BC75E2"/>
    <w:lvl w:ilvl="0" w:tplc="43C8D42E">
      <w:start w:val="1"/>
      <w:numFmt w:val="bullet"/>
      <w:lvlText w:val=""/>
      <w:lvlJc w:val="left"/>
      <w:pPr>
        <w:ind w:left="360" w:hanging="360"/>
      </w:pPr>
      <w:rPr>
        <w:rFonts w:ascii="Symbol" w:hAnsi="Symbol" w:hint="default"/>
      </w:rPr>
    </w:lvl>
    <w:lvl w:ilvl="1" w:tplc="5FFCBE4C" w:tentative="1">
      <w:start w:val="1"/>
      <w:numFmt w:val="bullet"/>
      <w:lvlText w:val="o"/>
      <w:lvlJc w:val="left"/>
      <w:pPr>
        <w:ind w:left="1080" w:hanging="360"/>
      </w:pPr>
      <w:rPr>
        <w:rFonts w:ascii="Courier New" w:hAnsi="Courier New" w:cs="Courier New" w:hint="default"/>
      </w:rPr>
    </w:lvl>
    <w:lvl w:ilvl="2" w:tplc="D9DC8A82" w:tentative="1">
      <w:start w:val="1"/>
      <w:numFmt w:val="bullet"/>
      <w:lvlText w:val=""/>
      <w:lvlJc w:val="left"/>
      <w:pPr>
        <w:ind w:left="1800" w:hanging="360"/>
      </w:pPr>
      <w:rPr>
        <w:rFonts w:ascii="Wingdings" w:hAnsi="Wingdings" w:hint="default"/>
      </w:rPr>
    </w:lvl>
    <w:lvl w:ilvl="3" w:tplc="01E4C5F8" w:tentative="1">
      <w:start w:val="1"/>
      <w:numFmt w:val="bullet"/>
      <w:lvlText w:val=""/>
      <w:lvlJc w:val="left"/>
      <w:pPr>
        <w:ind w:left="2520" w:hanging="360"/>
      </w:pPr>
      <w:rPr>
        <w:rFonts w:ascii="Symbol" w:hAnsi="Symbol" w:hint="default"/>
      </w:rPr>
    </w:lvl>
    <w:lvl w:ilvl="4" w:tplc="776E59EA" w:tentative="1">
      <w:start w:val="1"/>
      <w:numFmt w:val="bullet"/>
      <w:lvlText w:val="o"/>
      <w:lvlJc w:val="left"/>
      <w:pPr>
        <w:ind w:left="3240" w:hanging="360"/>
      </w:pPr>
      <w:rPr>
        <w:rFonts w:ascii="Courier New" w:hAnsi="Courier New" w:cs="Courier New" w:hint="default"/>
      </w:rPr>
    </w:lvl>
    <w:lvl w:ilvl="5" w:tplc="F4E490C4" w:tentative="1">
      <w:start w:val="1"/>
      <w:numFmt w:val="bullet"/>
      <w:lvlText w:val=""/>
      <w:lvlJc w:val="left"/>
      <w:pPr>
        <w:ind w:left="3960" w:hanging="360"/>
      </w:pPr>
      <w:rPr>
        <w:rFonts w:ascii="Wingdings" w:hAnsi="Wingdings" w:hint="default"/>
      </w:rPr>
    </w:lvl>
    <w:lvl w:ilvl="6" w:tplc="4F46AABC" w:tentative="1">
      <w:start w:val="1"/>
      <w:numFmt w:val="bullet"/>
      <w:lvlText w:val=""/>
      <w:lvlJc w:val="left"/>
      <w:pPr>
        <w:ind w:left="4680" w:hanging="360"/>
      </w:pPr>
      <w:rPr>
        <w:rFonts w:ascii="Symbol" w:hAnsi="Symbol" w:hint="default"/>
      </w:rPr>
    </w:lvl>
    <w:lvl w:ilvl="7" w:tplc="91F4A08E" w:tentative="1">
      <w:start w:val="1"/>
      <w:numFmt w:val="bullet"/>
      <w:lvlText w:val="o"/>
      <w:lvlJc w:val="left"/>
      <w:pPr>
        <w:ind w:left="5400" w:hanging="360"/>
      </w:pPr>
      <w:rPr>
        <w:rFonts w:ascii="Courier New" w:hAnsi="Courier New" w:cs="Courier New" w:hint="default"/>
      </w:rPr>
    </w:lvl>
    <w:lvl w:ilvl="8" w:tplc="0EA423C8" w:tentative="1">
      <w:start w:val="1"/>
      <w:numFmt w:val="bullet"/>
      <w:lvlText w:val=""/>
      <w:lvlJc w:val="left"/>
      <w:pPr>
        <w:ind w:left="6120" w:hanging="360"/>
      </w:pPr>
      <w:rPr>
        <w:rFonts w:ascii="Wingdings" w:hAnsi="Wingdings" w:hint="default"/>
      </w:rPr>
    </w:lvl>
  </w:abstractNum>
  <w:abstractNum w:abstractNumId="8" w15:restartNumberingAfterBreak="0">
    <w:nsid w:val="25375A21"/>
    <w:multiLevelType w:val="hybridMultilevel"/>
    <w:tmpl w:val="EC1A1F5C"/>
    <w:lvl w:ilvl="0" w:tplc="5D0E3ED0">
      <w:start w:val="1"/>
      <w:numFmt w:val="bullet"/>
      <w:lvlText w:val=""/>
      <w:lvlJc w:val="left"/>
      <w:pPr>
        <w:ind w:left="360" w:hanging="360"/>
      </w:pPr>
      <w:rPr>
        <w:rFonts w:ascii="Wingdings" w:hAnsi="Wingdings" w:hint="default"/>
      </w:rPr>
    </w:lvl>
    <w:lvl w:ilvl="1" w:tplc="22C2BC7A" w:tentative="1">
      <w:start w:val="1"/>
      <w:numFmt w:val="bullet"/>
      <w:lvlText w:val="o"/>
      <w:lvlJc w:val="left"/>
      <w:pPr>
        <w:ind w:left="1080" w:hanging="360"/>
      </w:pPr>
      <w:rPr>
        <w:rFonts w:ascii="Courier New" w:hAnsi="Courier New" w:cs="Courier New" w:hint="default"/>
      </w:rPr>
    </w:lvl>
    <w:lvl w:ilvl="2" w:tplc="1EF01FBA" w:tentative="1">
      <w:start w:val="1"/>
      <w:numFmt w:val="bullet"/>
      <w:lvlText w:val=""/>
      <w:lvlJc w:val="left"/>
      <w:pPr>
        <w:ind w:left="1800" w:hanging="360"/>
      </w:pPr>
      <w:rPr>
        <w:rFonts w:ascii="Wingdings" w:hAnsi="Wingdings" w:hint="default"/>
      </w:rPr>
    </w:lvl>
    <w:lvl w:ilvl="3" w:tplc="93689CE6" w:tentative="1">
      <w:start w:val="1"/>
      <w:numFmt w:val="bullet"/>
      <w:lvlText w:val=""/>
      <w:lvlJc w:val="left"/>
      <w:pPr>
        <w:ind w:left="2520" w:hanging="360"/>
      </w:pPr>
      <w:rPr>
        <w:rFonts w:ascii="Symbol" w:hAnsi="Symbol" w:hint="default"/>
      </w:rPr>
    </w:lvl>
    <w:lvl w:ilvl="4" w:tplc="B5564734" w:tentative="1">
      <w:start w:val="1"/>
      <w:numFmt w:val="bullet"/>
      <w:lvlText w:val="o"/>
      <w:lvlJc w:val="left"/>
      <w:pPr>
        <w:ind w:left="3240" w:hanging="360"/>
      </w:pPr>
      <w:rPr>
        <w:rFonts w:ascii="Courier New" w:hAnsi="Courier New" w:cs="Courier New" w:hint="default"/>
      </w:rPr>
    </w:lvl>
    <w:lvl w:ilvl="5" w:tplc="E7869D52" w:tentative="1">
      <w:start w:val="1"/>
      <w:numFmt w:val="bullet"/>
      <w:lvlText w:val=""/>
      <w:lvlJc w:val="left"/>
      <w:pPr>
        <w:ind w:left="3960" w:hanging="360"/>
      </w:pPr>
      <w:rPr>
        <w:rFonts w:ascii="Wingdings" w:hAnsi="Wingdings" w:hint="default"/>
      </w:rPr>
    </w:lvl>
    <w:lvl w:ilvl="6" w:tplc="F2740852" w:tentative="1">
      <w:start w:val="1"/>
      <w:numFmt w:val="bullet"/>
      <w:lvlText w:val=""/>
      <w:lvlJc w:val="left"/>
      <w:pPr>
        <w:ind w:left="4680" w:hanging="360"/>
      </w:pPr>
      <w:rPr>
        <w:rFonts w:ascii="Symbol" w:hAnsi="Symbol" w:hint="default"/>
      </w:rPr>
    </w:lvl>
    <w:lvl w:ilvl="7" w:tplc="B09CD8EC" w:tentative="1">
      <w:start w:val="1"/>
      <w:numFmt w:val="bullet"/>
      <w:lvlText w:val="o"/>
      <w:lvlJc w:val="left"/>
      <w:pPr>
        <w:ind w:left="5400" w:hanging="360"/>
      </w:pPr>
      <w:rPr>
        <w:rFonts w:ascii="Courier New" w:hAnsi="Courier New" w:cs="Courier New" w:hint="default"/>
      </w:rPr>
    </w:lvl>
    <w:lvl w:ilvl="8" w:tplc="8E48E01A" w:tentative="1">
      <w:start w:val="1"/>
      <w:numFmt w:val="bullet"/>
      <w:lvlText w:val=""/>
      <w:lvlJc w:val="left"/>
      <w:pPr>
        <w:ind w:left="6120" w:hanging="360"/>
      </w:pPr>
      <w:rPr>
        <w:rFonts w:ascii="Wingdings" w:hAnsi="Wingdings" w:hint="default"/>
      </w:rPr>
    </w:lvl>
  </w:abstractNum>
  <w:abstractNum w:abstractNumId="9" w15:restartNumberingAfterBreak="0">
    <w:nsid w:val="2BE63FD8"/>
    <w:multiLevelType w:val="hybridMultilevel"/>
    <w:tmpl w:val="8B1642A4"/>
    <w:lvl w:ilvl="0" w:tplc="84C2A222">
      <w:start w:val="1"/>
      <w:numFmt w:val="decimal"/>
      <w:lvlText w:val="%1."/>
      <w:lvlJc w:val="left"/>
      <w:pPr>
        <w:ind w:left="720" w:hanging="360"/>
      </w:pPr>
      <w:rPr>
        <w:rFonts w:hint="default"/>
      </w:rPr>
    </w:lvl>
    <w:lvl w:ilvl="1" w:tplc="9280E2C0" w:tentative="1">
      <w:start w:val="1"/>
      <w:numFmt w:val="lowerLetter"/>
      <w:lvlText w:val="%2."/>
      <w:lvlJc w:val="left"/>
      <w:pPr>
        <w:ind w:left="1440" w:hanging="360"/>
      </w:pPr>
    </w:lvl>
    <w:lvl w:ilvl="2" w:tplc="8634F8DE" w:tentative="1">
      <w:start w:val="1"/>
      <w:numFmt w:val="lowerRoman"/>
      <w:lvlText w:val="%3."/>
      <w:lvlJc w:val="right"/>
      <w:pPr>
        <w:ind w:left="2160" w:hanging="180"/>
      </w:pPr>
    </w:lvl>
    <w:lvl w:ilvl="3" w:tplc="F580CF70" w:tentative="1">
      <w:start w:val="1"/>
      <w:numFmt w:val="decimal"/>
      <w:lvlText w:val="%4."/>
      <w:lvlJc w:val="left"/>
      <w:pPr>
        <w:ind w:left="2880" w:hanging="360"/>
      </w:pPr>
    </w:lvl>
    <w:lvl w:ilvl="4" w:tplc="93BC0AB4" w:tentative="1">
      <w:start w:val="1"/>
      <w:numFmt w:val="lowerLetter"/>
      <w:lvlText w:val="%5."/>
      <w:lvlJc w:val="left"/>
      <w:pPr>
        <w:ind w:left="3600" w:hanging="360"/>
      </w:pPr>
    </w:lvl>
    <w:lvl w:ilvl="5" w:tplc="EB9C46BE" w:tentative="1">
      <w:start w:val="1"/>
      <w:numFmt w:val="lowerRoman"/>
      <w:lvlText w:val="%6."/>
      <w:lvlJc w:val="right"/>
      <w:pPr>
        <w:ind w:left="4320" w:hanging="180"/>
      </w:pPr>
    </w:lvl>
    <w:lvl w:ilvl="6" w:tplc="467A2D06" w:tentative="1">
      <w:start w:val="1"/>
      <w:numFmt w:val="decimal"/>
      <w:lvlText w:val="%7."/>
      <w:lvlJc w:val="left"/>
      <w:pPr>
        <w:ind w:left="5040" w:hanging="360"/>
      </w:pPr>
    </w:lvl>
    <w:lvl w:ilvl="7" w:tplc="BF6ABA1E" w:tentative="1">
      <w:start w:val="1"/>
      <w:numFmt w:val="lowerLetter"/>
      <w:lvlText w:val="%8."/>
      <w:lvlJc w:val="left"/>
      <w:pPr>
        <w:ind w:left="5760" w:hanging="360"/>
      </w:pPr>
    </w:lvl>
    <w:lvl w:ilvl="8" w:tplc="B914C8F4" w:tentative="1">
      <w:start w:val="1"/>
      <w:numFmt w:val="lowerRoman"/>
      <w:lvlText w:val="%9."/>
      <w:lvlJc w:val="right"/>
      <w:pPr>
        <w:ind w:left="6480" w:hanging="180"/>
      </w:pPr>
    </w:lvl>
  </w:abstractNum>
  <w:abstractNum w:abstractNumId="10" w15:restartNumberingAfterBreak="0">
    <w:nsid w:val="2C3403C9"/>
    <w:multiLevelType w:val="hybridMultilevel"/>
    <w:tmpl w:val="B0DED4DA"/>
    <w:lvl w:ilvl="0" w:tplc="D73EEFAE">
      <w:start w:val="1"/>
      <w:numFmt w:val="bullet"/>
      <w:lvlText w:val=""/>
      <w:lvlJc w:val="left"/>
      <w:pPr>
        <w:ind w:left="360" w:hanging="360"/>
      </w:pPr>
      <w:rPr>
        <w:rFonts w:ascii="Wingdings" w:hAnsi="Wingdings" w:hint="default"/>
      </w:rPr>
    </w:lvl>
    <w:lvl w:ilvl="1" w:tplc="855E0800" w:tentative="1">
      <w:start w:val="1"/>
      <w:numFmt w:val="bullet"/>
      <w:lvlText w:val="o"/>
      <w:lvlJc w:val="left"/>
      <w:pPr>
        <w:ind w:left="1080" w:hanging="360"/>
      </w:pPr>
      <w:rPr>
        <w:rFonts w:ascii="Courier New" w:hAnsi="Courier New" w:cs="Courier New" w:hint="default"/>
      </w:rPr>
    </w:lvl>
    <w:lvl w:ilvl="2" w:tplc="57D86E02" w:tentative="1">
      <w:start w:val="1"/>
      <w:numFmt w:val="bullet"/>
      <w:lvlText w:val=""/>
      <w:lvlJc w:val="left"/>
      <w:pPr>
        <w:ind w:left="1800" w:hanging="360"/>
      </w:pPr>
      <w:rPr>
        <w:rFonts w:ascii="Wingdings" w:hAnsi="Wingdings" w:hint="default"/>
      </w:rPr>
    </w:lvl>
    <w:lvl w:ilvl="3" w:tplc="9F54D038" w:tentative="1">
      <w:start w:val="1"/>
      <w:numFmt w:val="bullet"/>
      <w:lvlText w:val=""/>
      <w:lvlJc w:val="left"/>
      <w:pPr>
        <w:ind w:left="2520" w:hanging="360"/>
      </w:pPr>
      <w:rPr>
        <w:rFonts w:ascii="Symbol" w:hAnsi="Symbol" w:hint="default"/>
      </w:rPr>
    </w:lvl>
    <w:lvl w:ilvl="4" w:tplc="9072ED0E" w:tentative="1">
      <w:start w:val="1"/>
      <w:numFmt w:val="bullet"/>
      <w:lvlText w:val="o"/>
      <w:lvlJc w:val="left"/>
      <w:pPr>
        <w:ind w:left="3240" w:hanging="360"/>
      </w:pPr>
      <w:rPr>
        <w:rFonts w:ascii="Courier New" w:hAnsi="Courier New" w:cs="Courier New" w:hint="default"/>
      </w:rPr>
    </w:lvl>
    <w:lvl w:ilvl="5" w:tplc="F2F06630" w:tentative="1">
      <w:start w:val="1"/>
      <w:numFmt w:val="bullet"/>
      <w:lvlText w:val=""/>
      <w:lvlJc w:val="left"/>
      <w:pPr>
        <w:ind w:left="3960" w:hanging="360"/>
      </w:pPr>
      <w:rPr>
        <w:rFonts w:ascii="Wingdings" w:hAnsi="Wingdings" w:hint="default"/>
      </w:rPr>
    </w:lvl>
    <w:lvl w:ilvl="6" w:tplc="9EAA7E4A" w:tentative="1">
      <w:start w:val="1"/>
      <w:numFmt w:val="bullet"/>
      <w:lvlText w:val=""/>
      <w:lvlJc w:val="left"/>
      <w:pPr>
        <w:ind w:left="4680" w:hanging="360"/>
      </w:pPr>
      <w:rPr>
        <w:rFonts w:ascii="Symbol" w:hAnsi="Symbol" w:hint="default"/>
      </w:rPr>
    </w:lvl>
    <w:lvl w:ilvl="7" w:tplc="42E0FD64" w:tentative="1">
      <w:start w:val="1"/>
      <w:numFmt w:val="bullet"/>
      <w:lvlText w:val="o"/>
      <w:lvlJc w:val="left"/>
      <w:pPr>
        <w:ind w:left="5400" w:hanging="360"/>
      </w:pPr>
      <w:rPr>
        <w:rFonts w:ascii="Courier New" w:hAnsi="Courier New" w:cs="Courier New" w:hint="default"/>
      </w:rPr>
    </w:lvl>
    <w:lvl w:ilvl="8" w:tplc="9B0E0E18" w:tentative="1">
      <w:start w:val="1"/>
      <w:numFmt w:val="bullet"/>
      <w:lvlText w:val=""/>
      <w:lvlJc w:val="left"/>
      <w:pPr>
        <w:ind w:left="6120" w:hanging="360"/>
      </w:pPr>
      <w:rPr>
        <w:rFonts w:ascii="Wingdings" w:hAnsi="Wingdings" w:hint="default"/>
      </w:rPr>
    </w:lvl>
  </w:abstractNum>
  <w:abstractNum w:abstractNumId="11" w15:restartNumberingAfterBreak="0">
    <w:nsid w:val="31B106A8"/>
    <w:multiLevelType w:val="hybridMultilevel"/>
    <w:tmpl w:val="E744B63A"/>
    <w:lvl w:ilvl="0" w:tplc="C9F8B994">
      <w:start w:val="1"/>
      <w:numFmt w:val="decimal"/>
      <w:lvlText w:val="%1."/>
      <w:lvlJc w:val="left"/>
      <w:pPr>
        <w:ind w:left="720" w:hanging="360"/>
      </w:pPr>
      <w:rPr>
        <w:rFonts w:ascii="Arial" w:hAnsi="Arial" w:cs="Arial" w:hint="default"/>
        <w:color w:val="222222"/>
      </w:rPr>
    </w:lvl>
    <w:lvl w:ilvl="1" w:tplc="F42CEB8E" w:tentative="1">
      <w:start w:val="1"/>
      <w:numFmt w:val="lowerLetter"/>
      <w:lvlText w:val="%2."/>
      <w:lvlJc w:val="left"/>
      <w:pPr>
        <w:ind w:left="1440" w:hanging="360"/>
      </w:pPr>
    </w:lvl>
    <w:lvl w:ilvl="2" w:tplc="4044E7D8" w:tentative="1">
      <w:start w:val="1"/>
      <w:numFmt w:val="lowerRoman"/>
      <w:lvlText w:val="%3."/>
      <w:lvlJc w:val="right"/>
      <w:pPr>
        <w:ind w:left="2160" w:hanging="180"/>
      </w:pPr>
    </w:lvl>
    <w:lvl w:ilvl="3" w:tplc="E82EDD70" w:tentative="1">
      <w:start w:val="1"/>
      <w:numFmt w:val="decimal"/>
      <w:lvlText w:val="%4."/>
      <w:lvlJc w:val="left"/>
      <w:pPr>
        <w:ind w:left="2880" w:hanging="360"/>
      </w:pPr>
    </w:lvl>
    <w:lvl w:ilvl="4" w:tplc="C684622E" w:tentative="1">
      <w:start w:val="1"/>
      <w:numFmt w:val="lowerLetter"/>
      <w:lvlText w:val="%5."/>
      <w:lvlJc w:val="left"/>
      <w:pPr>
        <w:ind w:left="3600" w:hanging="360"/>
      </w:pPr>
    </w:lvl>
    <w:lvl w:ilvl="5" w:tplc="081C8530" w:tentative="1">
      <w:start w:val="1"/>
      <w:numFmt w:val="lowerRoman"/>
      <w:lvlText w:val="%6."/>
      <w:lvlJc w:val="right"/>
      <w:pPr>
        <w:ind w:left="4320" w:hanging="180"/>
      </w:pPr>
    </w:lvl>
    <w:lvl w:ilvl="6" w:tplc="2A7E8A70" w:tentative="1">
      <w:start w:val="1"/>
      <w:numFmt w:val="decimal"/>
      <w:lvlText w:val="%7."/>
      <w:lvlJc w:val="left"/>
      <w:pPr>
        <w:ind w:left="5040" w:hanging="360"/>
      </w:pPr>
    </w:lvl>
    <w:lvl w:ilvl="7" w:tplc="95FC4F8C" w:tentative="1">
      <w:start w:val="1"/>
      <w:numFmt w:val="lowerLetter"/>
      <w:lvlText w:val="%8."/>
      <w:lvlJc w:val="left"/>
      <w:pPr>
        <w:ind w:left="5760" w:hanging="360"/>
      </w:pPr>
    </w:lvl>
    <w:lvl w:ilvl="8" w:tplc="286635E0" w:tentative="1">
      <w:start w:val="1"/>
      <w:numFmt w:val="lowerRoman"/>
      <w:lvlText w:val="%9."/>
      <w:lvlJc w:val="right"/>
      <w:pPr>
        <w:ind w:left="6480" w:hanging="180"/>
      </w:pPr>
    </w:lvl>
  </w:abstractNum>
  <w:abstractNum w:abstractNumId="12" w15:restartNumberingAfterBreak="0">
    <w:nsid w:val="32070272"/>
    <w:multiLevelType w:val="hybridMultilevel"/>
    <w:tmpl w:val="E722989C"/>
    <w:lvl w:ilvl="0" w:tplc="8FF89D58">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5123053"/>
    <w:multiLevelType w:val="hybridMultilevel"/>
    <w:tmpl w:val="091E3876"/>
    <w:lvl w:ilvl="0" w:tplc="9CDE74EA">
      <w:start w:val="1"/>
      <w:numFmt w:val="bullet"/>
      <w:lvlText w:val=""/>
      <w:lvlJc w:val="left"/>
      <w:pPr>
        <w:ind w:left="360" w:hanging="360"/>
      </w:pPr>
      <w:rPr>
        <w:rFonts w:ascii="Wingdings" w:hAnsi="Wingdings" w:hint="default"/>
      </w:rPr>
    </w:lvl>
    <w:lvl w:ilvl="1" w:tplc="D46242CE" w:tentative="1">
      <w:start w:val="1"/>
      <w:numFmt w:val="bullet"/>
      <w:lvlText w:val="o"/>
      <w:lvlJc w:val="left"/>
      <w:pPr>
        <w:ind w:left="1080" w:hanging="360"/>
      </w:pPr>
      <w:rPr>
        <w:rFonts w:ascii="Courier New" w:hAnsi="Courier New" w:cs="Courier New" w:hint="default"/>
      </w:rPr>
    </w:lvl>
    <w:lvl w:ilvl="2" w:tplc="578C2C12" w:tentative="1">
      <w:start w:val="1"/>
      <w:numFmt w:val="bullet"/>
      <w:lvlText w:val=""/>
      <w:lvlJc w:val="left"/>
      <w:pPr>
        <w:ind w:left="1800" w:hanging="360"/>
      </w:pPr>
      <w:rPr>
        <w:rFonts w:ascii="Wingdings" w:hAnsi="Wingdings" w:hint="default"/>
      </w:rPr>
    </w:lvl>
    <w:lvl w:ilvl="3" w:tplc="2BA00E42" w:tentative="1">
      <w:start w:val="1"/>
      <w:numFmt w:val="bullet"/>
      <w:lvlText w:val=""/>
      <w:lvlJc w:val="left"/>
      <w:pPr>
        <w:ind w:left="2520" w:hanging="360"/>
      </w:pPr>
      <w:rPr>
        <w:rFonts w:ascii="Symbol" w:hAnsi="Symbol" w:hint="default"/>
      </w:rPr>
    </w:lvl>
    <w:lvl w:ilvl="4" w:tplc="50CAEEF6" w:tentative="1">
      <w:start w:val="1"/>
      <w:numFmt w:val="bullet"/>
      <w:lvlText w:val="o"/>
      <w:lvlJc w:val="left"/>
      <w:pPr>
        <w:ind w:left="3240" w:hanging="360"/>
      </w:pPr>
      <w:rPr>
        <w:rFonts w:ascii="Courier New" w:hAnsi="Courier New" w:cs="Courier New" w:hint="default"/>
      </w:rPr>
    </w:lvl>
    <w:lvl w:ilvl="5" w:tplc="D6C4B528" w:tentative="1">
      <w:start w:val="1"/>
      <w:numFmt w:val="bullet"/>
      <w:lvlText w:val=""/>
      <w:lvlJc w:val="left"/>
      <w:pPr>
        <w:ind w:left="3960" w:hanging="360"/>
      </w:pPr>
      <w:rPr>
        <w:rFonts w:ascii="Wingdings" w:hAnsi="Wingdings" w:hint="default"/>
      </w:rPr>
    </w:lvl>
    <w:lvl w:ilvl="6" w:tplc="6BBC83C2" w:tentative="1">
      <w:start w:val="1"/>
      <w:numFmt w:val="bullet"/>
      <w:lvlText w:val=""/>
      <w:lvlJc w:val="left"/>
      <w:pPr>
        <w:ind w:left="4680" w:hanging="360"/>
      </w:pPr>
      <w:rPr>
        <w:rFonts w:ascii="Symbol" w:hAnsi="Symbol" w:hint="default"/>
      </w:rPr>
    </w:lvl>
    <w:lvl w:ilvl="7" w:tplc="190671D2" w:tentative="1">
      <w:start w:val="1"/>
      <w:numFmt w:val="bullet"/>
      <w:lvlText w:val="o"/>
      <w:lvlJc w:val="left"/>
      <w:pPr>
        <w:ind w:left="5400" w:hanging="360"/>
      </w:pPr>
      <w:rPr>
        <w:rFonts w:ascii="Courier New" w:hAnsi="Courier New" w:cs="Courier New" w:hint="default"/>
      </w:rPr>
    </w:lvl>
    <w:lvl w:ilvl="8" w:tplc="14F20CB8" w:tentative="1">
      <w:start w:val="1"/>
      <w:numFmt w:val="bullet"/>
      <w:lvlText w:val=""/>
      <w:lvlJc w:val="left"/>
      <w:pPr>
        <w:ind w:left="6120" w:hanging="360"/>
      </w:pPr>
      <w:rPr>
        <w:rFonts w:ascii="Wingdings" w:hAnsi="Wingdings" w:hint="default"/>
      </w:rPr>
    </w:lvl>
  </w:abstractNum>
  <w:abstractNum w:abstractNumId="14" w15:restartNumberingAfterBreak="0">
    <w:nsid w:val="46AC0882"/>
    <w:multiLevelType w:val="hybridMultilevel"/>
    <w:tmpl w:val="8B1642A4"/>
    <w:lvl w:ilvl="0" w:tplc="A9A814FE">
      <w:start w:val="1"/>
      <w:numFmt w:val="decimal"/>
      <w:lvlText w:val="%1."/>
      <w:lvlJc w:val="left"/>
      <w:pPr>
        <w:ind w:left="720" w:hanging="360"/>
      </w:pPr>
      <w:rPr>
        <w:rFonts w:hint="default"/>
      </w:rPr>
    </w:lvl>
    <w:lvl w:ilvl="1" w:tplc="BE18335E" w:tentative="1">
      <w:start w:val="1"/>
      <w:numFmt w:val="lowerLetter"/>
      <w:lvlText w:val="%2."/>
      <w:lvlJc w:val="left"/>
      <w:pPr>
        <w:ind w:left="1440" w:hanging="360"/>
      </w:pPr>
    </w:lvl>
    <w:lvl w:ilvl="2" w:tplc="04E2A50C" w:tentative="1">
      <w:start w:val="1"/>
      <w:numFmt w:val="lowerRoman"/>
      <w:lvlText w:val="%3."/>
      <w:lvlJc w:val="right"/>
      <w:pPr>
        <w:ind w:left="2160" w:hanging="180"/>
      </w:pPr>
    </w:lvl>
    <w:lvl w:ilvl="3" w:tplc="2A5EBE6C" w:tentative="1">
      <w:start w:val="1"/>
      <w:numFmt w:val="decimal"/>
      <w:lvlText w:val="%4."/>
      <w:lvlJc w:val="left"/>
      <w:pPr>
        <w:ind w:left="2880" w:hanging="360"/>
      </w:pPr>
    </w:lvl>
    <w:lvl w:ilvl="4" w:tplc="BDB8D38E" w:tentative="1">
      <w:start w:val="1"/>
      <w:numFmt w:val="lowerLetter"/>
      <w:lvlText w:val="%5."/>
      <w:lvlJc w:val="left"/>
      <w:pPr>
        <w:ind w:left="3600" w:hanging="360"/>
      </w:pPr>
    </w:lvl>
    <w:lvl w:ilvl="5" w:tplc="91BA2846" w:tentative="1">
      <w:start w:val="1"/>
      <w:numFmt w:val="lowerRoman"/>
      <w:lvlText w:val="%6."/>
      <w:lvlJc w:val="right"/>
      <w:pPr>
        <w:ind w:left="4320" w:hanging="180"/>
      </w:pPr>
    </w:lvl>
    <w:lvl w:ilvl="6" w:tplc="8724E6D6" w:tentative="1">
      <w:start w:val="1"/>
      <w:numFmt w:val="decimal"/>
      <w:lvlText w:val="%7."/>
      <w:lvlJc w:val="left"/>
      <w:pPr>
        <w:ind w:left="5040" w:hanging="360"/>
      </w:pPr>
    </w:lvl>
    <w:lvl w:ilvl="7" w:tplc="2A48724A" w:tentative="1">
      <w:start w:val="1"/>
      <w:numFmt w:val="lowerLetter"/>
      <w:lvlText w:val="%8."/>
      <w:lvlJc w:val="left"/>
      <w:pPr>
        <w:ind w:left="5760" w:hanging="360"/>
      </w:pPr>
    </w:lvl>
    <w:lvl w:ilvl="8" w:tplc="F82EB74C" w:tentative="1">
      <w:start w:val="1"/>
      <w:numFmt w:val="lowerRoman"/>
      <w:lvlText w:val="%9."/>
      <w:lvlJc w:val="right"/>
      <w:pPr>
        <w:ind w:left="6480" w:hanging="180"/>
      </w:pPr>
    </w:lvl>
  </w:abstractNum>
  <w:abstractNum w:abstractNumId="15" w15:restartNumberingAfterBreak="0">
    <w:nsid w:val="47F0784B"/>
    <w:multiLevelType w:val="hybridMultilevel"/>
    <w:tmpl w:val="8B1642A4"/>
    <w:lvl w:ilvl="0" w:tplc="B1C8E3C0">
      <w:start w:val="1"/>
      <w:numFmt w:val="decimal"/>
      <w:lvlText w:val="%1."/>
      <w:lvlJc w:val="left"/>
      <w:pPr>
        <w:ind w:left="720" w:hanging="360"/>
      </w:pPr>
      <w:rPr>
        <w:rFonts w:hint="default"/>
      </w:rPr>
    </w:lvl>
    <w:lvl w:ilvl="1" w:tplc="0090E372" w:tentative="1">
      <w:start w:val="1"/>
      <w:numFmt w:val="lowerLetter"/>
      <w:lvlText w:val="%2."/>
      <w:lvlJc w:val="left"/>
      <w:pPr>
        <w:ind w:left="1440" w:hanging="360"/>
      </w:pPr>
    </w:lvl>
    <w:lvl w:ilvl="2" w:tplc="0D02435A" w:tentative="1">
      <w:start w:val="1"/>
      <w:numFmt w:val="lowerRoman"/>
      <w:lvlText w:val="%3."/>
      <w:lvlJc w:val="right"/>
      <w:pPr>
        <w:ind w:left="2160" w:hanging="180"/>
      </w:pPr>
    </w:lvl>
    <w:lvl w:ilvl="3" w:tplc="573C0776" w:tentative="1">
      <w:start w:val="1"/>
      <w:numFmt w:val="decimal"/>
      <w:lvlText w:val="%4."/>
      <w:lvlJc w:val="left"/>
      <w:pPr>
        <w:ind w:left="2880" w:hanging="360"/>
      </w:pPr>
    </w:lvl>
    <w:lvl w:ilvl="4" w:tplc="B4FE256C" w:tentative="1">
      <w:start w:val="1"/>
      <w:numFmt w:val="lowerLetter"/>
      <w:lvlText w:val="%5."/>
      <w:lvlJc w:val="left"/>
      <w:pPr>
        <w:ind w:left="3600" w:hanging="360"/>
      </w:pPr>
    </w:lvl>
    <w:lvl w:ilvl="5" w:tplc="26FABDDA" w:tentative="1">
      <w:start w:val="1"/>
      <w:numFmt w:val="lowerRoman"/>
      <w:lvlText w:val="%6."/>
      <w:lvlJc w:val="right"/>
      <w:pPr>
        <w:ind w:left="4320" w:hanging="180"/>
      </w:pPr>
    </w:lvl>
    <w:lvl w:ilvl="6" w:tplc="FE0494BA" w:tentative="1">
      <w:start w:val="1"/>
      <w:numFmt w:val="decimal"/>
      <w:lvlText w:val="%7."/>
      <w:lvlJc w:val="left"/>
      <w:pPr>
        <w:ind w:left="5040" w:hanging="360"/>
      </w:pPr>
    </w:lvl>
    <w:lvl w:ilvl="7" w:tplc="3488BA36" w:tentative="1">
      <w:start w:val="1"/>
      <w:numFmt w:val="lowerLetter"/>
      <w:lvlText w:val="%8."/>
      <w:lvlJc w:val="left"/>
      <w:pPr>
        <w:ind w:left="5760" w:hanging="360"/>
      </w:pPr>
    </w:lvl>
    <w:lvl w:ilvl="8" w:tplc="4956C680" w:tentative="1">
      <w:start w:val="1"/>
      <w:numFmt w:val="lowerRoman"/>
      <w:lvlText w:val="%9."/>
      <w:lvlJc w:val="right"/>
      <w:pPr>
        <w:ind w:left="6480" w:hanging="180"/>
      </w:pPr>
    </w:lvl>
  </w:abstractNum>
  <w:abstractNum w:abstractNumId="16" w15:restartNumberingAfterBreak="0">
    <w:nsid w:val="48C87652"/>
    <w:multiLevelType w:val="hybridMultilevel"/>
    <w:tmpl w:val="D92C2392"/>
    <w:lvl w:ilvl="0" w:tplc="E976DB00">
      <w:start w:val="1"/>
      <w:numFmt w:val="bullet"/>
      <w:lvlText w:val=""/>
      <w:lvlJc w:val="left"/>
      <w:pPr>
        <w:ind w:left="360" w:hanging="360"/>
      </w:pPr>
      <w:rPr>
        <w:rFonts w:ascii="Symbol" w:hAnsi="Symbol" w:hint="default"/>
      </w:rPr>
    </w:lvl>
    <w:lvl w:ilvl="1" w:tplc="1F64BD06" w:tentative="1">
      <w:start w:val="1"/>
      <w:numFmt w:val="bullet"/>
      <w:lvlText w:val="o"/>
      <w:lvlJc w:val="left"/>
      <w:pPr>
        <w:ind w:left="1080" w:hanging="360"/>
      </w:pPr>
      <w:rPr>
        <w:rFonts w:ascii="Courier New" w:hAnsi="Courier New" w:cs="Courier New" w:hint="default"/>
      </w:rPr>
    </w:lvl>
    <w:lvl w:ilvl="2" w:tplc="1F66ED74" w:tentative="1">
      <w:start w:val="1"/>
      <w:numFmt w:val="bullet"/>
      <w:lvlText w:val=""/>
      <w:lvlJc w:val="left"/>
      <w:pPr>
        <w:ind w:left="1800" w:hanging="360"/>
      </w:pPr>
      <w:rPr>
        <w:rFonts w:ascii="Wingdings" w:hAnsi="Wingdings" w:hint="default"/>
      </w:rPr>
    </w:lvl>
    <w:lvl w:ilvl="3" w:tplc="439ACF68" w:tentative="1">
      <w:start w:val="1"/>
      <w:numFmt w:val="bullet"/>
      <w:lvlText w:val=""/>
      <w:lvlJc w:val="left"/>
      <w:pPr>
        <w:ind w:left="2520" w:hanging="360"/>
      </w:pPr>
      <w:rPr>
        <w:rFonts w:ascii="Symbol" w:hAnsi="Symbol" w:hint="default"/>
      </w:rPr>
    </w:lvl>
    <w:lvl w:ilvl="4" w:tplc="57002386" w:tentative="1">
      <w:start w:val="1"/>
      <w:numFmt w:val="bullet"/>
      <w:lvlText w:val="o"/>
      <w:lvlJc w:val="left"/>
      <w:pPr>
        <w:ind w:left="3240" w:hanging="360"/>
      </w:pPr>
      <w:rPr>
        <w:rFonts w:ascii="Courier New" w:hAnsi="Courier New" w:cs="Courier New" w:hint="default"/>
      </w:rPr>
    </w:lvl>
    <w:lvl w:ilvl="5" w:tplc="1F208DC4" w:tentative="1">
      <w:start w:val="1"/>
      <w:numFmt w:val="bullet"/>
      <w:lvlText w:val=""/>
      <w:lvlJc w:val="left"/>
      <w:pPr>
        <w:ind w:left="3960" w:hanging="360"/>
      </w:pPr>
      <w:rPr>
        <w:rFonts w:ascii="Wingdings" w:hAnsi="Wingdings" w:hint="default"/>
      </w:rPr>
    </w:lvl>
    <w:lvl w:ilvl="6" w:tplc="1B82AA34" w:tentative="1">
      <w:start w:val="1"/>
      <w:numFmt w:val="bullet"/>
      <w:lvlText w:val=""/>
      <w:lvlJc w:val="left"/>
      <w:pPr>
        <w:ind w:left="4680" w:hanging="360"/>
      </w:pPr>
      <w:rPr>
        <w:rFonts w:ascii="Symbol" w:hAnsi="Symbol" w:hint="default"/>
      </w:rPr>
    </w:lvl>
    <w:lvl w:ilvl="7" w:tplc="107CB0FC" w:tentative="1">
      <w:start w:val="1"/>
      <w:numFmt w:val="bullet"/>
      <w:lvlText w:val="o"/>
      <w:lvlJc w:val="left"/>
      <w:pPr>
        <w:ind w:left="5400" w:hanging="360"/>
      </w:pPr>
      <w:rPr>
        <w:rFonts w:ascii="Courier New" w:hAnsi="Courier New" w:cs="Courier New" w:hint="default"/>
      </w:rPr>
    </w:lvl>
    <w:lvl w:ilvl="8" w:tplc="51243858" w:tentative="1">
      <w:start w:val="1"/>
      <w:numFmt w:val="bullet"/>
      <w:lvlText w:val=""/>
      <w:lvlJc w:val="left"/>
      <w:pPr>
        <w:ind w:left="6120" w:hanging="360"/>
      </w:pPr>
      <w:rPr>
        <w:rFonts w:ascii="Wingdings" w:hAnsi="Wingdings" w:hint="default"/>
      </w:rPr>
    </w:lvl>
  </w:abstractNum>
  <w:abstractNum w:abstractNumId="17" w15:restartNumberingAfterBreak="0">
    <w:nsid w:val="524B5203"/>
    <w:multiLevelType w:val="hybridMultilevel"/>
    <w:tmpl w:val="0A4C4986"/>
    <w:lvl w:ilvl="0" w:tplc="0A665364">
      <w:start w:val="1"/>
      <w:numFmt w:val="bullet"/>
      <w:lvlText w:val=""/>
      <w:lvlJc w:val="left"/>
      <w:pPr>
        <w:ind w:left="360" w:hanging="360"/>
      </w:pPr>
      <w:rPr>
        <w:rFonts w:ascii="Wingdings" w:hAnsi="Wingdings" w:hint="default"/>
      </w:rPr>
    </w:lvl>
    <w:lvl w:ilvl="1" w:tplc="84DC9404" w:tentative="1">
      <w:start w:val="1"/>
      <w:numFmt w:val="bullet"/>
      <w:lvlText w:val="o"/>
      <w:lvlJc w:val="left"/>
      <w:pPr>
        <w:ind w:left="1080" w:hanging="360"/>
      </w:pPr>
      <w:rPr>
        <w:rFonts w:ascii="Courier New" w:hAnsi="Courier New" w:cs="Courier New" w:hint="default"/>
      </w:rPr>
    </w:lvl>
    <w:lvl w:ilvl="2" w:tplc="D5F46A98" w:tentative="1">
      <w:start w:val="1"/>
      <w:numFmt w:val="bullet"/>
      <w:lvlText w:val=""/>
      <w:lvlJc w:val="left"/>
      <w:pPr>
        <w:ind w:left="1800" w:hanging="360"/>
      </w:pPr>
      <w:rPr>
        <w:rFonts w:ascii="Wingdings" w:hAnsi="Wingdings" w:hint="default"/>
      </w:rPr>
    </w:lvl>
    <w:lvl w:ilvl="3" w:tplc="DF30E666" w:tentative="1">
      <w:start w:val="1"/>
      <w:numFmt w:val="bullet"/>
      <w:lvlText w:val=""/>
      <w:lvlJc w:val="left"/>
      <w:pPr>
        <w:ind w:left="2520" w:hanging="360"/>
      </w:pPr>
      <w:rPr>
        <w:rFonts w:ascii="Symbol" w:hAnsi="Symbol" w:hint="default"/>
      </w:rPr>
    </w:lvl>
    <w:lvl w:ilvl="4" w:tplc="6474536A" w:tentative="1">
      <w:start w:val="1"/>
      <w:numFmt w:val="bullet"/>
      <w:lvlText w:val="o"/>
      <w:lvlJc w:val="left"/>
      <w:pPr>
        <w:ind w:left="3240" w:hanging="360"/>
      </w:pPr>
      <w:rPr>
        <w:rFonts w:ascii="Courier New" w:hAnsi="Courier New" w:cs="Courier New" w:hint="default"/>
      </w:rPr>
    </w:lvl>
    <w:lvl w:ilvl="5" w:tplc="678AACDA" w:tentative="1">
      <w:start w:val="1"/>
      <w:numFmt w:val="bullet"/>
      <w:lvlText w:val=""/>
      <w:lvlJc w:val="left"/>
      <w:pPr>
        <w:ind w:left="3960" w:hanging="360"/>
      </w:pPr>
      <w:rPr>
        <w:rFonts w:ascii="Wingdings" w:hAnsi="Wingdings" w:hint="default"/>
      </w:rPr>
    </w:lvl>
    <w:lvl w:ilvl="6" w:tplc="D5B87AA6" w:tentative="1">
      <w:start w:val="1"/>
      <w:numFmt w:val="bullet"/>
      <w:lvlText w:val=""/>
      <w:lvlJc w:val="left"/>
      <w:pPr>
        <w:ind w:left="4680" w:hanging="360"/>
      </w:pPr>
      <w:rPr>
        <w:rFonts w:ascii="Symbol" w:hAnsi="Symbol" w:hint="default"/>
      </w:rPr>
    </w:lvl>
    <w:lvl w:ilvl="7" w:tplc="9C9CAEB8" w:tentative="1">
      <w:start w:val="1"/>
      <w:numFmt w:val="bullet"/>
      <w:lvlText w:val="o"/>
      <w:lvlJc w:val="left"/>
      <w:pPr>
        <w:ind w:left="5400" w:hanging="360"/>
      </w:pPr>
      <w:rPr>
        <w:rFonts w:ascii="Courier New" w:hAnsi="Courier New" w:cs="Courier New" w:hint="default"/>
      </w:rPr>
    </w:lvl>
    <w:lvl w:ilvl="8" w:tplc="5216AF12" w:tentative="1">
      <w:start w:val="1"/>
      <w:numFmt w:val="bullet"/>
      <w:lvlText w:val=""/>
      <w:lvlJc w:val="left"/>
      <w:pPr>
        <w:ind w:left="6120" w:hanging="360"/>
      </w:pPr>
      <w:rPr>
        <w:rFonts w:ascii="Wingdings" w:hAnsi="Wingdings" w:hint="default"/>
      </w:rPr>
    </w:lvl>
  </w:abstractNum>
  <w:abstractNum w:abstractNumId="18" w15:restartNumberingAfterBreak="0">
    <w:nsid w:val="559575E2"/>
    <w:multiLevelType w:val="hybridMultilevel"/>
    <w:tmpl w:val="8B1642A4"/>
    <w:lvl w:ilvl="0" w:tplc="86DA0006">
      <w:start w:val="1"/>
      <w:numFmt w:val="decimal"/>
      <w:lvlText w:val="%1."/>
      <w:lvlJc w:val="left"/>
      <w:pPr>
        <w:ind w:left="720" w:hanging="360"/>
      </w:pPr>
      <w:rPr>
        <w:rFonts w:hint="default"/>
      </w:rPr>
    </w:lvl>
    <w:lvl w:ilvl="1" w:tplc="26A28D94" w:tentative="1">
      <w:start w:val="1"/>
      <w:numFmt w:val="lowerLetter"/>
      <w:lvlText w:val="%2."/>
      <w:lvlJc w:val="left"/>
      <w:pPr>
        <w:ind w:left="1440" w:hanging="360"/>
      </w:pPr>
    </w:lvl>
    <w:lvl w:ilvl="2" w:tplc="F6A47330" w:tentative="1">
      <w:start w:val="1"/>
      <w:numFmt w:val="lowerRoman"/>
      <w:lvlText w:val="%3."/>
      <w:lvlJc w:val="right"/>
      <w:pPr>
        <w:ind w:left="2160" w:hanging="180"/>
      </w:pPr>
    </w:lvl>
    <w:lvl w:ilvl="3" w:tplc="636CC05E" w:tentative="1">
      <w:start w:val="1"/>
      <w:numFmt w:val="decimal"/>
      <w:lvlText w:val="%4."/>
      <w:lvlJc w:val="left"/>
      <w:pPr>
        <w:ind w:left="2880" w:hanging="360"/>
      </w:pPr>
    </w:lvl>
    <w:lvl w:ilvl="4" w:tplc="8702F408" w:tentative="1">
      <w:start w:val="1"/>
      <w:numFmt w:val="lowerLetter"/>
      <w:lvlText w:val="%5."/>
      <w:lvlJc w:val="left"/>
      <w:pPr>
        <w:ind w:left="3600" w:hanging="360"/>
      </w:pPr>
    </w:lvl>
    <w:lvl w:ilvl="5" w:tplc="59AA6806" w:tentative="1">
      <w:start w:val="1"/>
      <w:numFmt w:val="lowerRoman"/>
      <w:lvlText w:val="%6."/>
      <w:lvlJc w:val="right"/>
      <w:pPr>
        <w:ind w:left="4320" w:hanging="180"/>
      </w:pPr>
    </w:lvl>
    <w:lvl w:ilvl="6" w:tplc="2A94CA24" w:tentative="1">
      <w:start w:val="1"/>
      <w:numFmt w:val="decimal"/>
      <w:lvlText w:val="%7."/>
      <w:lvlJc w:val="left"/>
      <w:pPr>
        <w:ind w:left="5040" w:hanging="360"/>
      </w:pPr>
    </w:lvl>
    <w:lvl w:ilvl="7" w:tplc="69CE69BA" w:tentative="1">
      <w:start w:val="1"/>
      <w:numFmt w:val="lowerLetter"/>
      <w:lvlText w:val="%8."/>
      <w:lvlJc w:val="left"/>
      <w:pPr>
        <w:ind w:left="5760" w:hanging="360"/>
      </w:pPr>
    </w:lvl>
    <w:lvl w:ilvl="8" w:tplc="94BA0D5A" w:tentative="1">
      <w:start w:val="1"/>
      <w:numFmt w:val="lowerRoman"/>
      <w:lvlText w:val="%9."/>
      <w:lvlJc w:val="right"/>
      <w:pPr>
        <w:ind w:left="6480" w:hanging="180"/>
      </w:pPr>
    </w:lvl>
  </w:abstractNum>
  <w:abstractNum w:abstractNumId="19" w15:restartNumberingAfterBreak="0">
    <w:nsid w:val="56177C80"/>
    <w:multiLevelType w:val="hybridMultilevel"/>
    <w:tmpl w:val="8B1642A4"/>
    <w:lvl w:ilvl="0" w:tplc="54721E4E">
      <w:start w:val="1"/>
      <w:numFmt w:val="decimal"/>
      <w:lvlText w:val="%1."/>
      <w:lvlJc w:val="left"/>
      <w:pPr>
        <w:ind w:left="720" w:hanging="360"/>
      </w:pPr>
      <w:rPr>
        <w:rFonts w:hint="default"/>
      </w:rPr>
    </w:lvl>
    <w:lvl w:ilvl="1" w:tplc="E34A4552" w:tentative="1">
      <w:start w:val="1"/>
      <w:numFmt w:val="lowerLetter"/>
      <w:lvlText w:val="%2."/>
      <w:lvlJc w:val="left"/>
      <w:pPr>
        <w:ind w:left="1440" w:hanging="360"/>
      </w:pPr>
    </w:lvl>
    <w:lvl w:ilvl="2" w:tplc="E0D4A4F2" w:tentative="1">
      <w:start w:val="1"/>
      <w:numFmt w:val="lowerRoman"/>
      <w:lvlText w:val="%3."/>
      <w:lvlJc w:val="right"/>
      <w:pPr>
        <w:ind w:left="2160" w:hanging="180"/>
      </w:pPr>
    </w:lvl>
    <w:lvl w:ilvl="3" w:tplc="5FF00F66" w:tentative="1">
      <w:start w:val="1"/>
      <w:numFmt w:val="decimal"/>
      <w:lvlText w:val="%4."/>
      <w:lvlJc w:val="left"/>
      <w:pPr>
        <w:ind w:left="2880" w:hanging="360"/>
      </w:pPr>
    </w:lvl>
    <w:lvl w:ilvl="4" w:tplc="26D06BFC" w:tentative="1">
      <w:start w:val="1"/>
      <w:numFmt w:val="lowerLetter"/>
      <w:lvlText w:val="%5."/>
      <w:lvlJc w:val="left"/>
      <w:pPr>
        <w:ind w:left="3600" w:hanging="360"/>
      </w:pPr>
    </w:lvl>
    <w:lvl w:ilvl="5" w:tplc="15D4AB96" w:tentative="1">
      <w:start w:val="1"/>
      <w:numFmt w:val="lowerRoman"/>
      <w:lvlText w:val="%6."/>
      <w:lvlJc w:val="right"/>
      <w:pPr>
        <w:ind w:left="4320" w:hanging="180"/>
      </w:pPr>
    </w:lvl>
    <w:lvl w:ilvl="6" w:tplc="4252AE88" w:tentative="1">
      <w:start w:val="1"/>
      <w:numFmt w:val="decimal"/>
      <w:lvlText w:val="%7."/>
      <w:lvlJc w:val="left"/>
      <w:pPr>
        <w:ind w:left="5040" w:hanging="360"/>
      </w:pPr>
    </w:lvl>
    <w:lvl w:ilvl="7" w:tplc="3BC8B0FE" w:tentative="1">
      <w:start w:val="1"/>
      <w:numFmt w:val="lowerLetter"/>
      <w:lvlText w:val="%8."/>
      <w:lvlJc w:val="left"/>
      <w:pPr>
        <w:ind w:left="5760" w:hanging="360"/>
      </w:pPr>
    </w:lvl>
    <w:lvl w:ilvl="8" w:tplc="70640B44" w:tentative="1">
      <w:start w:val="1"/>
      <w:numFmt w:val="lowerRoman"/>
      <w:lvlText w:val="%9."/>
      <w:lvlJc w:val="right"/>
      <w:pPr>
        <w:ind w:left="6480" w:hanging="180"/>
      </w:pPr>
    </w:lvl>
  </w:abstractNum>
  <w:abstractNum w:abstractNumId="20" w15:restartNumberingAfterBreak="0">
    <w:nsid w:val="5AD569FF"/>
    <w:multiLevelType w:val="hybridMultilevel"/>
    <w:tmpl w:val="3BD4BC14"/>
    <w:lvl w:ilvl="0" w:tplc="0CFA2C96">
      <w:start w:val="1"/>
      <w:numFmt w:val="bullet"/>
      <w:lvlText w:val=""/>
      <w:lvlJc w:val="left"/>
      <w:pPr>
        <w:tabs>
          <w:tab w:val="num" w:pos="720"/>
        </w:tabs>
        <w:ind w:left="720" w:hanging="360"/>
      </w:pPr>
      <w:rPr>
        <w:rFonts w:ascii="Wingdings" w:hAnsi="Wingdings" w:hint="default"/>
      </w:rPr>
    </w:lvl>
    <w:lvl w:ilvl="1" w:tplc="C1960E92" w:tentative="1">
      <w:start w:val="1"/>
      <w:numFmt w:val="bullet"/>
      <w:lvlText w:val=""/>
      <w:lvlJc w:val="left"/>
      <w:pPr>
        <w:tabs>
          <w:tab w:val="num" w:pos="1440"/>
        </w:tabs>
        <w:ind w:left="1440" w:hanging="360"/>
      </w:pPr>
      <w:rPr>
        <w:rFonts w:ascii="Wingdings" w:hAnsi="Wingdings" w:hint="default"/>
      </w:rPr>
    </w:lvl>
    <w:lvl w:ilvl="2" w:tplc="4BF67456" w:tentative="1">
      <w:start w:val="1"/>
      <w:numFmt w:val="bullet"/>
      <w:lvlText w:val=""/>
      <w:lvlJc w:val="left"/>
      <w:pPr>
        <w:tabs>
          <w:tab w:val="num" w:pos="2160"/>
        </w:tabs>
        <w:ind w:left="2160" w:hanging="360"/>
      </w:pPr>
      <w:rPr>
        <w:rFonts w:ascii="Wingdings" w:hAnsi="Wingdings" w:hint="default"/>
      </w:rPr>
    </w:lvl>
    <w:lvl w:ilvl="3" w:tplc="677EC414" w:tentative="1">
      <w:start w:val="1"/>
      <w:numFmt w:val="bullet"/>
      <w:lvlText w:val=""/>
      <w:lvlJc w:val="left"/>
      <w:pPr>
        <w:tabs>
          <w:tab w:val="num" w:pos="2880"/>
        </w:tabs>
        <w:ind w:left="2880" w:hanging="360"/>
      </w:pPr>
      <w:rPr>
        <w:rFonts w:ascii="Wingdings" w:hAnsi="Wingdings" w:hint="default"/>
      </w:rPr>
    </w:lvl>
    <w:lvl w:ilvl="4" w:tplc="AE823600" w:tentative="1">
      <w:start w:val="1"/>
      <w:numFmt w:val="bullet"/>
      <w:lvlText w:val=""/>
      <w:lvlJc w:val="left"/>
      <w:pPr>
        <w:tabs>
          <w:tab w:val="num" w:pos="3600"/>
        </w:tabs>
        <w:ind w:left="3600" w:hanging="360"/>
      </w:pPr>
      <w:rPr>
        <w:rFonts w:ascii="Wingdings" w:hAnsi="Wingdings" w:hint="default"/>
      </w:rPr>
    </w:lvl>
    <w:lvl w:ilvl="5" w:tplc="2376E34A" w:tentative="1">
      <w:start w:val="1"/>
      <w:numFmt w:val="bullet"/>
      <w:lvlText w:val=""/>
      <w:lvlJc w:val="left"/>
      <w:pPr>
        <w:tabs>
          <w:tab w:val="num" w:pos="4320"/>
        </w:tabs>
        <w:ind w:left="4320" w:hanging="360"/>
      </w:pPr>
      <w:rPr>
        <w:rFonts w:ascii="Wingdings" w:hAnsi="Wingdings" w:hint="default"/>
      </w:rPr>
    </w:lvl>
    <w:lvl w:ilvl="6" w:tplc="2B663530" w:tentative="1">
      <w:start w:val="1"/>
      <w:numFmt w:val="bullet"/>
      <w:lvlText w:val=""/>
      <w:lvlJc w:val="left"/>
      <w:pPr>
        <w:tabs>
          <w:tab w:val="num" w:pos="5040"/>
        </w:tabs>
        <w:ind w:left="5040" w:hanging="360"/>
      </w:pPr>
      <w:rPr>
        <w:rFonts w:ascii="Wingdings" w:hAnsi="Wingdings" w:hint="default"/>
      </w:rPr>
    </w:lvl>
    <w:lvl w:ilvl="7" w:tplc="E95CFE4E" w:tentative="1">
      <w:start w:val="1"/>
      <w:numFmt w:val="bullet"/>
      <w:lvlText w:val=""/>
      <w:lvlJc w:val="left"/>
      <w:pPr>
        <w:tabs>
          <w:tab w:val="num" w:pos="5760"/>
        </w:tabs>
        <w:ind w:left="5760" w:hanging="360"/>
      </w:pPr>
      <w:rPr>
        <w:rFonts w:ascii="Wingdings" w:hAnsi="Wingdings" w:hint="default"/>
      </w:rPr>
    </w:lvl>
    <w:lvl w:ilvl="8" w:tplc="BD0ABC7A"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0531469"/>
    <w:multiLevelType w:val="hybridMultilevel"/>
    <w:tmpl w:val="E58A70BC"/>
    <w:lvl w:ilvl="0" w:tplc="539E5AB4">
      <w:numFmt w:val="bullet"/>
      <w:lvlText w:val="-"/>
      <w:lvlJc w:val="left"/>
      <w:pPr>
        <w:ind w:left="720" w:hanging="360"/>
      </w:pPr>
      <w:rPr>
        <w:rFonts w:ascii="Calibri" w:eastAsiaTheme="minorHAnsi" w:hAnsi="Calibri" w:cs="Calibri" w:hint="default"/>
      </w:rPr>
    </w:lvl>
    <w:lvl w:ilvl="1" w:tplc="257A16FA" w:tentative="1">
      <w:start w:val="1"/>
      <w:numFmt w:val="bullet"/>
      <w:lvlText w:val="o"/>
      <w:lvlJc w:val="left"/>
      <w:pPr>
        <w:ind w:left="1440" w:hanging="360"/>
      </w:pPr>
      <w:rPr>
        <w:rFonts w:ascii="Courier New" w:hAnsi="Courier New" w:cs="Courier New" w:hint="default"/>
      </w:rPr>
    </w:lvl>
    <w:lvl w:ilvl="2" w:tplc="BD1663DA" w:tentative="1">
      <w:start w:val="1"/>
      <w:numFmt w:val="bullet"/>
      <w:lvlText w:val=""/>
      <w:lvlJc w:val="left"/>
      <w:pPr>
        <w:ind w:left="2160" w:hanging="360"/>
      </w:pPr>
      <w:rPr>
        <w:rFonts w:ascii="Wingdings" w:hAnsi="Wingdings" w:hint="default"/>
      </w:rPr>
    </w:lvl>
    <w:lvl w:ilvl="3" w:tplc="39DE8136" w:tentative="1">
      <w:start w:val="1"/>
      <w:numFmt w:val="bullet"/>
      <w:lvlText w:val=""/>
      <w:lvlJc w:val="left"/>
      <w:pPr>
        <w:ind w:left="2880" w:hanging="360"/>
      </w:pPr>
      <w:rPr>
        <w:rFonts w:ascii="Symbol" w:hAnsi="Symbol" w:hint="default"/>
      </w:rPr>
    </w:lvl>
    <w:lvl w:ilvl="4" w:tplc="99F007EE" w:tentative="1">
      <w:start w:val="1"/>
      <w:numFmt w:val="bullet"/>
      <w:lvlText w:val="o"/>
      <w:lvlJc w:val="left"/>
      <w:pPr>
        <w:ind w:left="3600" w:hanging="360"/>
      </w:pPr>
      <w:rPr>
        <w:rFonts w:ascii="Courier New" w:hAnsi="Courier New" w:cs="Courier New" w:hint="default"/>
      </w:rPr>
    </w:lvl>
    <w:lvl w:ilvl="5" w:tplc="7736EEA2" w:tentative="1">
      <w:start w:val="1"/>
      <w:numFmt w:val="bullet"/>
      <w:lvlText w:val=""/>
      <w:lvlJc w:val="left"/>
      <w:pPr>
        <w:ind w:left="4320" w:hanging="360"/>
      </w:pPr>
      <w:rPr>
        <w:rFonts w:ascii="Wingdings" w:hAnsi="Wingdings" w:hint="default"/>
      </w:rPr>
    </w:lvl>
    <w:lvl w:ilvl="6" w:tplc="3E9C471E" w:tentative="1">
      <w:start w:val="1"/>
      <w:numFmt w:val="bullet"/>
      <w:lvlText w:val=""/>
      <w:lvlJc w:val="left"/>
      <w:pPr>
        <w:ind w:left="5040" w:hanging="360"/>
      </w:pPr>
      <w:rPr>
        <w:rFonts w:ascii="Symbol" w:hAnsi="Symbol" w:hint="default"/>
      </w:rPr>
    </w:lvl>
    <w:lvl w:ilvl="7" w:tplc="CC7400D4" w:tentative="1">
      <w:start w:val="1"/>
      <w:numFmt w:val="bullet"/>
      <w:lvlText w:val="o"/>
      <w:lvlJc w:val="left"/>
      <w:pPr>
        <w:ind w:left="5760" w:hanging="360"/>
      </w:pPr>
      <w:rPr>
        <w:rFonts w:ascii="Courier New" w:hAnsi="Courier New" w:cs="Courier New" w:hint="default"/>
      </w:rPr>
    </w:lvl>
    <w:lvl w:ilvl="8" w:tplc="4210D5F2" w:tentative="1">
      <w:start w:val="1"/>
      <w:numFmt w:val="bullet"/>
      <w:lvlText w:val=""/>
      <w:lvlJc w:val="left"/>
      <w:pPr>
        <w:ind w:left="6480" w:hanging="360"/>
      </w:pPr>
      <w:rPr>
        <w:rFonts w:ascii="Wingdings" w:hAnsi="Wingdings" w:hint="default"/>
      </w:rPr>
    </w:lvl>
  </w:abstractNum>
  <w:abstractNum w:abstractNumId="22" w15:restartNumberingAfterBreak="0">
    <w:nsid w:val="62B80578"/>
    <w:multiLevelType w:val="hybridMultilevel"/>
    <w:tmpl w:val="E1C00260"/>
    <w:lvl w:ilvl="0" w:tplc="3B58F2F2">
      <w:start w:val="1"/>
      <w:numFmt w:val="bullet"/>
      <w:lvlText w:val=""/>
      <w:lvlJc w:val="left"/>
      <w:pPr>
        <w:ind w:left="360" w:hanging="360"/>
      </w:pPr>
      <w:rPr>
        <w:rFonts w:ascii="Wingdings" w:hAnsi="Wingdings" w:hint="default"/>
      </w:rPr>
    </w:lvl>
    <w:lvl w:ilvl="1" w:tplc="F5AEC758" w:tentative="1">
      <w:start w:val="1"/>
      <w:numFmt w:val="bullet"/>
      <w:lvlText w:val="o"/>
      <w:lvlJc w:val="left"/>
      <w:pPr>
        <w:ind w:left="1080" w:hanging="360"/>
      </w:pPr>
      <w:rPr>
        <w:rFonts w:ascii="Courier New" w:hAnsi="Courier New" w:cs="Courier New" w:hint="default"/>
      </w:rPr>
    </w:lvl>
    <w:lvl w:ilvl="2" w:tplc="36CA5504" w:tentative="1">
      <w:start w:val="1"/>
      <w:numFmt w:val="bullet"/>
      <w:lvlText w:val=""/>
      <w:lvlJc w:val="left"/>
      <w:pPr>
        <w:ind w:left="1800" w:hanging="360"/>
      </w:pPr>
      <w:rPr>
        <w:rFonts w:ascii="Wingdings" w:hAnsi="Wingdings" w:hint="default"/>
      </w:rPr>
    </w:lvl>
    <w:lvl w:ilvl="3" w:tplc="E17AB28E" w:tentative="1">
      <w:start w:val="1"/>
      <w:numFmt w:val="bullet"/>
      <w:lvlText w:val=""/>
      <w:lvlJc w:val="left"/>
      <w:pPr>
        <w:ind w:left="2520" w:hanging="360"/>
      </w:pPr>
      <w:rPr>
        <w:rFonts w:ascii="Symbol" w:hAnsi="Symbol" w:hint="default"/>
      </w:rPr>
    </w:lvl>
    <w:lvl w:ilvl="4" w:tplc="746A8DDE" w:tentative="1">
      <w:start w:val="1"/>
      <w:numFmt w:val="bullet"/>
      <w:lvlText w:val="o"/>
      <w:lvlJc w:val="left"/>
      <w:pPr>
        <w:ind w:left="3240" w:hanging="360"/>
      </w:pPr>
      <w:rPr>
        <w:rFonts w:ascii="Courier New" w:hAnsi="Courier New" w:cs="Courier New" w:hint="default"/>
      </w:rPr>
    </w:lvl>
    <w:lvl w:ilvl="5" w:tplc="EFF4244E" w:tentative="1">
      <w:start w:val="1"/>
      <w:numFmt w:val="bullet"/>
      <w:lvlText w:val=""/>
      <w:lvlJc w:val="left"/>
      <w:pPr>
        <w:ind w:left="3960" w:hanging="360"/>
      </w:pPr>
      <w:rPr>
        <w:rFonts w:ascii="Wingdings" w:hAnsi="Wingdings" w:hint="default"/>
      </w:rPr>
    </w:lvl>
    <w:lvl w:ilvl="6" w:tplc="322050B8" w:tentative="1">
      <w:start w:val="1"/>
      <w:numFmt w:val="bullet"/>
      <w:lvlText w:val=""/>
      <w:lvlJc w:val="left"/>
      <w:pPr>
        <w:ind w:left="4680" w:hanging="360"/>
      </w:pPr>
      <w:rPr>
        <w:rFonts w:ascii="Symbol" w:hAnsi="Symbol" w:hint="default"/>
      </w:rPr>
    </w:lvl>
    <w:lvl w:ilvl="7" w:tplc="F68E4D86" w:tentative="1">
      <w:start w:val="1"/>
      <w:numFmt w:val="bullet"/>
      <w:lvlText w:val="o"/>
      <w:lvlJc w:val="left"/>
      <w:pPr>
        <w:ind w:left="5400" w:hanging="360"/>
      </w:pPr>
      <w:rPr>
        <w:rFonts w:ascii="Courier New" w:hAnsi="Courier New" w:cs="Courier New" w:hint="default"/>
      </w:rPr>
    </w:lvl>
    <w:lvl w:ilvl="8" w:tplc="7F9AA002" w:tentative="1">
      <w:start w:val="1"/>
      <w:numFmt w:val="bullet"/>
      <w:lvlText w:val=""/>
      <w:lvlJc w:val="left"/>
      <w:pPr>
        <w:ind w:left="6120" w:hanging="360"/>
      </w:pPr>
      <w:rPr>
        <w:rFonts w:ascii="Wingdings" w:hAnsi="Wingdings" w:hint="default"/>
      </w:rPr>
    </w:lvl>
  </w:abstractNum>
  <w:abstractNum w:abstractNumId="23" w15:restartNumberingAfterBreak="0">
    <w:nsid w:val="639472C0"/>
    <w:multiLevelType w:val="hybridMultilevel"/>
    <w:tmpl w:val="014AD484"/>
    <w:lvl w:ilvl="0" w:tplc="88A0C34A">
      <w:start w:val="1"/>
      <w:numFmt w:val="decimal"/>
      <w:lvlText w:val="%1."/>
      <w:lvlJc w:val="left"/>
      <w:pPr>
        <w:ind w:left="720" w:hanging="360"/>
      </w:pPr>
      <w:rPr>
        <w:rFonts w:hint="default"/>
      </w:rPr>
    </w:lvl>
    <w:lvl w:ilvl="1" w:tplc="87F8A8C0" w:tentative="1">
      <w:start w:val="1"/>
      <w:numFmt w:val="lowerLetter"/>
      <w:lvlText w:val="%2."/>
      <w:lvlJc w:val="left"/>
      <w:pPr>
        <w:ind w:left="1440" w:hanging="360"/>
      </w:pPr>
    </w:lvl>
    <w:lvl w:ilvl="2" w:tplc="5F248338" w:tentative="1">
      <w:start w:val="1"/>
      <w:numFmt w:val="lowerRoman"/>
      <w:lvlText w:val="%3."/>
      <w:lvlJc w:val="right"/>
      <w:pPr>
        <w:ind w:left="2160" w:hanging="180"/>
      </w:pPr>
    </w:lvl>
    <w:lvl w:ilvl="3" w:tplc="84A65C64" w:tentative="1">
      <w:start w:val="1"/>
      <w:numFmt w:val="decimal"/>
      <w:lvlText w:val="%4."/>
      <w:lvlJc w:val="left"/>
      <w:pPr>
        <w:ind w:left="2880" w:hanging="360"/>
      </w:pPr>
    </w:lvl>
    <w:lvl w:ilvl="4" w:tplc="D1B47B94" w:tentative="1">
      <w:start w:val="1"/>
      <w:numFmt w:val="lowerLetter"/>
      <w:lvlText w:val="%5."/>
      <w:lvlJc w:val="left"/>
      <w:pPr>
        <w:ind w:left="3600" w:hanging="360"/>
      </w:pPr>
    </w:lvl>
    <w:lvl w:ilvl="5" w:tplc="7408B088" w:tentative="1">
      <w:start w:val="1"/>
      <w:numFmt w:val="lowerRoman"/>
      <w:lvlText w:val="%6."/>
      <w:lvlJc w:val="right"/>
      <w:pPr>
        <w:ind w:left="4320" w:hanging="180"/>
      </w:pPr>
    </w:lvl>
    <w:lvl w:ilvl="6" w:tplc="C97AC8B2" w:tentative="1">
      <w:start w:val="1"/>
      <w:numFmt w:val="decimal"/>
      <w:lvlText w:val="%7."/>
      <w:lvlJc w:val="left"/>
      <w:pPr>
        <w:ind w:left="5040" w:hanging="360"/>
      </w:pPr>
    </w:lvl>
    <w:lvl w:ilvl="7" w:tplc="11043B42" w:tentative="1">
      <w:start w:val="1"/>
      <w:numFmt w:val="lowerLetter"/>
      <w:lvlText w:val="%8."/>
      <w:lvlJc w:val="left"/>
      <w:pPr>
        <w:ind w:left="5760" w:hanging="360"/>
      </w:pPr>
    </w:lvl>
    <w:lvl w:ilvl="8" w:tplc="AB80ED16" w:tentative="1">
      <w:start w:val="1"/>
      <w:numFmt w:val="lowerRoman"/>
      <w:lvlText w:val="%9."/>
      <w:lvlJc w:val="right"/>
      <w:pPr>
        <w:ind w:left="6480" w:hanging="180"/>
      </w:pPr>
    </w:lvl>
  </w:abstractNum>
  <w:abstractNum w:abstractNumId="24" w15:restartNumberingAfterBreak="0">
    <w:nsid w:val="6D215123"/>
    <w:multiLevelType w:val="hybridMultilevel"/>
    <w:tmpl w:val="8B1642A4"/>
    <w:lvl w:ilvl="0" w:tplc="2D08E3D8">
      <w:start w:val="1"/>
      <w:numFmt w:val="decimal"/>
      <w:lvlText w:val="%1."/>
      <w:lvlJc w:val="left"/>
      <w:pPr>
        <w:ind w:left="720" w:hanging="360"/>
      </w:pPr>
      <w:rPr>
        <w:rFonts w:hint="default"/>
      </w:rPr>
    </w:lvl>
    <w:lvl w:ilvl="1" w:tplc="5C50BCC2" w:tentative="1">
      <w:start w:val="1"/>
      <w:numFmt w:val="lowerLetter"/>
      <w:lvlText w:val="%2."/>
      <w:lvlJc w:val="left"/>
      <w:pPr>
        <w:ind w:left="1440" w:hanging="360"/>
      </w:pPr>
    </w:lvl>
    <w:lvl w:ilvl="2" w:tplc="D0DAF2AE" w:tentative="1">
      <w:start w:val="1"/>
      <w:numFmt w:val="lowerRoman"/>
      <w:lvlText w:val="%3."/>
      <w:lvlJc w:val="right"/>
      <w:pPr>
        <w:ind w:left="2160" w:hanging="180"/>
      </w:pPr>
    </w:lvl>
    <w:lvl w:ilvl="3" w:tplc="BB5A1C16" w:tentative="1">
      <w:start w:val="1"/>
      <w:numFmt w:val="decimal"/>
      <w:lvlText w:val="%4."/>
      <w:lvlJc w:val="left"/>
      <w:pPr>
        <w:ind w:left="2880" w:hanging="360"/>
      </w:pPr>
    </w:lvl>
    <w:lvl w:ilvl="4" w:tplc="F94CA1B8" w:tentative="1">
      <w:start w:val="1"/>
      <w:numFmt w:val="lowerLetter"/>
      <w:lvlText w:val="%5."/>
      <w:lvlJc w:val="left"/>
      <w:pPr>
        <w:ind w:left="3600" w:hanging="360"/>
      </w:pPr>
    </w:lvl>
    <w:lvl w:ilvl="5" w:tplc="B900EF20" w:tentative="1">
      <w:start w:val="1"/>
      <w:numFmt w:val="lowerRoman"/>
      <w:lvlText w:val="%6."/>
      <w:lvlJc w:val="right"/>
      <w:pPr>
        <w:ind w:left="4320" w:hanging="180"/>
      </w:pPr>
    </w:lvl>
    <w:lvl w:ilvl="6" w:tplc="2DB4CCDE" w:tentative="1">
      <w:start w:val="1"/>
      <w:numFmt w:val="decimal"/>
      <w:lvlText w:val="%7."/>
      <w:lvlJc w:val="left"/>
      <w:pPr>
        <w:ind w:left="5040" w:hanging="360"/>
      </w:pPr>
    </w:lvl>
    <w:lvl w:ilvl="7" w:tplc="1A44EB76" w:tentative="1">
      <w:start w:val="1"/>
      <w:numFmt w:val="lowerLetter"/>
      <w:lvlText w:val="%8."/>
      <w:lvlJc w:val="left"/>
      <w:pPr>
        <w:ind w:left="5760" w:hanging="360"/>
      </w:pPr>
    </w:lvl>
    <w:lvl w:ilvl="8" w:tplc="D6B8CAD2" w:tentative="1">
      <w:start w:val="1"/>
      <w:numFmt w:val="lowerRoman"/>
      <w:lvlText w:val="%9."/>
      <w:lvlJc w:val="right"/>
      <w:pPr>
        <w:ind w:left="6480" w:hanging="180"/>
      </w:pPr>
    </w:lvl>
  </w:abstractNum>
  <w:abstractNum w:abstractNumId="25" w15:restartNumberingAfterBreak="0">
    <w:nsid w:val="6DF23F00"/>
    <w:multiLevelType w:val="hybridMultilevel"/>
    <w:tmpl w:val="21CCEC90"/>
    <w:lvl w:ilvl="0" w:tplc="639CDEE0">
      <w:start w:val="1"/>
      <w:numFmt w:val="bullet"/>
      <w:lvlText w:val=""/>
      <w:lvlJc w:val="left"/>
      <w:pPr>
        <w:ind w:left="360" w:hanging="360"/>
      </w:pPr>
      <w:rPr>
        <w:rFonts w:ascii="Wingdings" w:hAnsi="Wingdings" w:hint="default"/>
      </w:rPr>
    </w:lvl>
    <w:lvl w:ilvl="1" w:tplc="EE2EE038" w:tentative="1">
      <w:start w:val="1"/>
      <w:numFmt w:val="bullet"/>
      <w:lvlText w:val="o"/>
      <w:lvlJc w:val="left"/>
      <w:pPr>
        <w:ind w:left="1080" w:hanging="360"/>
      </w:pPr>
      <w:rPr>
        <w:rFonts w:ascii="Courier New" w:hAnsi="Courier New" w:cs="Courier New" w:hint="default"/>
      </w:rPr>
    </w:lvl>
    <w:lvl w:ilvl="2" w:tplc="82FECF02" w:tentative="1">
      <w:start w:val="1"/>
      <w:numFmt w:val="bullet"/>
      <w:lvlText w:val=""/>
      <w:lvlJc w:val="left"/>
      <w:pPr>
        <w:ind w:left="1800" w:hanging="360"/>
      </w:pPr>
      <w:rPr>
        <w:rFonts w:ascii="Wingdings" w:hAnsi="Wingdings" w:hint="default"/>
      </w:rPr>
    </w:lvl>
    <w:lvl w:ilvl="3" w:tplc="FAB807E6" w:tentative="1">
      <w:start w:val="1"/>
      <w:numFmt w:val="bullet"/>
      <w:lvlText w:val=""/>
      <w:lvlJc w:val="left"/>
      <w:pPr>
        <w:ind w:left="2520" w:hanging="360"/>
      </w:pPr>
      <w:rPr>
        <w:rFonts w:ascii="Symbol" w:hAnsi="Symbol" w:hint="default"/>
      </w:rPr>
    </w:lvl>
    <w:lvl w:ilvl="4" w:tplc="5BF43C6A" w:tentative="1">
      <w:start w:val="1"/>
      <w:numFmt w:val="bullet"/>
      <w:lvlText w:val="o"/>
      <w:lvlJc w:val="left"/>
      <w:pPr>
        <w:ind w:left="3240" w:hanging="360"/>
      </w:pPr>
      <w:rPr>
        <w:rFonts w:ascii="Courier New" w:hAnsi="Courier New" w:cs="Courier New" w:hint="default"/>
      </w:rPr>
    </w:lvl>
    <w:lvl w:ilvl="5" w:tplc="31D03F98" w:tentative="1">
      <w:start w:val="1"/>
      <w:numFmt w:val="bullet"/>
      <w:lvlText w:val=""/>
      <w:lvlJc w:val="left"/>
      <w:pPr>
        <w:ind w:left="3960" w:hanging="360"/>
      </w:pPr>
      <w:rPr>
        <w:rFonts w:ascii="Wingdings" w:hAnsi="Wingdings" w:hint="default"/>
      </w:rPr>
    </w:lvl>
    <w:lvl w:ilvl="6" w:tplc="028E7022" w:tentative="1">
      <w:start w:val="1"/>
      <w:numFmt w:val="bullet"/>
      <w:lvlText w:val=""/>
      <w:lvlJc w:val="left"/>
      <w:pPr>
        <w:ind w:left="4680" w:hanging="360"/>
      </w:pPr>
      <w:rPr>
        <w:rFonts w:ascii="Symbol" w:hAnsi="Symbol" w:hint="default"/>
      </w:rPr>
    </w:lvl>
    <w:lvl w:ilvl="7" w:tplc="60C4BEF4" w:tentative="1">
      <w:start w:val="1"/>
      <w:numFmt w:val="bullet"/>
      <w:lvlText w:val="o"/>
      <w:lvlJc w:val="left"/>
      <w:pPr>
        <w:ind w:left="5400" w:hanging="360"/>
      </w:pPr>
      <w:rPr>
        <w:rFonts w:ascii="Courier New" w:hAnsi="Courier New" w:cs="Courier New" w:hint="default"/>
      </w:rPr>
    </w:lvl>
    <w:lvl w:ilvl="8" w:tplc="1F460D6C" w:tentative="1">
      <w:start w:val="1"/>
      <w:numFmt w:val="bullet"/>
      <w:lvlText w:val=""/>
      <w:lvlJc w:val="left"/>
      <w:pPr>
        <w:ind w:left="6120" w:hanging="360"/>
      </w:pPr>
      <w:rPr>
        <w:rFonts w:ascii="Wingdings" w:hAnsi="Wingdings" w:hint="default"/>
      </w:rPr>
    </w:lvl>
  </w:abstractNum>
  <w:abstractNum w:abstractNumId="26" w15:restartNumberingAfterBreak="0">
    <w:nsid w:val="7712386C"/>
    <w:multiLevelType w:val="hybridMultilevel"/>
    <w:tmpl w:val="ACA84F0E"/>
    <w:lvl w:ilvl="0" w:tplc="22D6E7CE">
      <w:start w:val="1"/>
      <w:numFmt w:val="bullet"/>
      <w:lvlText w:val=""/>
      <w:lvlJc w:val="left"/>
      <w:pPr>
        <w:ind w:left="360" w:hanging="360"/>
      </w:pPr>
      <w:rPr>
        <w:rFonts w:ascii="Symbol" w:hAnsi="Symbol" w:hint="default"/>
      </w:rPr>
    </w:lvl>
    <w:lvl w:ilvl="1" w:tplc="65B8B62C" w:tentative="1">
      <w:start w:val="1"/>
      <w:numFmt w:val="bullet"/>
      <w:lvlText w:val="o"/>
      <w:lvlJc w:val="left"/>
      <w:pPr>
        <w:ind w:left="1080" w:hanging="360"/>
      </w:pPr>
      <w:rPr>
        <w:rFonts w:ascii="Courier New" w:hAnsi="Courier New" w:cs="Courier New" w:hint="default"/>
      </w:rPr>
    </w:lvl>
    <w:lvl w:ilvl="2" w:tplc="54E09C9C" w:tentative="1">
      <w:start w:val="1"/>
      <w:numFmt w:val="bullet"/>
      <w:lvlText w:val=""/>
      <w:lvlJc w:val="left"/>
      <w:pPr>
        <w:ind w:left="1800" w:hanging="360"/>
      </w:pPr>
      <w:rPr>
        <w:rFonts w:ascii="Wingdings" w:hAnsi="Wingdings" w:hint="default"/>
      </w:rPr>
    </w:lvl>
    <w:lvl w:ilvl="3" w:tplc="9A08C95C" w:tentative="1">
      <w:start w:val="1"/>
      <w:numFmt w:val="bullet"/>
      <w:lvlText w:val=""/>
      <w:lvlJc w:val="left"/>
      <w:pPr>
        <w:ind w:left="2520" w:hanging="360"/>
      </w:pPr>
      <w:rPr>
        <w:rFonts w:ascii="Symbol" w:hAnsi="Symbol" w:hint="default"/>
      </w:rPr>
    </w:lvl>
    <w:lvl w:ilvl="4" w:tplc="6D246056" w:tentative="1">
      <w:start w:val="1"/>
      <w:numFmt w:val="bullet"/>
      <w:lvlText w:val="o"/>
      <w:lvlJc w:val="left"/>
      <w:pPr>
        <w:ind w:left="3240" w:hanging="360"/>
      </w:pPr>
      <w:rPr>
        <w:rFonts w:ascii="Courier New" w:hAnsi="Courier New" w:cs="Courier New" w:hint="default"/>
      </w:rPr>
    </w:lvl>
    <w:lvl w:ilvl="5" w:tplc="1B32986C" w:tentative="1">
      <w:start w:val="1"/>
      <w:numFmt w:val="bullet"/>
      <w:lvlText w:val=""/>
      <w:lvlJc w:val="left"/>
      <w:pPr>
        <w:ind w:left="3960" w:hanging="360"/>
      </w:pPr>
      <w:rPr>
        <w:rFonts w:ascii="Wingdings" w:hAnsi="Wingdings" w:hint="default"/>
      </w:rPr>
    </w:lvl>
    <w:lvl w:ilvl="6" w:tplc="D8B8C99E" w:tentative="1">
      <w:start w:val="1"/>
      <w:numFmt w:val="bullet"/>
      <w:lvlText w:val=""/>
      <w:lvlJc w:val="left"/>
      <w:pPr>
        <w:ind w:left="4680" w:hanging="360"/>
      </w:pPr>
      <w:rPr>
        <w:rFonts w:ascii="Symbol" w:hAnsi="Symbol" w:hint="default"/>
      </w:rPr>
    </w:lvl>
    <w:lvl w:ilvl="7" w:tplc="51D262E0" w:tentative="1">
      <w:start w:val="1"/>
      <w:numFmt w:val="bullet"/>
      <w:lvlText w:val="o"/>
      <w:lvlJc w:val="left"/>
      <w:pPr>
        <w:ind w:left="5400" w:hanging="360"/>
      </w:pPr>
      <w:rPr>
        <w:rFonts w:ascii="Courier New" w:hAnsi="Courier New" w:cs="Courier New" w:hint="default"/>
      </w:rPr>
    </w:lvl>
    <w:lvl w:ilvl="8" w:tplc="906ABB0E" w:tentative="1">
      <w:start w:val="1"/>
      <w:numFmt w:val="bullet"/>
      <w:lvlText w:val=""/>
      <w:lvlJc w:val="left"/>
      <w:pPr>
        <w:ind w:left="6120" w:hanging="360"/>
      </w:pPr>
      <w:rPr>
        <w:rFonts w:ascii="Wingdings" w:hAnsi="Wingdings" w:hint="default"/>
      </w:rPr>
    </w:lvl>
  </w:abstractNum>
  <w:abstractNum w:abstractNumId="27" w15:restartNumberingAfterBreak="0">
    <w:nsid w:val="7C15103E"/>
    <w:multiLevelType w:val="hybridMultilevel"/>
    <w:tmpl w:val="8092CE1C"/>
    <w:lvl w:ilvl="0" w:tplc="2DA4448E">
      <w:start w:val="1"/>
      <w:numFmt w:val="decimal"/>
      <w:lvlText w:val="%1."/>
      <w:lvlJc w:val="left"/>
      <w:pPr>
        <w:ind w:left="720" w:hanging="360"/>
      </w:pPr>
      <w:rPr>
        <w:rFonts w:hint="default"/>
      </w:rPr>
    </w:lvl>
    <w:lvl w:ilvl="1" w:tplc="87125F26" w:tentative="1">
      <w:start w:val="1"/>
      <w:numFmt w:val="lowerLetter"/>
      <w:lvlText w:val="%2."/>
      <w:lvlJc w:val="left"/>
      <w:pPr>
        <w:ind w:left="1440" w:hanging="360"/>
      </w:pPr>
    </w:lvl>
    <w:lvl w:ilvl="2" w:tplc="94748CB2" w:tentative="1">
      <w:start w:val="1"/>
      <w:numFmt w:val="lowerRoman"/>
      <w:lvlText w:val="%3."/>
      <w:lvlJc w:val="right"/>
      <w:pPr>
        <w:ind w:left="2160" w:hanging="180"/>
      </w:pPr>
    </w:lvl>
    <w:lvl w:ilvl="3" w:tplc="1944CE94" w:tentative="1">
      <w:start w:val="1"/>
      <w:numFmt w:val="decimal"/>
      <w:lvlText w:val="%4."/>
      <w:lvlJc w:val="left"/>
      <w:pPr>
        <w:ind w:left="2880" w:hanging="360"/>
      </w:pPr>
    </w:lvl>
    <w:lvl w:ilvl="4" w:tplc="8C087C2C" w:tentative="1">
      <w:start w:val="1"/>
      <w:numFmt w:val="lowerLetter"/>
      <w:lvlText w:val="%5."/>
      <w:lvlJc w:val="left"/>
      <w:pPr>
        <w:ind w:left="3600" w:hanging="360"/>
      </w:pPr>
    </w:lvl>
    <w:lvl w:ilvl="5" w:tplc="2CDECCDE" w:tentative="1">
      <w:start w:val="1"/>
      <w:numFmt w:val="lowerRoman"/>
      <w:lvlText w:val="%6."/>
      <w:lvlJc w:val="right"/>
      <w:pPr>
        <w:ind w:left="4320" w:hanging="180"/>
      </w:pPr>
    </w:lvl>
    <w:lvl w:ilvl="6" w:tplc="1F3ED868" w:tentative="1">
      <w:start w:val="1"/>
      <w:numFmt w:val="decimal"/>
      <w:lvlText w:val="%7."/>
      <w:lvlJc w:val="left"/>
      <w:pPr>
        <w:ind w:left="5040" w:hanging="360"/>
      </w:pPr>
    </w:lvl>
    <w:lvl w:ilvl="7" w:tplc="CC848E66" w:tentative="1">
      <w:start w:val="1"/>
      <w:numFmt w:val="lowerLetter"/>
      <w:lvlText w:val="%8."/>
      <w:lvlJc w:val="left"/>
      <w:pPr>
        <w:ind w:left="5760" w:hanging="360"/>
      </w:pPr>
    </w:lvl>
    <w:lvl w:ilvl="8" w:tplc="79F29AFE" w:tentative="1">
      <w:start w:val="1"/>
      <w:numFmt w:val="lowerRoman"/>
      <w:lvlText w:val="%9."/>
      <w:lvlJc w:val="right"/>
      <w:pPr>
        <w:ind w:left="6480" w:hanging="180"/>
      </w:pPr>
    </w:lvl>
  </w:abstractNum>
  <w:abstractNum w:abstractNumId="28" w15:restartNumberingAfterBreak="0">
    <w:nsid w:val="7FD72A65"/>
    <w:multiLevelType w:val="hybridMultilevel"/>
    <w:tmpl w:val="CFAEDA1C"/>
    <w:lvl w:ilvl="0" w:tplc="B21EAB64">
      <w:start w:val="1"/>
      <w:numFmt w:val="decimal"/>
      <w:lvlText w:val="%1."/>
      <w:lvlJc w:val="left"/>
      <w:pPr>
        <w:ind w:left="720" w:hanging="360"/>
      </w:pPr>
      <w:rPr>
        <w:rFonts w:hint="default"/>
      </w:rPr>
    </w:lvl>
    <w:lvl w:ilvl="1" w:tplc="93A24ADA" w:tentative="1">
      <w:start w:val="1"/>
      <w:numFmt w:val="lowerLetter"/>
      <w:lvlText w:val="%2."/>
      <w:lvlJc w:val="left"/>
      <w:pPr>
        <w:ind w:left="1440" w:hanging="360"/>
      </w:pPr>
    </w:lvl>
    <w:lvl w:ilvl="2" w:tplc="03A42070" w:tentative="1">
      <w:start w:val="1"/>
      <w:numFmt w:val="lowerRoman"/>
      <w:lvlText w:val="%3."/>
      <w:lvlJc w:val="right"/>
      <w:pPr>
        <w:ind w:left="2160" w:hanging="180"/>
      </w:pPr>
    </w:lvl>
    <w:lvl w:ilvl="3" w:tplc="B270E7EC" w:tentative="1">
      <w:start w:val="1"/>
      <w:numFmt w:val="decimal"/>
      <w:lvlText w:val="%4."/>
      <w:lvlJc w:val="left"/>
      <w:pPr>
        <w:ind w:left="2880" w:hanging="360"/>
      </w:pPr>
    </w:lvl>
    <w:lvl w:ilvl="4" w:tplc="F426DECE" w:tentative="1">
      <w:start w:val="1"/>
      <w:numFmt w:val="lowerLetter"/>
      <w:lvlText w:val="%5."/>
      <w:lvlJc w:val="left"/>
      <w:pPr>
        <w:ind w:left="3600" w:hanging="360"/>
      </w:pPr>
    </w:lvl>
    <w:lvl w:ilvl="5" w:tplc="173235BC" w:tentative="1">
      <w:start w:val="1"/>
      <w:numFmt w:val="lowerRoman"/>
      <w:lvlText w:val="%6."/>
      <w:lvlJc w:val="right"/>
      <w:pPr>
        <w:ind w:left="4320" w:hanging="180"/>
      </w:pPr>
    </w:lvl>
    <w:lvl w:ilvl="6" w:tplc="C760573E" w:tentative="1">
      <w:start w:val="1"/>
      <w:numFmt w:val="decimal"/>
      <w:lvlText w:val="%7."/>
      <w:lvlJc w:val="left"/>
      <w:pPr>
        <w:ind w:left="5040" w:hanging="360"/>
      </w:pPr>
    </w:lvl>
    <w:lvl w:ilvl="7" w:tplc="637621EE" w:tentative="1">
      <w:start w:val="1"/>
      <w:numFmt w:val="lowerLetter"/>
      <w:lvlText w:val="%8."/>
      <w:lvlJc w:val="left"/>
      <w:pPr>
        <w:ind w:left="5760" w:hanging="360"/>
      </w:pPr>
    </w:lvl>
    <w:lvl w:ilvl="8" w:tplc="FB407B76" w:tentative="1">
      <w:start w:val="1"/>
      <w:numFmt w:val="lowerRoman"/>
      <w:lvlText w:val="%9."/>
      <w:lvlJc w:val="right"/>
      <w:pPr>
        <w:ind w:left="6480" w:hanging="180"/>
      </w:pPr>
    </w:lvl>
  </w:abstractNum>
  <w:num w:numId="1">
    <w:abstractNumId w:val="26"/>
  </w:num>
  <w:num w:numId="2">
    <w:abstractNumId w:val="14"/>
  </w:num>
  <w:num w:numId="3">
    <w:abstractNumId w:val="19"/>
  </w:num>
  <w:num w:numId="4">
    <w:abstractNumId w:val="18"/>
  </w:num>
  <w:num w:numId="5">
    <w:abstractNumId w:val="24"/>
  </w:num>
  <w:num w:numId="6">
    <w:abstractNumId w:val="9"/>
  </w:num>
  <w:num w:numId="7">
    <w:abstractNumId w:val="15"/>
  </w:num>
  <w:num w:numId="8">
    <w:abstractNumId w:val="27"/>
  </w:num>
  <w:num w:numId="9">
    <w:abstractNumId w:val="4"/>
  </w:num>
  <w:num w:numId="10">
    <w:abstractNumId w:val="17"/>
  </w:num>
  <w:num w:numId="11">
    <w:abstractNumId w:val="0"/>
  </w:num>
  <w:num w:numId="12">
    <w:abstractNumId w:val="3"/>
  </w:num>
  <w:num w:numId="13">
    <w:abstractNumId w:val="6"/>
  </w:num>
  <w:num w:numId="14">
    <w:abstractNumId w:val="10"/>
  </w:num>
  <w:num w:numId="15">
    <w:abstractNumId w:val="5"/>
  </w:num>
  <w:num w:numId="16">
    <w:abstractNumId w:val="8"/>
  </w:num>
  <w:num w:numId="17">
    <w:abstractNumId w:val="1"/>
  </w:num>
  <w:num w:numId="18">
    <w:abstractNumId w:val="25"/>
  </w:num>
  <w:num w:numId="19">
    <w:abstractNumId w:val="2"/>
  </w:num>
  <w:num w:numId="20">
    <w:abstractNumId w:val="22"/>
  </w:num>
  <w:num w:numId="21">
    <w:abstractNumId w:val="13"/>
  </w:num>
  <w:num w:numId="22">
    <w:abstractNumId w:val="7"/>
  </w:num>
  <w:num w:numId="23">
    <w:abstractNumId w:val="23"/>
  </w:num>
  <w:num w:numId="24">
    <w:abstractNumId w:val="16"/>
  </w:num>
  <w:num w:numId="25">
    <w:abstractNumId w:val="28"/>
  </w:num>
  <w:num w:numId="26">
    <w:abstractNumId w:val="11"/>
  </w:num>
  <w:num w:numId="27">
    <w:abstractNumId w:val="21"/>
  </w:num>
  <w:num w:numId="28">
    <w:abstractNumId w:val="20"/>
  </w:num>
  <w:num w:numId="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DB2"/>
    <w:rsid w:val="000D293F"/>
    <w:rsid w:val="002630BF"/>
    <w:rsid w:val="00B94DB2"/>
    <w:rsid w:val="00E8544A"/>
    <w:rsid w:val="00F610E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B5A693-C6C1-4B95-B94D-91BB9E6B4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4DB2"/>
  </w:style>
  <w:style w:type="paragraph" w:styleId="Heading1">
    <w:name w:val="heading 1"/>
    <w:basedOn w:val="Normal"/>
    <w:next w:val="Normal"/>
    <w:link w:val="Heading1Char"/>
    <w:uiPriority w:val="9"/>
    <w:qFormat/>
    <w:rsid w:val="00B94DB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B94DB2"/>
    <w:pPr>
      <w:spacing w:after="0" w:line="240" w:lineRule="auto"/>
      <w:jc w:val="center"/>
      <w:outlineLvl w:val="1"/>
    </w:pPr>
    <w:rPr>
      <w:rFonts w:ascii="Times New Roman" w:eastAsia="Times New Roman" w:hAnsi="Times New Roman" w:cs="Times New Roman"/>
      <w:b/>
      <w:bCs/>
      <w:color w:val="000000"/>
      <w:kern w:val="28"/>
      <w:sz w:val="24"/>
      <w:szCs w:val="24"/>
      <w:lang w:val="en-CA" w:eastAsia="en-CA"/>
    </w:rPr>
  </w:style>
  <w:style w:type="paragraph" w:styleId="Heading3">
    <w:name w:val="heading 3"/>
    <w:basedOn w:val="Normal"/>
    <w:next w:val="Normal"/>
    <w:link w:val="Heading3Char"/>
    <w:uiPriority w:val="9"/>
    <w:semiHidden/>
    <w:unhideWhenUsed/>
    <w:qFormat/>
    <w:rsid w:val="00B94DB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4DB2"/>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rsid w:val="00B94DB2"/>
    <w:rPr>
      <w:rFonts w:ascii="Times New Roman" w:eastAsia="Times New Roman" w:hAnsi="Times New Roman" w:cs="Times New Roman"/>
      <w:b/>
      <w:bCs/>
      <w:color w:val="000000"/>
      <w:kern w:val="28"/>
      <w:sz w:val="24"/>
      <w:szCs w:val="24"/>
      <w:lang w:val="en-CA" w:eastAsia="en-CA"/>
    </w:rPr>
  </w:style>
  <w:style w:type="character" w:customStyle="1" w:styleId="Heading3Char">
    <w:name w:val="Heading 3 Char"/>
    <w:basedOn w:val="DefaultParagraphFont"/>
    <w:link w:val="Heading3"/>
    <w:uiPriority w:val="9"/>
    <w:semiHidden/>
    <w:rsid w:val="00B94DB2"/>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39"/>
    <w:rsid w:val="00B94D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94DB2"/>
    <w:pPr>
      <w:ind w:left="720"/>
      <w:contextualSpacing/>
    </w:pPr>
  </w:style>
  <w:style w:type="character" w:customStyle="1" w:styleId="st">
    <w:name w:val="st"/>
    <w:basedOn w:val="DefaultParagraphFont"/>
    <w:rsid w:val="00B94DB2"/>
  </w:style>
  <w:style w:type="character" w:styleId="Emphasis">
    <w:name w:val="Emphasis"/>
    <w:basedOn w:val="DefaultParagraphFont"/>
    <w:uiPriority w:val="20"/>
    <w:qFormat/>
    <w:rsid w:val="00B94DB2"/>
    <w:rPr>
      <w:i/>
      <w:iCs/>
    </w:rPr>
  </w:style>
  <w:style w:type="character" w:styleId="Hyperlink">
    <w:name w:val="Hyperlink"/>
    <w:basedOn w:val="DefaultParagraphFont"/>
    <w:uiPriority w:val="99"/>
    <w:unhideWhenUsed/>
    <w:rsid w:val="00B94DB2"/>
    <w:rPr>
      <w:color w:val="0563C1" w:themeColor="hyperlink"/>
      <w:u w:val="single"/>
    </w:rPr>
  </w:style>
  <w:style w:type="paragraph" w:styleId="Caption">
    <w:name w:val="caption"/>
    <w:basedOn w:val="Normal"/>
    <w:next w:val="Normal"/>
    <w:uiPriority w:val="35"/>
    <w:unhideWhenUsed/>
    <w:qFormat/>
    <w:rsid w:val="00B94DB2"/>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B94DB2"/>
    <w:rPr>
      <w:sz w:val="16"/>
      <w:szCs w:val="16"/>
    </w:rPr>
  </w:style>
  <w:style w:type="paragraph" w:styleId="CommentText">
    <w:name w:val="annotation text"/>
    <w:basedOn w:val="Normal"/>
    <w:link w:val="CommentTextChar"/>
    <w:uiPriority w:val="99"/>
    <w:unhideWhenUsed/>
    <w:rsid w:val="00B94DB2"/>
    <w:pPr>
      <w:spacing w:line="240" w:lineRule="auto"/>
    </w:pPr>
    <w:rPr>
      <w:sz w:val="20"/>
      <w:szCs w:val="20"/>
    </w:rPr>
  </w:style>
  <w:style w:type="character" w:customStyle="1" w:styleId="CommentTextChar">
    <w:name w:val="Comment Text Char"/>
    <w:basedOn w:val="DefaultParagraphFont"/>
    <w:link w:val="CommentText"/>
    <w:uiPriority w:val="99"/>
    <w:rsid w:val="00B94DB2"/>
    <w:rPr>
      <w:sz w:val="20"/>
      <w:szCs w:val="20"/>
    </w:rPr>
  </w:style>
  <w:style w:type="paragraph" w:styleId="BalloonText">
    <w:name w:val="Balloon Text"/>
    <w:basedOn w:val="Normal"/>
    <w:link w:val="BalloonTextChar"/>
    <w:uiPriority w:val="99"/>
    <w:semiHidden/>
    <w:unhideWhenUsed/>
    <w:rsid w:val="00B94D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4DB2"/>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B94DB2"/>
    <w:rPr>
      <w:b/>
      <w:bCs/>
    </w:rPr>
  </w:style>
  <w:style w:type="character" w:customStyle="1" w:styleId="CommentSubjectChar">
    <w:name w:val="Comment Subject Char"/>
    <w:basedOn w:val="CommentTextChar"/>
    <w:link w:val="CommentSubject"/>
    <w:uiPriority w:val="99"/>
    <w:semiHidden/>
    <w:rsid w:val="00B94DB2"/>
    <w:rPr>
      <w:b/>
      <w:bCs/>
      <w:sz w:val="20"/>
      <w:szCs w:val="20"/>
    </w:rPr>
  </w:style>
  <w:style w:type="paragraph" w:customStyle="1" w:styleId="EndNoteBibliographyTitle">
    <w:name w:val="EndNote Bibliography Title"/>
    <w:basedOn w:val="Normal"/>
    <w:link w:val="EndNoteBibliographyTitleChar"/>
    <w:rsid w:val="00B94DB2"/>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B94DB2"/>
    <w:rPr>
      <w:rFonts w:ascii="Calibri" w:hAnsi="Calibri" w:cs="Calibri"/>
      <w:noProof/>
      <w:lang w:val="en-US"/>
    </w:rPr>
  </w:style>
  <w:style w:type="paragraph" w:customStyle="1" w:styleId="EndNoteBibliography">
    <w:name w:val="EndNote Bibliography"/>
    <w:basedOn w:val="Normal"/>
    <w:link w:val="EndNoteBibliographyChar"/>
    <w:rsid w:val="00B94DB2"/>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B94DB2"/>
    <w:rPr>
      <w:rFonts w:ascii="Calibri" w:hAnsi="Calibri" w:cs="Calibri"/>
      <w:noProof/>
      <w:lang w:val="en-US"/>
    </w:rPr>
  </w:style>
  <w:style w:type="paragraph" w:styleId="Header">
    <w:name w:val="header"/>
    <w:basedOn w:val="Normal"/>
    <w:link w:val="HeaderChar"/>
    <w:uiPriority w:val="99"/>
    <w:unhideWhenUsed/>
    <w:rsid w:val="00B94D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4DB2"/>
  </w:style>
  <w:style w:type="paragraph" w:styleId="Footer">
    <w:name w:val="footer"/>
    <w:basedOn w:val="Normal"/>
    <w:link w:val="FooterChar"/>
    <w:uiPriority w:val="99"/>
    <w:unhideWhenUsed/>
    <w:rsid w:val="00B94D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4DB2"/>
  </w:style>
  <w:style w:type="character" w:customStyle="1" w:styleId="ilfuvd">
    <w:name w:val="ilfuvd"/>
    <w:basedOn w:val="DefaultParagraphFont"/>
    <w:rsid w:val="00B94DB2"/>
  </w:style>
  <w:style w:type="paragraph" w:customStyle="1" w:styleId="Normal0">
    <w:name w:val="[Normal]"/>
    <w:qFormat/>
    <w:rsid w:val="00B94DB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ascii="Arial" w:eastAsia="Arial" w:hAnsi="Arial" w:cs="Times New Roman"/>
      <w:sz w:val="24"/>
      <w:szCs w:val="20"/>
      <w:lang w:eastAsia="en-AU"/>
    </w:rPr>
  </w:style>
  <w:style w:type="table" w:customStyle="1" w:styleId="TableGrid1">
    <w:name w:val="Table Grid1"/>
    <w:basedOn w:val="TableNormal"/>
    <w:next w:val="TableGrid"/>
    <w:uiPriority w:val="39"/>
    <w:rsid w:val="00B94D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Cite">
    <w:name w:val="HTML Cite"/>
    <w:basedOn w:val="DefaultParagraphFont"/>
    <w:uiPriority w:val="99"/>
    <w:semiHidden/>
    <w:unhideWhenUsed/>
    <w:rsid w:val="00B94DB2"/>
    <w:rPr>
      <w:i/>
      <w:iCs/>
    </w:rPr>
  </w:style>
  <w:style w:type="paragraph" w:customStyle="1" w:styleId="Default">
    <w:name w:val="Default"/>
    <w:rsid w:val="00B94DB2"/>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UnresolvedMention1">
    <w:name w:val="Unresolved Mention1"/>
    <w:basedOn w:val="DefaultParagraphFont"/>
    <w:uiPriority w:val="99"/>
    <w:semiHidden/>
    <w:unhideWhenUsed/>
    <w:rsid w:val="00B94DB2"/>
    <w:rPr>
      <w:color w:val="605E5C"/>
      <w:shd w:val="clear" w:color="auto" w:fill="E1DFDD"/>
    </w:rPr>
  </w:style>
  <w:style w:type="character" w:styleId="LineNumber">
    <w:name w:val="line number"/>
    <w:basedOn w:val="DefaultParagraphFont"/>
    <w:uiPriority w:val="99"/>
    <w:semiHidden/>
    <w:unhideWhenUsed/>
    <w:rsid w:val="00B94DB2"/>
  </w:style>
  <w:style w:type="paragraph" w:styleId="NormalWeb">
    <w:name w:val="Normal (Web)"/>
    <w:basedOn w:val="Normal"/>
    <w:uiPriority w:val="99"/>
    <w:unhideWhenUsed/>
    <w:rsid w:val="00B94DB2"/>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asp-uk.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atahelpdesk.worldbank.org/knowledgebase/articles/906519-world-bank-country-and-lending-groups" TargetMode="External"/><Relationship Id="rId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10714</Words>
  <Characters>61072</Characters>
  <Application>Microsoft Office Word</Application>
  <DocSecurity>0</DocSecurity>
  <Lines>508</Lines>
  <Paragraphs>143</Paragraphs>
  <ScaleCrop>false</ScaleCrop>
  <Company>University of Technology Sydney</Company>
  <LinksUpToDate>false</LinksUpToDate>
  <CharactersWithSpaces>71643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Ameyaw</dc:creator>
  <cp:keywords/>
  <dc:description/>
  <cp:lastModifiedBy>Edward Ameyaw</cp:lastModifiedBy>
  <cp:revision>1</cp:revision>
  <dcterms:created xsi:type="dcterms:W3CDTF">2020-07-20T07:49:00Z</dcterms:created>
  <dcterms:modified xsi:type="dcterms:W3CDTF">2020-07-20T07:50:00Z</dcterms:modified>
</cp:coreProperties>
</file>