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BB4DA" w14:textId="0635DB92" w:rsidR="003B5B59" w:rsidRPr="003B5B59" w:rsidRDefault="003B5B59" w:rsidP="003B5B59">
      <w:pPr>
        <w:spacing w:line="480" w:lineRule="auto"/>
        <w:rPr>
          <w:rFonts w:ascii="Arial" w:hAnsi="Arial" w:cs="Arial"/>
          <w:sz w:val="24"/>
          <w:szCs w:val="24"/>
        </w:rPr>
      </w:pPr>
      <w:r w:rsidRPr="003B5B59">
        <w:rPr>
          <w:rFonts w:ascii="Arial" w:hAnsi="Arial" w:cs="Arial"/>
          <w:b/>
          <w:bCs/>
          <w:sz w:val="24"/>
          <w:szCs w:val="24"/>
        </w:rPr>
        <w:t xml:space="preserve">Supplemental Figure 1: </w:t>
      </w:r>
      <w:r w:rsidRPr="003B5B59">
        <w:rPr>
          <w:rFonts w:ascii="Arial" w:hAnsi="Arial" w:cs="Arial"/>
          <w:sz w:val="24"/>
          <w:szCs w:val="24"/>
        </w:rPr>
        <w:t>Correlation analysis of lesion metabolic activity (SUV</w:t>
      </w:r>
      <w:r w:rsidRPr="004315D4">
        <w:rPr>
          <w:rFonts w:ascii="Arial" w:hAnsi="Arial" w:cs="Arial"/>
          <w:sz w:val="24"/>
          <w:szCs w:val="24"/>
          <w:vertAlign w:val="subscript"/>
        </w:rPr>
        <w:t>MAX</w:t>
      </w:r>
      <w:r w:rsidRPr="003B5B59">
        <w:rPr>
          <w:rFonts w:ascii="Arial" w:hAnsi="Arial" w:cs="Arial"/>
          <w:sz w:val="24"/>
          <w:szCs w:val="24"/>
        </w:rPr>
        <w:t xml:space="preserve">) with clinical variables of AE patients. </w:t>
      </w:r>
    </w:p>
    <w:p w14:paraId="3272B665" w14:textId="4DA5C90A" w:rsidR="00CB3147" w:rsidRPr="003B5B59" w:rsidRDefault="003B5B59" w:rsidP="003B5B59">
      <w:pPr>
        <w:spacing w:line="480" w:lineRule="auto"/>
        <w:rPr>
          <w:rFonts w:ascii="Arial" w:hAnsi="Arial" w:cs="Arial"/>
          <w:sz w:val="24"/>
          <w:szCs w:val="24"/>
        </w:rPr>
      </w:pPr>
      <w:r w:rsidRPr="003B5B59">
        <w:rPr>
          <w:rFonts w:ascii="Arial" w:hAnsi="Arial" w:cs="Arial"/>
          <w:b/>
          <w:bCs/>
          <w:sz w:val="24"/>
          <w:szCs w:val="24"/>
        </w:rPr>
        <w:t xml:space="preserve">Supplemental Figure 2: </w:t>
      </w:r>
      <w:r w:rsidRPr="003B5B59">
        <w:rPr>
          <w:rFonts w:ascii="Arial" w:hAnsi="Arial" w:cs="Arial"/>
          <w:sz w:val="24"/>
          <w:szCs w:val="24"/>
        </w:rPr>
        <w:t>Receiver operating characteristic curves (ROCs) for serum PDGF-BB levels in predicting the metabolic activity of AE lesion.</w:t>
      </w:r>
    </w:p>
    <w:sectPr w:rsidR="00CB3147" w:rsidRPr="003B5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147"/>
    <w:rsid w:val="003B5B59"/>
    <w:rsid w:val="004315D4"/>
    <w:rsid w:val="00CB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EFDA7"/>
  <w15:chartTrackingRefBased/>
  <w15:docId w15:val="{96C07591-3426-4F9D-B88B-8AE33F069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ke</dc:creator>
  <cp:keywords/>
  <dc:description/>
  <cp:lastModifiedBy>ying ke</cp:lastModifiedBy>
  <cp:revision>5</cp:revision>
  <dcterms:created xsi:type="dcterms:W3CDTF">2020-06-28T04:35:00Z</dcterms:created>
  <dcterms:modified xsi:type="dcterms:W3CDTF">2020-09-04T16:40:00Z</dcterms:modified>
</cp:coreProperties>
</file>