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25121024"/>
    <w:p w14:paraId="6180199E" w14:textId="77777777" w:rsidR="003B7B3A" w:rsidRPr="002B3CD3" w:rsidRDefault="003B7B3A" w:rsidP="003B7B3A">
      <w:pPr>
        <w:spacing w:line="480" w:lineRule="auto"/>
        <w:ind w:leftChars="100" w:left="210"/>
        <w:jc w:val="left"/>
        <w:rPr>
          <w:rFonts w:ascii="Times New Roman" w:eastAsia="SimSun" w:hAnsi="Times New Roman" w:cs="Times New Roman"/>
          <w:b/>
          <w:bCs/>
          <w:sz w:val="20"/>
          <w:szCs w:val="20"/>
        </w:rPr>
      </w:pPr>
      <w:r w:rsidRPr="002B3CD3">
        <w:rPr>
          <w:rFonts w:ascii="Times New Roman" w:hAnsi="Times New Roman" w:cs="Times New Roman"/>
          <w:sz w:val="20"/>
          <w:szCs w:val="20"/>
        </w:rPr>
        <w:fldChar w:fldCharType="begin"/>
      </w:r>
      <w:r w:rsidRPr="002B3CD3">
        <w:rPr>
          <w:rFonts w:ascii="Times New Roman" w:hAnsi="Times New Roman" w:cs="Times New Roman"/>
          <w:sz w:val="20"/>
          <w:szCs w:val="20"/>
        </w:rPr>
        <w:instrText>HYPERLINK "https://publishingsupport.iopscience.iop.org/questions/supplementary-material-and-data-in-journal-articles/"</w:instrText>
      </w:r>
      <w:r w:rsidRPr="002B3CD3">
        <w:rPr>
          <w:rFonts w:ascii="Times New Roman" w:hAnsi="Times New Roman" w:cs="Times New Roman"/>
          <w:sz w:val="20"/>
          <w:szCs w:val="20"/>
        </w:rPr>
      </w:r>
      <w:r w:rsidRPr="002B3CD3">
        <w:rPr>
          <w:rFonts w:ascii="Times New Roman" w:hAnsi="Times New Roman" w:cs="Times New Roman"/>
          <w:sz w:val="20"/>
          <w:szCs w:val="20"/>
        </w:rPr>
        <w:fldChar w:fldCharType="separate"/>
      </w:r>
      <w:r w:rsidRPr="002B3CD3">
        <w:rPr>
          <w:rFonts w:ascii="Times New Roman" w:eastAsia="SimSun" w:hAnsi="Times New Roman" w:cs="Times New Roman"/>
          <w:b/>
          <w:bCs/>
          <w:sz w:val="20"/>
          <w:szCs w:val="20"/>
        </w:rPr>
        <w:t>Supplementary data files</w:t>
      </w:r>
      <w:r w:rsidRPr="002B3CD3">
        <w:rPr>
          <w:rFonts w:ascii="Times New Roman" w:eastAsia="SimSun" w:hAnsi="Times New Roman" w:cs="Times New Roman"/>
          <w:b/>
          <w:bCs/>
          <w:sz w:val="20"/>
          <w:szCs w:val="20"/>
        </w:rPr>
        <w:fldChar w:fldCharType="end"/>
      </w:r>
    </w:p>
    <w:p w14:paraId="0A63A322" w14:textId="77777777" w:rsidR="003B7B3A" w:rsidRPr="002B3CD3" w:rsidRDefault="003B7B3A" w:rsidP="003B7B3A">
      <w:pPr>
        <w:spacing w:line="480" w:lineRule="auto"/>
        <w:ind w:leftChars="100" w:left="210"/>
        <w:rPr>
          <w:rFonts w:ascii="Times New Roman" w:hAnsi="Times New Roman" w:cs="Times New Roman"/>
          <w:b/>
          <w:bCs/>
          <w:sz w:val="20"/>
          <w:szCs w:val="20"/>
        </w:rPr>
      </w:pPr>
      <w:r w:rsidRPr="002B3CD3">
        <w:rPr>
          <w:rFonts w:ascii="Times New Roman" w:hAnsi="Times New Roman" w:cs="Times New Roman"/>
          <w:b/>
          <w:bCs/>
          <w:sz w:val="20"/>
          <w:szCs w:val="20"/>
        </w:rPr>
        <w:t xml:space="preserve">Table S1 Clusters of orthologous groups of proteins (COGs) belonging to the function of carbohydrate transport and metabolism, amino acid transport </w:t>
      </w:r>
      <w:r w:rsidRPr="002B3CD3">
        <w:rPr>
          <w:rFonts w:ascii="Times New Roman" w:eastAsia="DengXian" w:hAnsi="Times New Roman" w:cs="Times New Roman"/>
          <w:b/>
          <w:bCs/>
          <w:kern w:val="0"/>
          <w:sz w:val="20"/>
          <w:szCs w:val="20"/>
        </w:rPr>
        <w:t>and metabolism</w:t>
      </w:r>
      <w:r w:rsidRPr="002B3CD3">
        <w:rPr>
          <w:rFonts w:ascii="Times New Roman" w:hAnsi="Times New Roman" w:cs="Times New Roman"/>
          <w:b/>
          <w:bCs/>
          <w:sz w:val="20"/>
          <w:szCs w:val="20"/>
        </w:rPr>
        <w:t xml:space="preserve"> in soils under 7 types of vegetation</w:t>
      </w:r>
    </w:p>
    <w:tbl>
      <w:tblPr>
        <w:tblW w:w="1510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58"/>
        <w:gridCol w:w="1561"/>
        <w:gridCol w:w="4678"/>
        <w:gridCol w:w="1275"/>
        <w:gridCol w:w="1560"/>
        <w:gridCol w:w="4468"/>
      </w:tblGrid>
      <w:tr w:rsidR="003B7B3A" w:rsidRPr="002B3CD3" w14:paraId="2DE2C373" w14:textId="77777777" w:rsidTr="00915159">
        <w:trPr>
          <w:trHeight w:val="276"/>
          <w:jc w:val="center"/>
        </w:trPr>
        <w:tc>
          <w:tcPr>
            <w:tcW w:w="7797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B7615F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G: Carbohydrate transport and metabolism</w:t>
            </w:r>
          </w:p>
        </w:tc>
        <w:tc>
          <w:tcPr>
            <w:tcW w:w="7303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C344FB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E: Amino acid transport and metabolism</w:t>
            </w:r>
          </w:p>
        </w:tc>
      </w:tr>
      <w:tr w:rsidR="003B7B3A" w:rsidRPr="002B3CD3" w14:paraId="2FB9F229" w14:textId="77777777" w:rsidTr="00915159">
        <w:trPr>
          <w:trHeight w:val="276"/>
          <w:jc w:val="center"/>
        </w:trPr>
        <w:tc>
          <w:tcPr>
            <w:tcW w:w="15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0CD7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COG</w:t>
            </w:r>
          </w:p>
        </w:tc>
        <w:tc>
          <w:tcPr>
            <w:tcW w:w="156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670D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Average reads</w:t>
            </w:r>
          </w:p>
        </w:tc>
        <w:tc>
          <w:tcPr>
            <w:tcW w:w="467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A4E891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COG_Description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AB613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COG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7E7F8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Average reads</w:t>
            </w:r>
          </w:p>
        </w:tc>
        <w:tc>
          <w:tcPr>
            <w:tcW w:w="446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7AF29B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COG_Description</w:t>
            </w:r>
          </w:p>
        </w:tc>
      </w:tr>
      <w:tr w:rsidR="003B7B3A" w:rsidRPr="002B3CD3" w14:paraId="68D3ACD3" w14:textId="77777777" w:rsidTr="00915159">
        <w:trPr>
          <w:trHeight w:val="20"/>
          <w:jc w:val="center"/>
        </w:trPr>
        <w:tc>
          <w:tcPr>
            <w:tcW w:w="15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BDE2C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COG0477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6F83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33561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4FCC1E6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major facilitator Superfamily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77AA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COG0624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A552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35071</w:t>
            </w:r>
          </w:p>
        </w:tc>
        <w:tc>
          <w:tcPr>
            <w:tcW w:w="446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841A13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succinyl-diaminopimelate desuccinylase activity</w:t>
            </w:r>
          </w:p>
        </w:tc>
      </w:tr>
      <w:tr w:rsidR="003B7B3A" w:rsidRPr="002B3CD3" w14:paraId="3542C679" w14:textId="77777777" w:rsidTr="00915159">
        <w:trPr>
          <w:trHeight w:val="20"/>
          <w:jc w:val="center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1B9A0AAC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COG1653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7F98312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26300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0CA2F971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transporter activity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3482E2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COG0028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31F80A8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35191</w:t>
            </w:r>
          </w:p>
        </w:tc>
        <w:tc>
          <w:tcPr>
            <w:tcW w:w="4468" w:type="dxa"/>
            <w:shd w:val="clear" w:color="auto" w:fill="auto"/>
            <w:vAlign w:val="center"/>
            <w:hideMark/>
          </w:tcPr>
          <w:p w14:paraId="4A979BD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acetolactate synthase</w:t>
            </w:r>
          </w:p>
        </w:tc>
      </w:tr>
      <w:tr w:rsidR="003B7B3A" w:rsidRPr="002B3CD3" w14:paraId="17D1E9FF" w14:textId="77777777" w:rsidTr="00915159">
        <w:trPr>
          <w:trHeight w:val="20"/>
          <w:jc w:val="center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5DC4E65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COG0395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65C5CEB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22266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7098B313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Binding-protein-dependent transport systems inner membrane component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D1AC34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COG2303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6C18F6B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26725</w:t>
            </w:r>
          </w:p>
        </w:tc>
        <w:tc>
          <w:tcPr>
            <w:tcW w:w="4468" w:type="dxa"/>
            <w:shd w:val="clear" w:color="auto" w:fill="auto"/>
            <w:vAlign w:val="center"/>
            <w:hideMark/>
          </w:tcPr>
          <w:p w14:paraId="7AA7F0E8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oxidoreductase</w:t>
            </w:r>
          </w:p>
        </w:tc>
      </w:tr>
      <w:tr w:rsidR="003B7B3A" w:rsidRPr="002B3CD3" w14:paraId="2E5F5D3D" w14:textId="77777777" w:rsidTr="00915159">
        <w:trPr>
          <w:trHeight w:val="20"/>
          <w:jc w:val="center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6B0A9CE6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COG2133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1132056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26861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47066FAD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Dehydrogenase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CF7143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COG1506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DCF700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26841</w:t>
            </w:r>
          </w:p>
        </w:tc>
        <w:tc>
          <w:tcPr>
            <w:tcW w:w="4468" w:type="dxa"/>
            <w:shd w:val="clear" w:color="auto" w:fill="auto"/>
            <w:vAlign w:val="center"/>
            <w:hideMark/>
          </w:tcPr>
          <w:p w14:paraId="6A0A760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peptidase s9 prolyl oligopeptidase active site domain protein</w:t>
            </w:r>
          </w:p>
        </w:tc>
      </w:tr>
      <w:tr w:rsidR="003B7B3A" w:rsidRPr="002B3CD3" w14:paraId="6E3A8293" w14:textId="77777777" w:rsidTr="00915159">
        <w:trPr>
          <w:trHeight w:val="20"/>
          <w:jc w:val="center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1B88AD74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COG1472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6572E8C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15533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0458BF2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hydrolase family 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BAA497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COG0436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ED0E4D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24358</w:t>
            </w:r>
          </w:p>
        </w:tc>
        <w:tc>
          <w:tcPr>
            <w:tcW w:w="4468" w:type="dxa"/>
            <w:shd w:val="clear" w:color="auto" w:fill="auto"/>
            <w:vAlign w:val="center"/>
            <w:hideMark/>
          </w:tcPr>
          <w:p w14:paraId="1EE910E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aminotransferase</w:t>
            </w:r>
          </w:p>
        </w:tc>
      </w:tr>
      <w:tr w:rsidR="003B7B3A" w:rsidRPr="002B3CD3" w14:paraId="475471DD" w14:textId="77777777" w:rsidTr="00915159">
        <w:trPr>
          <w:trHeight w:val="20"/>
          <w:jc w:val="center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55B029A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COG1940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6239D27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16931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5F4B016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ROK family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B82C4A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COG0683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2BE555D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23420</w:t>
            </w:r>
          </w:p>
        </w:tc>
        <w:tc>
          <w:tcPr>
            <w:tcW w:w="4468" w:type="dxa"/>
            <w:shd w:val="clear" w:color="auto" w:fill="auto"/>
            <w:vAlign w:val="center"/>
            <w:hideMark/>
          </w:tcPr>
          <w:p w14:paraId="1ADDBAD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(ABC) transporter</w:t>
            </w:r>
          </w:p>
        </w:tc>
      </w:tr>
      <w:tr w:rsidR="003B7B3A" w:rsidRPr="002B3CD3" w14:paraId="0CFEB17A" w14:textId="77777777" w:rsidTr="00915159">
        <w:trPr>
          <w:trHeight w:val="20"/>
          <w:jc w:val="center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0DA0FCE3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COG0574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74123C8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19848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7AA8B306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phosphotransferase activity, paired acceptors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4E8DEF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COG0411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4BFB32D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21728</w:t>
            </w:r>
          </w:p>
        </w:tc>
        <w:tc>
          <w:tcPr>
            <w:tcW w:w="4468" w:type="dxa"/>
            <w:shd w:val="clear" w:color="auto" w:fill="auto"/>
            <w:vAlign w:val="center"/>
            <w:hideMark/>
          </w:tcPr>
          <w:p w14:paraId="2949BDA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(ABC) transporter</w:t>
            </w:r>
          </w:p>
        </w:tc>
      </w:tr>
      <w:tr w:rsidR="003B7B3A" w:rsidRPr="002B3CD3" w14:paraId="55502338" w14:textId="77777777" w:rsidTr="00915159">
        <w:trPr>
          <w:trHeight w:val="20"/>
          <w:jc w:val="center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21EB531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COG0524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5BDE5A1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15075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7C31FC1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pfkb domain protein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49FF35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COG0111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74812E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19088</w:t>
            </w:r>
          </w:p>
        </w:tc>
        <w:tc>
          <w:tcPr>
            <w:tcW w:w="4468" w:type="dxa"/>
            <w:shd w:val="clear" w:color="auto" w:fill="auto"/>
            <w:vAlign w:val="center"/>
            <w:hideMark/>
          </w:tcPr>
          <w:p w14:paraId="1308D7EC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Dehydrogenase</w:t>
            </w:r>
          </w:p>
        </w:tc>
      </w:tr>
      <w:tr w:rsidR="003B7B3A" w:rsidRPr="002B3CD3" w14:paraId="2F704095" w14:textId="77777777" w:rsidTr="00915159">
        <w:trPr>
          <w:trHeight w:val="20"/>
          <w:jc w:val="center"/>
        </w:trPr>
        <w:tc>
          <w:tcPr>
            <w:tcW w:w="155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63F4C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COG4993</w:t>
            </w:r>
          </w:p>
        </w:tc>
        <w:tc>
          <w:tcPr>
            <w:tcW w:w="156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B37E64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17145</w:t>
            </w:r>
          </w:p>
        </w:tc>
        <w:tc>
          <w:tcPr>
            <w:tcW w:w="4678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004B06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Dehydrogenase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EF00C61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COG0070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A17981D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19292</w:t>
            </w:r>
          </w:p>
        </w:tc>
        <w:tc>
          <w:tcPr>
            <w:tcW w:w="4468" w:type="dxa"/>
            <w:shd w:val="clear" w:color="auto" w:fill="auto"/>
            <w:vAlign w:val="center"/>
            <w:hideMark/>
          </w:tcPr>
          <w:p w14:paraId="7633772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glutamate synthase</w:t>
            </w:r>
          </w:p>
        </w:tc>
      </w:tr>
      <w:tr w:rsidR="003B7B3A" w:rsidRPr="002B3CD3" w14:paraId="53055B5A" w14:textId="77777777" w:rsidTr="00915159">
        <w:trPr>
          <w:trHeight w:val="20"/>
          <w:jc w:val="center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006A6D5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lastRenderedPageBreak/>
              <w:t>COG3839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0DF295C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14446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2E69AD78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(ABC) transporter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30AB53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COG0410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295F5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19334</w:t>
            </w:r>
          </w:p>
        </w:tc>
        <w:tc>
          <w:tcPr>
            <w:tcW w:w="4468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B3C4A8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amino acid transport</w:t>
            </w:r>
          </w:p>
        </w:tc>
      </w:tr>
    </w:tbl>
    <w:p w14:paraId="0F8E769F" w14:textId="77777777" w:rsidR="003B7B3A" w:rsidRPr="002B3CD3" w:rsidRDefault="003B7B3A" w:rsidP="003B7B3A">
      <w:pPr>
        <w:spacing w:line="480" w:lineRule="auto"/>
        <w:ind w:leftChars="100" w:left="210"/>
        <w:rPr>
          <w:rFonts w:ascii="Times New Roman" w:hAnsi="Times New Roman" w:cs="Times New Roman"/>
          <w:b/>
          <w:bCs/>
          <w:sz w:val="20"/>
          <w:szCs w:val="20"/>
        </w:rPr>
        <w:sectPr w:rsidR="003B7B3A" w:rsidRPr="002B3CD3" w:rsidSect="000E27FC"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/>
          <w:docGrid w:type="linesAndChars" w:linePitch="312"/>
        </w:sectPr>
      </w:pPr>
    </w:p>
    <w:p w14:paraId="67696CF4" w14:textId="77777777" w:rsidR="003B7B3A" w:rsidRPr="002B3CD3" w:rsidRDefault="003B7B3A" w:rsidP="003B7B3A">
      <w:pPr>
        <w:spacing w:line="480" w:lineRule="auto"/>
        <w:ind w:leftChars="100" w:left="210"/>
        <w:rPr>
          <w:rFonts w:ascii="Times New Roman" w:hAnsi="Times New Roman" w:cs="Times New Roman"/>
          <w:b/>
          <w:bCs/>
          <w:sz w:val="20"/>
          <w:szCs w:val="20"/>
        </w:rPr>
      </w:pPr>
    </w:p>
    <w:p w14:paraId="5285B983" w14:textId="77777777" w:rsidR="003B7B3A" w:rsidRPr="002B3CD3" w:rsidRDefault="003B7B3A" w:rsidP="003B7B3A">
      <w:pPr>
        <w:spacing w:line="480" w:lineRule="auto"/>
        <w:ind w:leftChars="100" w:left="210"/>
        <w:rPr>
          <w:rFonts w:ascii="Times New Roman" w:hAnsi="Times New Roman" w:cs="Times New Roman"/>
          <w:b/>
          <w:bCs/>
          <w:sz w:val="20"/>
          <w:szCs w:val="20"/>
        </w:rPr>
      </w:pPr>
      <w:r w:rsidRPr="002B3CD3">
        <w:rPr>
          <w:rFonts w:ascii="Times New Roman" w:hAnsi="Times New Roman" w:cs="Times New Roman"/>
          <w:b/>
          <w:bCs/>
          <w:sz w:val="20"/>
          <w:szCs w:val="20"/>
        </w:rPr>
        <w:t>Table S2 Related enzymes and pathways are involved in the carbon cycle (a) and nitrogen cycle (b) under 7 types of vegetation based on metagenomic sequencing</w:t>
      </w:r>
    </w:p>
    <w:tbl>
      <w:tblPr>
        <w:tblW w:w="8241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69"/>
        <w:gridCol w:w="1211"/>
        <w:gridCol w:w="1399"/>
        <w:gridCol w:w="3833"/>
      </w:tblGrid>
      <w:tr w:rsidR="003B7B3A" w:rsidRPr="002B3CD3" w14:paraId="0FB03501" w14:textId="77777777" w:rsidTr="00915159">
        <w:trPr>
          <w:trHeight w:val="276"/>
          <w:jc w:val="center"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AAD81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Name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F22AD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EC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2279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Average reads</w:t>
            </w:r>
          </w:p>
        </w:tc>
        <w:tc>
          <w:tcPr>
            <w:tcW w:w="4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545B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Pathways</w:t>
            </w:r>
          </w:p>
        </w:tc>
      </w:tr>
      <w:tr w:rsidR="003B7B3A" w:rsidRPr="002B3CD3" w14:paraId="0F262824" w14:textId="77777777" w:rsidTr="00915159">
        <w:trPr>
          <w:trHeight w:val="276"/>
          <w:jc w:val="center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E31C4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α-Amylase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81434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3211</w:t>
            </w:r>
          </w:p>
        </w:tc>
        <w:tc>
          <w:tcPr>
            <w:tcW w:w="14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BED3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10798</w:t>
            </w:r>
          </w:p>
        </w:tc>
        <w:tc>
          <w:tcPr>
            <w:tcW w:w="407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897D8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ko00500: Starch and sucrose metabolism</w:t>
            </w:r>
          </w:p>
        </w:tc>
      </w:tr>
      <w:tr w:rsidR="003B7B3A" w:rsidRPr="002B3CD3" w14:paraId="27888122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5DEAB6B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A63068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13FD6C84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7C38BBC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ko01100: Metabolic pathways</w:t>
            </w:r>
          </w:p>
        </w:tc>
      </w:tr>
      <w:tr w:rsidR="003B7B3A" w:rsidRPr="002B3CD3" w14:paraId="393FDAF2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ACEC5E6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Chitinase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98AEC83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32114</w:t>
            </w: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51A01CE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1991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0681B66B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ko00520: Amino sugar and nucleotide sugar metabolism</w:t>
            </w:r>
          </w:p>
        </w:tc>
      </w:tr>
      <w:tr w:rsidR="003B7B3A" w:rsidRPr="002B3CD3" w14:paraId="06828CA8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1BF58F8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4C500E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14BF88F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12F61B5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ko01100: Metabolic pathways</w:t>
            </w:r>
          </w:p>
        </w:tc>
      </w:tr>
      <w:tr w:rsidR="003B7B3A" w:rsidRPr="002B3CD3" w14:paraId="71891C63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95AAC2C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α-glucosidase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68BF518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32120</w:t>
            </w: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42465CC8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10048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20622DF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ko00052: Galactose metabolism</w:t>
            </w:r>
          </w:p>
        </w:tc>
      </w:tr>
      <w:tr w:rsidR="003B7B3A" w:rsidRPr="002B3CD3" w14:paraId="13437084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412F7C1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B76F4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563480D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373F524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ko00500: Starch and sucrose metabolism</w:t>
            </w:r>
          </w:p>
        </w:tc>
      </w:tr>
      <w:tr w:rsidR="003B7B3A" w:rsidRPr="002B3CD3" w14:paraId="3770E597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D4036D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383D8F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3427BB9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7355A391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ko01100: Metabolic pathways</w:t>
            </w:r>
          </w:p>
        </w:tc>
      </w:tr>
      <w:tr w:rsidR="003B7B3A" w:rsidRPr="002B3CD3" w14:paraId="5156A4F9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124ABB3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β-glucosidase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6DB9D5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32121</w:t>
            </w: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622FC5A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13625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5DBDB1B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ko00460: Cyanoamino acid metabolism</w:t>
            </w:r>
          </w:p>
        </w:tc>
      </w:tr>
      <w:tr w:rsidR="003B7B3A" w:rsidRPr="002B3CD3" w14:paraId="50AE3288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03BDD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E96FC0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21509734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2BC571D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ko00500: Starch and sucrose metabolism</w:t>
            </w:r>
          </w:p>
        </w:tc>
      </w:tr>
      <w:tr w:rsidR="003B7B3A" w:rsidRPr="002B3CD3" w14:paraId="580C94EE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5D55FED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5CDDCB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659A301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67342F6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ko00940: Phenylpropanoid biosynthesis</w:t>
            </w:r>
          </w:p>
        </w:tc>
      </w:tr>
      <w:tr w:rsidR="003B7B3A" w:rsidRPr="002B3CD3" w14:paraId="35FA4A77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5BA65F8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AE6D06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53D6F72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78D59D23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ko01100: Metabolic pathways</w:t>
            </w:r>
          </w:p>
        </w:tc>
      </w:tr>
      <w:tr w:rsidR="003B7B3A" w:rsidRPr="002B3CD3" w14:paraId="53D0D7C0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E078FB8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Endo-1,4-β-glucanase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321738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3214</w:t>
            </w: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155A4BF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3778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44217D4D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ko00500: Starch and sucrose metabolism</w:t>
            </w:r>
          </w:p>
        </w:tc>
      </w:tr>
      <w:tr w:rsidR="003B7B3A" w:rsidRPr="002B3CD3" w14:paraId="1BC479E9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DF1C65B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F53503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0A39794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59EE086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ko01100: Metabolic pathways</w:t>
            </w:r>
          </w:p>
        </w:tc>
      </w:tr>
      <w:tr w:rsidR="003B7B3A" w:rsidRPr="002B3CD3" w14:paraId="16797F0C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B859F1C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β-Fructofuranosidase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035C93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32126</w:t>
            </w: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1A7621B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924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40F873A6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ko00052: Galactose metabolism</w:t>
            </w:r>
          </w:p>
        </w:tc>
      </w:tr>
      <w:tr w:rsidR="003B7B3A" w:rsidRPr="002B3CD3" w14:paraId="27A65EE1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E0BBDBC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37AAEFD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0497E3A6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5205129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ko00500: Starch and sucrose metabolism</w:t>
            </w:r>
          </w:p>
        </w:tc>
      </w:tr>
      <w:tr w:rsidR="003B7B3A" w:rsidRPr="002B3CD3" w14:paraId="416C85B6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492B08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Isoamylase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A8B469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32168</w:t>
            </w: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4C20125B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10593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056CFE8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ko00500: Starch and sucrose metabolism</w:t>
            </w:r>
          </w:p>
        </w:tc>
      </w:tr>
      <w:tr w:rsidR="003B7B3A" w:rsidRPr="002B3CD3" w14:paraId="4D7D8368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B5271B4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6-Phospho-β-glucosidase 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4E0F76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32186</w:t>
            </w: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657F4124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1332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5DF2FA6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ko00010: Glycolysis / Gluconeogenesis</w:t>
            </w:r>
          </w:p>
        </w:tc>
      </w:tr>
      <w:tr w:rsidR="003B7B3A" w:rsidRPr="002B3CD3" w14:paraId="5E53B0CC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32710E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CBFA1B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0EABCDBD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700080A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ko00500: Starch and sucrose metabolism</w:t>
            </w:r>
          </w:p>
        </w:tc>
      </w:tr>
      <w:tr w:rsidR="003B7B3A" w:rsidRPr="002B3CD3" w14:paraId="1F3B947E" w14:textId="77777777" w:rsidTr="00915159">
        <w:trPr>
          <w:trHeight w:val="276"/>
          <w:jc w:val="center"/>
        </w:trPr>
        <w:tc>
          <w:tcPr>
            <w:tcW w:w="141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BB27C51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lastRenderedPageBreak/>
              <w:t>α-L-Arabinofuranosidase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958131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32155</w:t>
            </w:r>
          </w:p>
        </w:tc>
        <w:tc>
          <w:tcPr>
            <w:tcW w:w="147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2E0D66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3029</w:t>
            </w:r>
          </w:p>
        </w:tc>
        <w:tc>
          <w:tcPr>
            <w:tcW w:w="407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68F36F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ko00520: Amino sugar and nucleotide sugar metabolism</w:t>
            </w:r>
          </w:p>
        </w:tc>
      </w:tr>
      <w:tr w:rsidR="003B7B3A" w:rsidRPr="002B3CD3" w14:paraId="12678FB5" w14:textId="77777777" w:rsidTr="00915159">
        <w:trPr>
          <w:trHeight w:val="276"/>
          <w:jc w:val="center"/>
        </w:trPr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BC708D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Glucan 1,4-alpha-glucosidase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36B5B4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3213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E5841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1445</w:t>
            </w:r>
          </w:p>
        </w:tc>
        <w:tc>
          <w:tcPr>
            <w:tcW w:w="407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0A68E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ko00500: Starch and sucrose metabolism</w:t>
            </w:r>
          </w:p>
        </w:tc>
      </w:tr>
      <w:tr w:rsidR="003B7B3A" w:rsidRPr="002B3CD3" w14:paraId="13DC30A7" w14:textId="77777777" w:rsidTr="00915159">
        <w:trPr>
          <w:trHeight w:val="276"/>
          <w:jc w:val="center"/>
        </w:trPr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00DD2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312F8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F952B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E810D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ko00520: Amino sugar and nucleotide sugar metabolism</w:t>
            </w:r>
          </w:p>
        </w:tc>
      </w:tr>
      <w:tr w:rsidR="003B7B3A" w:rsidRPr="002B3CD3" w14:paraId="53838D39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14330E4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9B7537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590A2F16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76BD341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ko04973: Carbohydrate digestion and absorption</w:t>
            </w:r>
          </w:p>
        </w:tc>
      </w:tr>
      <w:tr w:rsidR="003B7B3A" w:rsidRPr="002B3CD3" w14:paraId="75D7AD90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8CDB91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Oligo-1,6-glucosidase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743A5F1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32110</w:t>
            </w: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4941D3B6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1586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7D63B9B1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ko00500: Starch and sucrose metabolism</w:t>
            </w:r>
          </w:p>
        </w:tc>
      </w:tr>
      <w:tr w:rsidR="003B7B3A" w:rsidRPr="002B3CD3" w14:paraId="745F1C2A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E2A6DA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CBDF27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4E0AB13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0B3E696C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ko00520: Amino sugar and nucleotide sugar metabolism</w:t>
            </w:r>
          </w:p>
        </w:tc>
      </w:tr>
      <w:tr w:rsidR="003B7B3A" w:rsidRPr="002B3CD3" w14:paraId="7D53D40C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FC85F7B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Xylan 1,4-beta-xylosidase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03E50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32137</w:t>
            </w: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4174F97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1893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3F92C9C8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ko00520: Amino sugar and nucleotide sugar metabolism</w:t>
            </w:r>
          </w:p>
        </w:tc>
      </w:tr>
      <w:tr w:rsidR="003B7B3A" w:rsidRPr="002B3CD3" w14:paraId="2B2DB3E2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3FABAC3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Chitosanase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4DB7B9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321132</w:t>
            </w: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43223FC1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13F4A36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ko00520: Amino sugar and nucleotide sugar metabolism</w:t>
            </w:r>
          </w:p>
        </w:tc>
      </w:tr>
      <w:tr w:rsidR="003B7B3A" w:rsidRPr="002B3CD3" w14:paraId="0AC23CA6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35ABC8C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Exo-1,4-beta-D-glucosaminidase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AFFF95D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321165</w:t>
            </w: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690E2898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359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5F3837D1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ko00520: Amino sugar and nucleotide sugar metabolism</w:t>
            </w:r>
          </w:p>
        </w:tc>
      </w:tr>
      <w:tr w:rsidR="003B7B3A" w:rsidRPr="002B3CD3" w14:paraId="196E1924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89D591C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7078D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20D898A3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30647876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B7B3A" w:rsidRPr="002B3CD3" w14:paraId="6802C305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FC73E7D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Acetylornithine deacetylase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9B5150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35116</w:t>
            </w: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02F4A2A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5072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7E10DD3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ko00220: Arginine biosynthesis</w:t>
            </w:r>
          </w:p>
        </w:tc>
      </w:tr>
      <w:tr w:rsidR="003B7B3A" w:rsidRPr="002B3CD3" w14:paraId="1DF2ACBD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D009153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9D3F65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439D611C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07A3474B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ko01210: 2-Oxocarboxylic acid metabolism</w:t>
            </w:r>
          </w:p>
        </w:tc>
      </w:tr>
      <w:tr w:rsidR="003B7B3A" w:rsidRPr="002B3CD3" w14:paraId="5D3BCE48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1D993C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305CC0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606FC5A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3AFED4F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ko01230: Biosynthesis of amino acids</w:t>
            </w:r>
          </w:p>
        </w:tc>
      </w:tr>
      <w:tr w:rsidR="003B7B3A" w:rsidRPr="002B3CD3" w14:paraId="3BFFCAE8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A658AD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Arginase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48CC03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3531</w:t>
            </w: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26B6AA7D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3764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48B75334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ko00330: Arginine and proline metabolism</w:t>
            </w:r>
          </w:p>
        </w:tc>
      </w:tr>
      <w:tr w:rsidR="003B7B3A" w:rsidRPr="002B3CD3" w14:paraId="1A7E0528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F17F80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59304E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642FDC0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1B189E4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ko00220: Arginine biosynthesis</w:t>
            </w:r>
          </w:p>
        </w:tc>
      </w:tr>
      <w:tr w:rsidR="003B7B3A" w:rsidRPr="002B3CD3" w14:paraId="2A09F25C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F989BC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9E2A9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6AD4CD54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00D5EDA1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ko01230: Biosynthesis of amino acids</w:t>
            </w:r>
          </w:p>
        </w:tc>
      </w:tr>
      <w:tr w:rsidR="003B7B3A" w:rsidRPr="002B3CD3" w14:paraId="279BD702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AA3881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EA8C97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3C449F36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2F9CA61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ko05146: Amoebiasis</w:t>
            </w:r>
          </w:p>
        </w:tc>
      </w:tr>
      <w:tr w:rsidR="003B7B3A" w:rsidRPr="002B3CD3" w14:paraId="51FB79E3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09432BB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Argininosuccinate lyase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06B02F4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4321</w:t>
            </w: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545D2E5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7309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15C8C35D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ko00220: Arginine biosynthesis</w:t>
            </w:r>
          </w:p>
        </w:tc>
      </w:tr>
      <w:tr w:rsidR="003B7B3A" w:rsidRPr="002B3CD3" w14:paraId="23800A80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77FCEA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D27F10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405665E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4D8FDF8D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ko00250: Alanine, aspartate and glutamate metabolism</w:t>
            </w:r>
          </w:p>
        </w:tc>
      </w:tr>
      <w:tr w:rsidR="003B7B3A" w:rsidRPr="002B3CD3" w14:paraId="6E0FC495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21FA80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37D814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50D5B393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3156E80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ko01210: 2-Oxocarboxylic acid metabolism</w:t>
            </w:r>
          </w:p>
        </w:tc>
      </w:tr>
      <w:tr w:rsidR="003B7B3A" w:rsidRPr="002B3CD3" w14:paraId="2DDBC001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DF56DE1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B85445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429C1506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78DF6968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ko01230: Biosynthesis of amino acids</w:t>
            </w:r>
          </w:p>
        </w:tc>
      </w:tr>
      <w:tr w:rsidR="003B7B3A" w:rsidRPr="002B3CD3" w14:paraId="426651C5" w14:textId="77777777" w:rsidTr="00915159">
        <w:trPr>
          <w:trHeight w:val="276"/>
          <w:jc w:val="center"/>
        </w:trPr>
        <w:tc>
          <w:tcPr>
            <w:tcW w:w="141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261BEB4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Carbamate kinase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ADDDF26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2722</w:t>
            </w:r>
          </w:p>
        </w:tc>
        <w:tc>
          <w:tcPr>
            <w:tcW w:w="147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CC693E4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1136</w:t>
            </w:r>
          </w:p>
        </w:tc>
        <w:tc>
          <w:tcPr>
            <w:tcW w:w="407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245890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ko00220: Arginine biosynthesis</w:t>
            </w:r>
          </w:p>
        </w:tc>
      </w:tr>
      <w:tr w:rsidR="003B7B3A" w:rsidRPr="002B3CD3" w14:paraId="7208148E" w14:textId="77777777" w:rsidTr="00915159">
        <w:trPr>
          <w:trHeight w:val="276"/>
          <w:jc w:val="center"/>
        </w:trPr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5BDB04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Aspartate aminotransferase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EE0A3C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2611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0B7B36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4517</w:t>
            </w:r>
          </w:p>
        </w:tc>
        <w:tc>
          <w:tcPr>
            <w:tcW w:w="407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82912B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ko00220: Arginine biosynthesis</w:t>
            </w:r>
          </w:p>
        </w:tc>
      </w:tr>
      <w:tr w:rsidR="003B7B3A" w:rsidRPr="002B3CD3" w14:paraId="3DC762D8" w14:textId="77777777" w:rsidTr="00915159">
        <w:trPr>
          <w:trHeight w:val="276"/>
          <w:jc w:val="center"/>
        </w:trPr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098831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BA9C56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0C7598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0826D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ko00250: Alanine, aspartate and glutamate metabolism</w:t>
            </w:r>
          </w:p>
        </w:tc>
      </w:tr>
      <w:tr w:rsidR="003B7B3A" w:rsidRPr="002B3CD3" w14:paraId="62874455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527D6C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4686A9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34CED158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7D41DB4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ko00330: Arginine and proline metabolism</w:t>
            </w:r>
          </w:p>
        </w:tc>
      </w:tr>
      <w:tr w:rsidR="003B7B3A" w:rsidRPr="002B3CD3" w14:paraId="1DC584ED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A555A9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781AB1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048DC051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4D179BEC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ko00360: Phenylalanine metabolism</w:t>
            </w:r>
          </w:p>
        </w:tc>
      </w:tr>
      <w:tr w:rsidR="003B7B3A" w:rsidRPr="002B3CD3" w14:paraId="0E2DBF28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D8949EB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E5A3B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42C5D003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39C9CF98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ko00350: Tyrosine metabolism</w:t>
            </w:r>
          </w:p>
        </w:tc>
      </w:tr>
      <w:tr w:rsidR="003B7B3A" w:rsidRPr="002B3CD3" w14:paraId="2F435FFF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C0B193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0D2B829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4EEFAF52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5C25BFF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ko01210: 2-Oxocarboxylic acid metabolism</w:t>
            </w:r>
          </w:p>
        </w:tc>
      </w:tr>
      <w:tr w:rsidR="003B7B3A" w:rsidRPr="002B3CD3" w14:paraId="16AB8148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6C6829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88DBE1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00C2584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3AC0EF5C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ko01230: Biosynthesis of amino acids</w:t>
            </w:r>
          </w:p>
        </w:tc>
      </w:tr>
      <w:tr w:rsidR="003B7B3A" w:rsidRPr="002B3CD3" w14:paraId="3254C7BC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C8B527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Urea carboxylase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7E7789F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6346</w:t>
            </w: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260B39FD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1215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17BC6AA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ko00220: Arginine biosynthesis</w:t>
            </w:r>
          </w:p>
        </w:tc>
      </w:tr>
      <w:tr w:rsidR="003B7B3A" w:rsidRPr="002B3CD3" w14:paraId="77D9B61B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97F582D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566B13B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6FA9FA13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66EB9C57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ko00791: Atrazine degradation</w:t>
            </w:r>
          </w:p>
        </w:tc>
      </w:tr>
      <w:tr w:rsidR="003B7B3A" w:rsidRPr="002B3CD3" w14:paraId="6B975F90" w14:textId="77777777" w:rsidTr="00915159">
        <w:trPr>
          <w:trHeight w:val="276"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62C175A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N-acetylornithine carbamoyltransferase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488C71E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2139</w:t>
            </w:r>
          </w:p>
        </w:tc>
        <w:tc>
          <w:tcPr>
            <w:tcW w:w="1477" w:type="dxa"/>
            <w:shd w:val="clear" w:color="auto" w:fill="auto"/>
            <w:noWrap/>
            <w:vAlign w:val="center"/>
            <w:hideMark/>
          </w:tcPr>
          <w:p w14:paraId="5E4B8145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391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14:paraId="11AB16D3" w14:textId="77777777" w:rsidR="003B7B3A" w:rsidRPr="002B3CD3" w:rsidRDefault="003B7B3A" w:rsidP="00915159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2B3CD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ko00220: Arginine biosynthesis</w:t>
            </w:r>
          </w:p>
        </w:tc>
      </w:tr>
    </w:tbl>
    <w:p w14:paraId="2939F905" w14:textId="77777777" w:rsidR="003B7B3A" w:rsidRPr="002B3CD3" w:rsidRDefault="003B7B3A" w:rsidP="003B7B3A">
      <w:pPr>
        <w:spacing w:line="480" w:lineRule="auto"/>
        <w:ind w:leftChars="100" w:left="210"/>
        <w:rPr>
          <w:rFonts w:ascii="Times New Roman" w:hAnsi="Times New Roman" w:cs="Times New Roman"/>
          <w:b/>
          <w:bCs/>
          <w:sz w:val="20"/>
          <w:szCs w:val="20"/>
        </w:rPr>
        <w:sectPr w:rsidR="003B7B3A" w:rsidRPr="002B3CD3" w:rsidSect="000E27FC">
          <w:pgSz w:w="11906" w:h="16838"/>
          <w:pgMar w:top="1440" w:right="1797" w:bottom="1440" w:left="1797" w:header="851" w:footer="992" w:gutter="0"/>
          <w:lnNumType w:countBy="1" w:restart="continuous"/>
          <w:cols w:space="425"/>
          <w:docGrid w:type="linesAndChars" w:linePitch="312"/>
        </w:sectPr>
      </w:pPr>
    </w:p>
    <w:p w14:paraId="30130943" w14:textId="77777777" w:rsidR="003B7B3A" w:rsidRPr="002B3CD3" w:rsidRDefault="003B7B3A" w:rsidP="003B7B3A">
      <w:pPr>
        <w:spacing w:line="480" w:lineRule="auto"/>
        <w:ind w:leftChars="100" w:left="210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2B3CD3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4AC1AA3" wp14:editId="6986BA7A">
            <wp:extent cx="5982867" cy="4050631"/>
            <wp:effectExtent l="0" t="0" r="0" b="0"/>
            <wp:docPr id="16" name="图片 16" descr="电脑屏幕的照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电脑屏幕的照片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765" cy="4070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71E03" w14:textId="77777777" w:rsidR="003B7B3A" w:rsidRPr="002B3CD3" w:rsidRDefault="003B7B3A" w:rsidP="003B7B3A">
      <w:pPr>
        <w:spacing w:line="480" w:lineRule="auto"/>
        <w:ind w:leftChars="100" w:left="210"/>
        <w:rPr>
          <w:rFonts w:ascii="Times New Roman" w:hAnsi="Times New Roman" w:cs="Times New Roman"/>
          <w:i/>
          <w:iCs/>
          <w:sz w:val="20"/>
          <w:szCs w:val="20"/>
        </w:rPr>
      </w:pPr>
      <w:r w:rsidRPr="002B3CD3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Fig S1 Corresponding microorganisms of clusters of orthologous groups of proteins (COGs) belonging to the function of carbohydrate transport and metabolism, amino acid transport and metabolism </w:t>
      </w:r>
      <w:r w:rsidRPr="002B3CD3">
        <w:rPr>
          <w:rFonts w:ascii="Times New Roman" w:hAnsi="Times New Roman" w:cs="Times New Roman"/>
          <w:noProof/>
          <w:sz w:val="20"/>
          <w:szCs w:val="20"/>
        </w:rPr>
        <w:t xml:space="preserve">The top 10 abundant genera are listed for each COG </w:t>
      </w:r>
      <w:r w:rsidRPr="002B3CD3">
        <w:rPr>
          <w:rFonts w:ascii="Times New Roman" w:hAnsi="Times New Roman" w:cs="Times New Roman"/>
          <w:sz w:val="20"/>
          <w:szCs w:val="20"/>
        </w:rPr>
        <w:t xml:space="preserve">RP: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Robinia pseudoacacia</w:t>
      </w:r>
      <w:r w:rsidRPr="002B3CD3">
        <w:rPr>
          <w:rFonts w:ascii="Times New Roman" w:hAnsi="Times New Roman" w:cs="Times New Roman"/>
          <w:sz w:val="20"/>
          <w:szCs w:val="20"/>
        </w:rPr>
        <w:t xml:space="preserve">; LG: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Larix gmelinii</w:t>
      </w:r>
      <w:r w:rsidRPr="002B3CD3">
        <w:rPr>
          <w:rFonts w:ascii="Times New Roman" w:hAnsi="Times New Roman" w:cs="Times New Roman"/>
          <w:sz w:val="20"/>
          <w:szCs w:val="20"/>
        </w:rPr>
        <w:t xml:space="preserve">; PA: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Picea asperata</w:t>
      </w:r>
      <w:r w:rsidRPr="002B3CD3">
        <w:rPr>
          <w:rFonts w:ascii="Times New Roman" w:hAnsi="Times New Roman" w:cs="Times New Roman"/>
          <w:sz w:val="20"/>
          <w:szCs w:val="20"/>
        </w:rPr>
        <w:t xml:space="preserve">; PC: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Populus simonii</w:t>
      </w:r>
      <w:r w:rsidRPr="002B3CD3">
        <w:rPr>
          <w:rFonts w:ascii="Times New Roman" w:hAnsi="Times New Roman" w:cs="Times New Roman"/>
          <w:sz w:val="20"/>
          <w:szCs w:val="20"/>
        </w:rPr>
        <w:t xml:space="preserve"> Carr; UP: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Ulmus pumila</w:t>
      </w:r>
      <w:r w:rsidRPr="002B3CD3">
        <w:rPr>
          <w:rFonts w:ascii="Times New Roman" w:hAnsi="Times New Roman" w:cs="Times New Roman"/>
          <w:sz w:val="20"/>
          <w:szCs w:val="20"/>
        </w:rPr>
        <w:t xml:space="preserve">; PT: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Pinus tabuliformis</w:t>
      </w:r>
      <w:r w:rsidRPr="002B3CD3">
        <w:rPr>
          <w:rFonts w:ascii="Times New Roman" w:hAnsi="Times New Roman" w:cs="Times New Roman"/>
          <w:sz w:val="20"/>
          <w:szCs w:val="20"/>
        </w:rPr>
        <w:t xml:space="preserve">; PS: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Pinus sylvestris</w:t>
      </w:r>
    </w:p>
    <w:p w14:paraId="5A274EA7" w14:textId="77777777" w:rsidR="003B7B3A" w:rsidRPr="002B3CD3" w:rsidRDefault="003B7B3A" w:rsidP="003B7B3A">
      <w:pPr>
        <w:spacing w:line="480" w:lineRule="auto"/>
        <w:ind w:leftChars="100" w:left="210"/>
        <w:rPr>
          <w:rFonts w:ascii="Times New Roman" w:hAnsi="Times New Roman" w:cs="Times New Roman"/>
          <w:sz w:val="20"/>
          <w:szCs w:val="20"/>
        </w:rPr>
        <w:sectPr w:rsidR="003B7B3A" w:rsidRPr="002B3CD3" w:rsidSect="000E27FC"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/>
          <w:docGrid w:type="linesAndChars" w:linePitch="312"/>
        </w:sectPr>
      </w:pPr>
    </w:p>
    <w:p w14:paraId="31013649" w14:textId="77777777" w:rsidR="003B7B3A" w:rsidRPr="002B3CD3" w:rsidRDefault="003B7B3A" w:rsidP="003B7B3A">
      <w:pPr>
        <w:spacing w:line="480" w:lineRule="auto"/>
        <w:ind w:leftChars="100" w:left="210"/>
        <w:rPr>
          <w:rFonts w:ascii="Times New Roman" w:hAnsi="Times New Roman" w:cs="Times New Roman"/>
          <w:b/>
          <w:bCs/>
          <w:sz w:val="20"/>
          <w:szCs w:val="20"/>
        </w:rPr>
      </w:pPr>
      <w:r w:rsidRPr="002B3CD3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0ACBD4C" wp14:editId="2DE70ACA">
            <wp:extent cx="8863330" cy="3852545"/>
            <wp:effectExtent l="0" t="0" r="0" b="0"/>
            <wp:docPr id="18" name="图片 18" descr="图片包含 游戏机, 工具, 文具, 铅笔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片包含 游戏机, 工具, 文具, 铅笔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85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C4B4A" w14:textId="77777777" w:rsidR="003B7B3A" w:rsidRPr="002B3CD3" w:rsidRDefault="003B7B3A" w:rsidP="003B7B3A">
      <w:pPr>
        <w:spacing w:line="480" w:lineRule="auto"/>
        <w:ind w:leftChars="100" w:left="210"/>
        <w:rPr>
          <w:rFonts w:ascii="Times New Roman" w:hAnsi="Times New Roman" w:cs="Times New Roman"/>
          <w:b/>
          <w:bCs/>
          <w:noProof/>
          <w:sz w:val="20"/>
          <w:szCs w:val="20"/>
        </w:rPr>
      </w:pPr>
      <w:r w:rsidRPr="002B3CD3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Fig S2 Corresponding microorganisms of clusters of KEGG enzyme involved in carbon and nitrogen metabolism </w:t>
      </w:r>
      <w:r w:rsidRPr="002B3CD3">
        <w:rPr>
          <w:rFonts w:ascii="Times New Roman" w:hAnsi="Times New Roman" w:cs="Times New Roman"/>
          <w:sz w:val="20"/>
          <w:szCs w:val="20"/>
        </w:rPr>
        <w:t xml:space="preserve">RP: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Robinia pseudoacacia</w:t>
      </w:r>
      <w:r w:rsidRPr="002B3CD3">
        <w:rPr>
          <w:rFonts w:ascii="Times New Roman" w:hAnsi="Times New Roman" w:cs="Times New Roman"/>
          <w:sz w:val="20"/>
          <w:szCs w:val="20"/>
        </w:rPr>
        <w:t xml:space="preserve">; LG: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Larix gmelinii</w:t>
      </w:r>
      <w:r w:rsidRPr="002B3CD3">
        <w:rPr>
          <w:rFonts w:ascii="Times New Roman" w:hAnsi="Times New Roman" w:cs="Times New Roman"/>
          <w:sz w:val="20"/>
          <w:szCs w:val="20"/>
        </w:rPr>
        <w:t xml:space="preserve">; PA: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Picea asperata</w:t>
      </w:r>
      <w:r w:rsidRPr="002B3CD3">
        <w:rPr>
          <w:rFonts w:ascii="Times New Roman" w:hAnsi="Times New Roman" w:cs="Times New Roman"/>
          <w:sz w:val="20"/>
          <w:szCs w:val="20"/>
        </w:rPr>
        <w:t xml:space="preserve">; PC: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 xml:space="preserve">Populus simonii </w:t>
      </w:r>
      <w:r w:rsidRPr="002B3CD3">
        <w:rPr>
          <w:rFonts w:ascii="Times New Roman" w:hAnsi="Times New Roman" w:cs="Times New Roman"/>
          <w:sz w:val="20"/>
          <w:szCs w:val="20"/>
        </w:rPr>
        <w:t xml:space="preserve">Carr; UP: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Ulmus pumila</w:t>
      </w:r>
      <w:r w:rsidRPr="002B3CD3">
        <w:rPr>
          <w:rFonts w:ascii="Times New Roman" w:hAnsi="Times New Roman" w:cs="Times New Roman"/>
          <w:sz w:val="20"/>
          <w:szCs w:val="20"/>
        </w:rPr>
        <w:t xml:space="preserve">; PT: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Pinus tabuliformis</w:t>
      </w:r>
      <w:r w:rsidRPr="002B3CD3">
        <w:rPr>
          <w:rFonts w:ascii="Times New Roman" w:hAnsi="Times New Roman" w:cs="Times New Roman"/>
          <w:sz w:val="20"/>
          <w:szCs w:val="20"/>
        </w:rPr>
        <w:t xml:space="preserve">; PS: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Pinus sylvestris</w:t>
      </w:r>
    </w:p>
    <w:p w14:paraId="1F311546" w14:textId="77777777" w:rsidR="003B7B3A" w:rsidRPr="002B3CD3" w:rsidRDefault="003B7B3A" w:rsidP="003B7B3A">
      <w:pPr>
        <w:spacing w:line="480" w:lineRule="auto"/>
        <w:ind w:leftChars="100" w:left="210"/>
        <w:jc w:val="left"/>
        <w:rPr>
          <w:rFonts w:ascii="Times New Roman" w:hAnsi="Times New Roman" w:cs="Times New Roman"/>
          <w:sz w:val="20"/>
          <w:szCs w:val="20"/>
        </w:rPr>
        <w:sectPr w:rsidR="003B7B3A" w:rsidRPr="002B3CD3" w:rsidSect="000E27FC"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/>
          <w:docGrid w:type="linesAndChars" w:linePitch="312"/>
        </w:sectPr>
      </w:pPr>
    </w:p>
    <w:p w14:paraId="3909EB88" w14:textId="77777777" w:rsidR="003B7B3A" w:rsidRPr="002B3CD3" w:rsidRDefault="003B7B3A" w:rsidP="003B7B3A">
      <w:pPr>
        <w:spacing w:line="480" w:lineRule="auto"/>
        <w:ind w:leftChars="100" w:left="210"/>
        <w:jc w:val="left"/>
        <w:rPr>
          <w:rFonts w:ascii="Times New Roman" w:hAnsi="Times New Roman" w:cs="Times New Roman"/>
          <w:sz w:val="20"/>
          <w:szCs w:val="20"/>
        </w:rPr>
      </w:pPr>
      <w:r w:rsidRPr="002B3CD3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395BCBB" wp14:editId="72760123">
            <wp:extent cx="5278120" cy="4863465"/>
            <wp:effectExtent l="0" t="0" r="0" b="0"/>
            <wp:docPr id="17" name="图片 17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表, 条形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86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D96B9" w14:textId="77777777" w:rsidR="003B7B3A" w:rsidRPr="002B3CD3" w:rsidRDefault="003B7B3A" w:rsidP="003B7B3A">
      <w:pPr>
        <w:spacing w:line="480" w:lineRule="auto"/>
        <w:ind w:leftChars="100" w:left="210"/>
        <w:rPr>
          <w:rFonts w:ascii="Times New Roman" w:hAnsi="Times New Roman" w:cs="Times New Roman"/>
          <w:sz w:val="20"/>
          <w:szCs w:val="20"/>
        </w:rPr>
      </w:pPr>
      <w:r w:rsidRPr="002B3CD3">
        <w:rPr>
          <w:rFonts w:ascii="Times New Roman" w:hAnsi="Times New Roman" w:cs="Times New Roman"/>
          <w:b/>
          <w:bCs/>
          <w:sz w:val="20"/>
          <w:szCs w:val="20"/>
        </w:rPr>
        <w:t xml:space="preserve">Fig S3 Differences in the abundance of the dominant genus under 7 types of vegetation </w:t>
      </w:r>
      <w:r w:rsidRPr="002B3CD3">
        <w:rPr>
          <w:rFonts w:ascii="Times New Roman" w:hAnsi="Times New Roman" w:cs="Times New Roman"/>
          <w:sz w:val="20"/>
          <w:szCs w:val="20"/>
        </w:rPr>
        <w:t xml:space="preserve">Bars with different letters indicate significant differences (one-way ANOVA,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B3CD3">
        <w:rPr>
          <w:rFonts w:ascii="Times New Roman" w:hAnsi="Times New Roman" w:cs="Times New Roman"/>
          <w:sz w:val="20"/>
          <w:szCs w:val="20"/>
        </w:rPr>
        <w:t xml:space="preserve"> &lt; 005) The abundances of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Nocardioides</w:t>
      </w:r>
      <w:r w:rsidRPr="002B3CD3">
        <w:rPr>
          <w:rFonts w:ascii="Times New Roman" w:hAnsi="Times New Roman" w:cs="Times New Roman"/>
          <w:sz w:val="20"/>
          <w:szCs w:val="20"/>
        </w:rPr>
        <w:t xml:space="preserve">,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Solirubrobacter</w:t>
      </w:r>
      <w:r w:rsidRPr="002B3CD3">
        <w:rPr>
          <w:rFonts w:ascii="Times New Roman" w:hAnsi="Times New Roman" w:cs="Times New Roman"/>
          <w:sz w:val="20"/>
          <w:szCs w:val="20"/>
        </w:rPr>
        <w:t xml:space="preserve">,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Bradyrhizobium</w:t>
      </w:r>
      <w:r w:rsidRPr="002B3CD3">
        <w:rPr>
          <w:rFonts w:ascii="Times New Roman" w:hAnsi="Times New Roman" w:cs="Times New Roman"/>
          <w:sz w:val="20"/>
          <w:szCs w:val="20"/>
        </w:rPr>
        <w:t xml:space="preserve">,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Streptomyces</w:t>
      </w:r>
      <w:r w:rsidRPr="002B3CD3">
        <w:rPr>
          <w:rFonts w:ascii="Times New Roman" w:hAnsi="Times New Roman" w:cs="Times New Roman"/>
          <w:sz w:val="20"/>
          <w:szCs w:val="20"/>
        </w:rPr>
        <w:t xml:space="preserve">,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Sphingomonas</w:t>
      </w:r>
      <w:r w:rsidRPr="002B3CD3">
        <w:rPr>
          <w:rFonts w:ascii="Times New Roman" w:hAnsi="Times New Roman" w:cs="Times New Roman"/>
          <w:sz w:val="20"/>
          <w:szCs w:val="20"/>
        </w:rPr>
        <w:t xml:space="preserve">,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Conexibacter</w:t>
      </w:r>
      <w:r w:rsidRPr="002B3CD3">
        <w:rPr>
          <w:rFonts w:ascii="Times New Roman" w:hAnsi="Times New Roman" w:cs="Times New Roman"/>
          <w:sz w:val="20"/>
          <w:szCs w:val="20"/>
        </w:rPr>
        <w:t xml:space="preserve">, and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Mycobacterium</w:t>
      </w:r>
      <w:r w:rsidRPr="002B3CD3">
        <w:rPr>
          <w:rFonts w:ascii="Times New Roman" w:hAnsi="Times New Roman" w:cs="Times New Roman"/>
          <w:sz w:val="20"/>
          <w:szCs w:val="20"/>
        </w:rPr>
        <w:t xml:space="preserve"> in soils under 7 vegetation types were tested for differences However, the abundance of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Solirubrobacter</w:t>
      </w:r>
      <w:r w:rsidRPr="002B3CD3">
        <w:rPr>
          <w:rFonts w:ascii="Times New Roman" w:hAnsi="Times New Roman" w:cs="Times New Roman"/>
          <w:sz w:val="20"/>
          <w:szCs w:val="20"/>
        </w:rPr>
        <w:t xml:space="preserve">,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Bradyrhizobium</w:t>
      </w:r>
      <w:r w:rsidRPr="002B3CD3">
        <w:rPr>
          <w:rFonts w:ascii="Times New Roman" w:hAnsi="Times New Roman" w:cs="Times New Roman"/>
          <w:sz w:val="20"/>
          <w:szCs w:val="20"/>
        </w:rPr>
        <w:t xml:space="preserve">, and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Conexibacter</w:t>
      </w:r>
      <w:r w:rsidRPr="002B3CD3">
        <w:rPr>
          <w:rFonts w:ascii="Times New Roman" w:hAnsi="Times New Roman" w:cs="Times New Roman"/>
          <w:sz w:val="20"/>
          <w:szCs w:val="20"/>
        </w:rPr>
        <w:t xml:space="preserve"> has not shown a significant difference among soils under 7 vegetation types (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2B3CD3">
        <w:rPr>
          <w:rFonts w:ascii="Times New Roman" w:hAnsi="Times New Roman" w:cs="Times New Roman"/>
          <w:sz w:val="20"/>
          <w:szCs w:val="20"/>
        </w:rPr>
        <w:t xml:space="preserve">&gt; 005) RP: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Robinia pseudoacacia</w:t>
      </w:r>
      <w:r w:rsidRPr="002B3CD3">
        <w:rPr>
          <w:rFonts w:ascii="Times New Roman" w:hAnsi="Times New Roman" w:cs="Times New Roman"/>
          <w:sz w:val="20"/>
          <w:szCs w:val="20"/>
        </w:rPr>
        <w:t xml:space="preserve">; LG: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Larix gmelinii</w:t>
      </w:r>
      <w:r w:rsidRPr="002B3CD3">
        <w:rPr>
          <w:rFonts w:ascii="Times New Roman" w:hAnsi="Times New Roman" w:cs="Times New Roman"/>
          <w:sz w:val="20"/>
          <w:szCs w:val="20"/>
        </w:rPr>
        <w:t xml:space="preserve">; PA: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Picea asperata</w:t>
      </w:r>
      <w:r w:rsidRPr="002B3CD3">
        <w:rPr>
          <w:rFonts w:ascii="Times New Roman" w:hAnsi="Times New Roman" w:cs="Times New Roman"/>
          <w:sz w:val="20"/>
          <w:szCs w:val="20"/>
        </w:rPr>
        <w:t xml:space="preserve">; PC: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 xml:space="preserve">Populus simonii </w:t>
      </w:r>
      <w:r w:rsidRPr="002B3CD3">
        <w:rPr>
          <w:rFonts w:ascii="Times New Roman" w:hAnsi="Times New Roman" w:cs="Times New Roman"/>
          <w:sz w:val="20"/>
          <w:szCs w:val="20"/>
        </w:rPr>
        <w:t xml:space="preserve">Carr; UP: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Ulmus pumila</w:t>
      </w:r>
      <w:r w:rsidRPr="002B3CD3">
        <w:rPr>
          <w:rFonts w:ascii="Times New Roman" w:hAnsi="Times New Roman" w:cs="Times New Roman"/>
          <w:sz w:val="20"/>
          <w:szCs w:val="20"/>
        </w:rPr>
        <w:t xml:space="preserve">; PT: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Pinus tabuliformis</w:t>
      </w:r>
      <w:r w:rsidRPr="002B3CD3">
        <w:rPr>
          <w:rFonts w:ascii="Times New Roman" w:hAnsi="Times New Roman" w:cs="Times New Roman"/>
          <w:sz w:val="20"/>
          <w:szCs w:val="20"/>
        </w:rPr>
        <w:t xml:space="preserve">; PS: </w:t>
      </w:r>
      <w:r w:rsidRPr="002B3CD3">
        <w:rPr>
          <w:rFonts w:ascii="Times New Roman" w:hAnsi="Times New Roman" w:cs="Times New Roman"/>
          <w:i/>
          <w:iCs/>
          <w:sz w:val="20"/>
          <w:szCs w:val="20"/>
        </w:rPr>
        <w:t>Pinus sylvestris</w:t>
      </w:r>
      <w:bookmarkEnd w:id="0"/>
    </w:p>
    <w:p w14:paraId="24146BAE" w14:textId="77777777" w:rsidR="000D4074" w:rsidRDefault="000D4074"/>
    <w:sectPr w:rsidR="000D4074" w:rsidSect="000E27FC">
      <w:pgSz w:w="11906" w:h="16838"/>
      <w:pgMar w:top="1440" w:right="1797" w:bottom="1440" w:left="1797" w:header="851" w:footer="992" w:gutter="0"/>
      <w:lnNumType w:countBy="1" w:restart="continuous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B3A"/>
    <w:rsid w:val="000C30FD"/>
    <w:rsid w:val="000D4074"/>
    <w:rsid w:val="001E4B73"/>
    <w:rsid w:val="003B7B3A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90ACF"/>
  <w15:chartTrackingRefBased/>
  <w15:docId w15:val="{F1A0E15E-BC29-452C-84AC-B75EB16E5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B3A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B7B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821</Words>
  <Characters>4686</Characters>
  <Application>Microsoft Office Word</Application>
  <DocSecurity>0</DocSecurity>
  <Lines>39</Lines>
  <Paragraphs>10</Paragraphs>
  <ScaleCrop>false</ScaleCrop>
  <Company>Springer Nature</Company>
  <LinksUpToDate>false</LinksUpToDate>
  <CharactersWithSpaces>5497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2023-12-11T15:15:00Z</dcterms:created>
  <dcterms:modified xsi:type="dcterms:W3CDTF">2023-12-11T15:15:00Z</dcterms:modified>
</cp:coreProperties>
</file>