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6CF84" w14:textId="013F9574" w:rsidR="006664F8" w:rsidRPr="002854F3" w:rsidRDefault="006664F8" w:rsidP="005B3E25">
      <w:pPr>
        <w:spacing w:line="360" w:lineRule="auto"/>
        <w:rPr>
          <w:rFonts w:ascii="Times New Roman" w:hAnsi="Times New Roman" w:cs="Times New Roman"/>
        </w:rPr>
      </w:pPr>
      <w:r w:rsidRPr="002854F3">
        <w:rPr>
          <w:rFonts w:ascii="Times New Roman" w:hAnsi="Times New Roman" w:cs="Times New Roman"/>
          <w:b/>
          <w:bCs/>
        </w:rPr>
        <w:t>Supplemental Fig</w:t>
      </w:r>
      <w:r w:rsidR="00870ED9">
        <w:rPr>
          <w:rFonts w:ascii="Times New Roman" w:hAnsi="Times New Roman" w:cs="Times New Roman"/>
          <w:b/>
          <w:bCs/>
        </w:rPr>
        <w:t>.</w:t>
      </w:r>
      <w:r w:rsidRPr="002854F3">
        <w:rPr>
          <w:rFonts w:ascii="Times New Roman" w:hAnsi="Times New Roman" w:cs="Times New Roman"/>
          <w:b/>
          <w:bCs/>
        </w:rPr>
        <w:t xml:space="preserve"> 1.  </w:t>
      </w:r>
      <w:r>
        <w:rPr>
          <w:rFonts w:ascii="Times New Roman" w:hAnsi="Times New Roman" w:cs="Times New Roman"/>
        </w:rPr>
        <w:t>The number</w:t>
      </w:r>
      <w:r w:rsidRPr="002854F3">
        <w:rPr>
          <w:rFonts w:ascii="Times New Roman" w:hAnsi="Times New Roman" w:cs="Times New Roman"/>
        </w:rPr>
        <w:t xml:space="preserve"> of patients who underwent surgeries for metastatic spinal tumor and nonmetastatic spinal tumor from 2012 to 2020 </w:t>
      </w:r>
      <w:r>
        <w:rPr>
          <w:rFonts w:ascii="Times New Roman" w:hAnsi="Times New Roman" w:cs="Times New Roman"/>
        </w:rPr>
        <w:t>is</w:t>
      </w:r>
      <w:r w:rsidRPr="002854F3">
        <w:rPr>
          <w:rFonts w:ascii="Times New Roman" w:hAnsi="Times New Roman" w:cs="Times New Roman"/>
        </w:rPr>
        <w:t xml:space="preserve"> limited to the institution that </w:t>
      </w:r>
      <w:r>
        <w:rPr>
          <w:rFonts w:ascii="Times New Roman" w:hAnsi="Times New Roman" w:cs="Times New Roman"/>
        </w:rPr>
        <w:t>conducted the</w:t>
      </w:r>
      <w:r w:rsidRPr="002854F3">
        <w:rPr>
          <w:rFonts w:ascii="Times New Roman" w:hAnsi="Times New Roman" w:cs="Times New Roman"/>
        </w:rPr>
        <w:t xml:space="preserve"> metastatic spinal surgery </w:t>
      </w:r>
      <w:r>
        <w:rPr>
          <w:rFonts w:ascii="Times New Roman" w:hAnsi="Times New Roman" w:cs="Times New Roman"/>
        </w:rPr>
        <w:t>yearly</w:t>
      </w:r>
      <w:r w:rsidRPr="002854F3">
        <w:rPr>
          <w:rFonts w:ascii="Times New Roman" w:hAnsi="Times New Roman" w:cs="Times New Roman"/>
        </w:rPr>
        <w:t>.</w:t>
      </w:r>
    </w:p>
    <w:p w14:paraId="3CC3F04B" w14:textId="77777777" w:rsidR="006664F8" w:rsidRDefault="006664F8" w:rsidP="005B3E2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total of 4,686 patients with spinal metastasis and 162,052 patients with nonmetastatic spinal disorders in 86 institutions were analyzed. </w:t>
      </w:r>
      <w:r w:rsidRPr="007176E9">
        <w:rPr>
          <w:rFonts w:ascii="Times New Roman" w:hAnsi="Times New Roman" w:cs="Times New Roman"/>
        </w:rPr>
        <w:t>(A) Both the number of patients who underwent metastatic spinal surgery and nonmetastatic spine surgery increased over time (</w:t>
      </w:r>
      <w:r w:rsidRPr="00153BEE">
        <w:rPr>
          <w:rFonts w:ascii="Times New Roman" w:hAnsi="Times New Roman" w:cs="Times New Roman"/>
          <w:i/>
          <w:iCs/>
        </w:rPr>
        <w:t>p</w:t>
      </w:r>
      <w:r w:rsidRPr="007176E9">
        <w:rPr>
          <w:rFonts w:ascii="Times New Roman" w:hAnsi="Times New Roman" w:cs="Times New Roman"/>
        </w:rPr>
        <w:t xml:space="preserve"> &lt;</w:t>
      </w:r>
      <w:r>
        <w:rPr>
          <w:rFonts w:ascii="Times New Roman" w:hAnsi="Times New Roman" w:cs="Times New Roman"/>
        </w:rPr>
        <w:t xml:space="preserve"> </w:t>
      </w:r>
      <w:r w:rsidRPr="007176E9">
        <w:rPr>
          <w:rFonts w:ascii="Times New Roman" w:hAnsi="Times New Roman" w:cs="Times New Roman"/>
        </w:rPr>
        <w:t xml:space="preserve">0.001 and </w:t>
      </w:r>
      <w:r w:rsidRPr="00153BEE">
        <w:rPr>
          <w:rFonts w:ascii="Times New Roman" w:hAnsi="Times New Roman" w:cs="Times New Roman"/>
          <w:i/>
          <w:iCs/>
        </w:rPr>
        <w:t>p</w:t>
      </w:r>
      <w:r w:rsidRPr="007176E9">
        <w:rPr>
          <w:rFonts w:ascii="Times New Roman" w:hAnsi="Times New Roman" w:cs="Times New Roman"/>
        </w:rPr>
        <w:t xml:space="preserve"> &lt;</w:t>
      </w:r>
      <w:r>
        <w:rPr>
          <w:rFonts w:ascii="Times New Roman" w:hAnsi="Times New Roman" w:cs="Times New Roman"/>
        </w:rPr>
        <w:t xml:space="preserve"> </w:t>
      </w:r>
      <w:r w:rsidRPr="007176E9">
        <w:rPr>
          <w:rFonts w:ascii="Times New Roman" w:hAnsi="Times New Roman" w:cs="Times New Roman"/>
        </w:rPr>
        <w:t xml:space="preserve">0.001, respectively). (B) The proportion of metastatic spinal surgery in all spinal </w:t>
      </w:r>
      <w:r>
        <w:rPr>
          <w:rFonts w:ascii="Times New Roman" w:hAnsi="Times New Roman" w:cs="Times New Roman"/>
        </w:rPr>
        <w:t>surgeries</w:t>
      </w:r>
      <w:r w:rsidRPr="007176E9">
        <w:rPr>
          <w:rFonts w:ascii="Times New Roman" w:hAnsi="Times New Roman" w:cs="Times New Roman"/>
        </w:rPr>
        <w:t xml:space="preserve"> slightly increased </w:t>
      </w:r>
      <w:r>
        <w:rPr>
          <w:rFonts w:ascii="Times New Roman" w:hAnsi="Times New Roman" w:cs="Times New Roman"/>
        </w:rPr>
        <w:t>from 2.5% in 2012 to 3.2% in 2020</w:t>
      </w:r>
      <w:r w:rsidRPr="007176E9">
        <w:rPr>
          <w:rFonts w:ascii="Times New Roman" w:hAnsi="Times New Roman" w:cs="Times New Roman"/>
        </w:rPr>
        <w:t xml:space="preserve"> (</w:t>
      </w:r>
      <w:r w:rsidRPr="00153BEE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  <w:i/>
          <w:iCs/>
        </w:rPr>
        <w:t xml:space="preserve"> </w:t>
      </w:r>
      <w:r w:rsidRPr="007176E9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7176E9">
        <w:rPr>
          <w:rFonts w:ascii="Times New Roman" w:hAnsi="Times New Roman" w:cs="Times New Roman"/>
        </w:rPr>
        <w:t>0.001).</w:t>
      </w:r>
    </w:p>
    <w:p w14:paraId="43E648F5" w14:textId="77777777" w:rsidR="006664F8" w:rsidRPr="007176E9" w:rsidRDefault="006664F8" w:rsidP="005B3E25">
      <w:pPr>
        <w:spacing w:line="360" w:lineRule="auto"/>
        <w:rPr>
          <w:rFonts w:ascii="Times New Roman" w:hAnsi="Times New Roman" w:cs="Times New Roman"/>
        </w:rPr>
      </w:pPr>
    </w:p>
    <w:p w14:paraId="7489C56E" w14:textId="77777777" w:rsidR="006664F8" w:rsidRDefault="006664F8" w:rsidP="005B3E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ja-JP"/>
        </w:rPr>
        <w:drawing>
          <wp:inline distT="0" distB="0" distL="0" distR="0" wp14:anchorId="5B36FA7C" wp14:editId="011CFD05">
            <wp:extent cx="6105525" cy="3905250"/>
            <wp:effectExtent l="0" t="0" r="0" b="0"/>
            <wp:docPr id="1493507646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7F269" w14:textId="77777777" w:rsidR="006664F8" w:rsidRDefault="006664F8" w:rsidP="005B3E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2CBA441" w14:textId="1891A43D" w:rsidR="006664F8" w:rsidRPr="002854F3" w:rsidRDefault="006664F8" w:rsidP="005B3E25">
      <w:pPr>
        <w:spacing w:line="360" w:lineRule="auto"/>
        <w:rPr>
          <w:rFonts w:ascii="Times New Roman" w:hAnsi="Times New Roman" w:cs="Times New Roman"/>
        </w:rPr>
      </w:pPr>
      <w:r w:rsidRPr="002854F3">
        <w:rPr>
          <w:rFonts w:ascii="Times New Roman" w:hAnsi="Times New Roman" w:cs="Times New Roman"/>
          <w:b/>
          <w:bCs/>
        </w:rPr>
        <w:lastRenderedPageBreak/>
        <w:t>Supplemental Fig</w:t>
      </w:r>
      <w:r w:rsidR="00870ED9">
        <w:rPr>
          <w:rFonts w:ascii="Times New Roman" w:hAnsi="Times New Roman" w:cs="Times New Roman"/>
          <w:b/>
          <w:bCs/>
        </w:rPr>
        <w:t>.</w:t>
      </w:r>
      <w:r w:rsidRPr="002854F3">
        <w:rPr>
          <w:rFonts w:ascii="Times New Roman" w:hAnsi="Times New Roman" w:cs="Times New Roman"/>
          <w:b/>
          <w:bCs/>
        </w:rPr>
        <w:t xml:space="preserve"> 2. </w:t>
      </w:r>
      <w:r>
        <w:rPr>
          <w:rFonts w:ascii="Times New Roman" w:hAnsi="Times New Roman" w:cs="Times New Roman"/>
        </w:rPr>
        <w:t>The length</w:t>
      </w:r>
      <w:r w:rsidRPr="002854F3">
        <w:rPr>
          <w:rFonts w:ascii="Times New Roman" w:hAnsi="Times New Roman" w:cs="Times New Roman"/>
        </w:rPr>
        <w:t xml:space="preserve"> of stay from 2012 to 2020 </w:t>
      </w:r>
      <w:r>
        <w:rPr>
          <w:rFonts w:ascii="Times New Roman" w:hAnsi="Times New Roman" w:cs="Times New Roman"/>
        </w:rPr>
        <w:t>is</w:t>
      </w:r>
      <w:r w:rsidRPr="002854F3">
        <w:rPr>
          <w:rFonts w:ascii="Times New Roman" w:hAnsi="Times New Roman" w:cs="Times New Roman"/>
        </w:rPr>
        <w:t xml:space="preserve"> limited to patients who </w:t>
      </w:r>
      <w:r>
        <w:rPr>
          <w:rFonts w:ascii="Times New Roman" w:hAnsi="Times New Roman" w:cs="Times New Roman"/>
        </w:rPr>
        <w:t xml:space="preserve">were </w:t>
      </w:r>
      <w:r w:rsidRPr="002854F3">
        <w:rPr>
          <w:rFonts w:ascii="Times New Roman" w:hAnsi="Times New Roman" w:cs="Times New Roman"/>
        </w:rPr>
        <w:t>discharged home.</w:t>
      </w:r>
    </w:p>
    <w:p w14:paraId="5968F9A0" w14:textId="77777777" w:rsidR="006664F8" w:rsidRDefault="006664F8" w:rsidP="005B3E2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total of 6,027 patients who were discharged home were analyzed. </w:t>
      </w:r>
      <w:r w:rsidRPr="007A7831">
        <w:rPr>
          <w:rFonts w:ascii="Times New Roman" w:hAnsi="Times New Roman" w:cs="Times New Roman"/>
        </w:rPr>
        <w:t>The number of patients who</w:t>
      </w:r>
      <w:r>
        <w:rPr>
          <w:rFonts w:ascii="Times New Roman" w:hAnsi="Times New Roman" w:cs="Times New Roman"/>
        </w:rPr>
        <w:t xml:space="preserve"> were</w:t>
      </w:r>
      <w:r w:rsidRPr="007A7831">
        <w:rPr>
          <w:rFonts w:ascii="Times New Roman" w:hAnsi="Times New Roman" w:cs="Times New Roman"/>
        </w:rPr>
        <w:t xml:space="preserve"> discharged home increased over time from 530</w:t>
      </w:r>
      <w:r>
        <w:rPr>
          <w:rFonts w:ascii="Times New Roman" w:hAnsi="Times New Roman" w:cs="Times New Roman"/>
        </w:rPr>
        <w:t xml:space="preserve"> patients in 2012 to 902 patients in 2020 (</w:t>
      </w:r>
      <w:r w:rsidRPr="007A7831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0.001). (B) The length of stay decreased over time from a median of 35 days in 2012 to 26 days in 2020 (</w:t>
      </w:r>
      <w:r w:rsidRPr="007A7831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0.001).</w:t>
      </w:r>
    </w:p>
    <w:p w14:paraId="2B3D48D1" w14:textId="77777777" w:rsidR="006664F8" w:rsidRPr="007A7831" w:rsidRDefault="006664F8" w:rsidP="005B3E25">
      <w:pPr>
        <w:rPr>
          <w:rFonts w:ascii="Times New Roman" w:hAnsi="Times New Roman" w:cs="Times New Roman"/>
        </w:rPr>
      </w:pPr>
    </w:p>
    <w:p w14:paraId="691F54A9" w14:textId="77777777" w:rsidR="006664F8" w:rsidRDefault="006664F8" w:rsidP="005B3E25">
      <w:r>
        <w:rPr>
          <w:noProof/>
          <w:lang w:eastAsia="ja-JP"/>
        </w:rPr>
        <w:drawing>
          <wp:inline distT="0" distB="0" distL="0" distR="0" wp14:anchorId="5F3EE15F" wp14:editId="37EFAF18">
            <wp:extent cx="6181725" cy="3467100"/>
            <wp:effectExtent l="0" t="0" r="9525" b="0"/>
            <wp:docPr id="124772972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FD652" w14:textId="77777777" w:rsidR="006664F8" w:rsidRPr="00457E43" w:rsidRDefault="006664F8" w:rsidP="005B3E25"/>
    <w:p w14:paraId="7ECDFC73" w14:textId="77777777" w:rsidR="006664F8" w:rsidRDefault="006664F8" w:rsidP="005B3E25">
      <w:pPr>
        <w:rPr>
          <w:rFonts w:ascii="Times New Roman" w:hAnsi="Times New Roman" w:cs="Times New Roman"/>
        </w:rPr>
      </w:pPr>
    </w:p>
    <w:p w14:paraId="3F5AC0F0" w14:textId="77777777" w:rsidR="006664F8" w:rsidRDefault="006664F8" w:rsidP="005B3E25">
      <w:pPr>
        <w:rPr>
          <w:rFonts w:ascii="Times New Roman" w:hAnsi="Times New Roman" w:cs="Times New Roman"/>
        </w:rPr>
      </w:pPr>
    </w:p>
    <w:p w14:paraId="17A88617" w14:textId="77777777" w:rsidR="006664F8" w:rsidRDefault="006664F8" w:rsidP="005B3E25">
      <w:pPr>
        <w:rPr>
          <w:rFonts w:ascii="Times New Roman" w:hAnsi="Times New Roman" w:cs="Times New Roman"/>
        </w:rPr>
      </w:pPr>
    </w:p>
    <w:p w14:paraId="372CDE19" w14:textId="77777777" w:rsidR="006664F8" w:rsidRDefault="006664F8" w:rsidP="005B3E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90"/>
        <w:gridCol w:w="7550"/>
      </w:tblGrid>
      <w:tr w:rsidR="006664F8" w:rsidRPr="00457E43" w14:paraId="47F1B28A" w14:textId="77777777" w:rsidTr="001E23A2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13255" w14:textId="77777777" w:rsidR="006664F8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b/>
                <w:bCs/>
                <w:color w:val="000000"/>
                <w:szCs w:val="21"/>
              </w:rPr>
              <w:lastRenderedPageBreak/>
              <w:t xml:space="preserve">Supplemental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szCs w:val="21"/>
              </w:rPr>
              <w:t>Table</w:t>
            </w:r>
            <w:r w:rsidRPr="00457E43">
              <w:rPr>
                <w:rFonts w:ascii="Times New Roman" w:eastAsia="游ゴシック" w:hAnsi="Times New Roman" w:cs="Times New Roman"/>
                <w:b/>
                <w:bCs/>
                <w:color w:val="000000"/>
                <w:szCs w:val="21"/>
              </w:rPr>
              <w:t xml:space="preserve"> 1.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International Classification of Diseases (ICD)-10 definitions for calculation of </w:t>
            </w: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the 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Charlson Comorbidity Index (CCI) and postoperative complications.</w:t>
            </w:r>
          </w:p>
          <w:p w14:paraId="7904CB21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</w:p>
        </w:tc>
      </w:tr>
      <w:tr w:rsidR="006664F8" w:rsidRPr="00457E43" w14:paraId="115B071A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5B3439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Comorbidities for CCI</w:t>
            </w:r>
          </w:p>
        </w:tc>
        <w:tc>
          <w:tcPr>
            <w:tcW w:w="3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EF2B40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ICD-10 codes</w:t>
            </w:r>
          </w:p>
        </w:tc>
      </w:tr>
      <w:tr w:rsidR="006664F8" w:rsidRPr="00457E43" w14:paraId="1CB5EBCB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238B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Myocardial infarction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870D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I21, I22, I252</w:t>
            </w:r>
          </w:p>
        </w:tc>
      </w:tr>
      <w:tr w:rsidR="006664F8" w:rsidRPr="00457E43" w14:paraId="4A95F20D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9E25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Heart failure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AB4A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I50</w:t>
            </w:r>
          </w:p>
        </w:tc>
      </w:tr>
      <w:tr w:rsidR="006664F8" w:rsidRPr="00457E43" w14:paraId="0ED301FF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B117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Peripheral vascular disease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AD6C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I71, I790, I739, R02, Z958, Z959</w:t>
            </w:r>
          </w:p>
        </w:tc>
      </w:tr>
      <w:tr w:rsidR="006664F8" w:rsidRPr="00457E43" w14:paraId="05D75E3F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4D8E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Cerebrovascular disease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2A16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I60-63, I65-66, G450-452, G458-459, G46, I64, G454, I670-672, I674, I675-679, I681-682, I688, I69</w:t>
            </w:r>
          </w:p>
        </w:tc>
      </w:tr>
      <w:tr w:rsidR="006664F8" w:rsidRPr="00457E43" w14:paraId="26E790CF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389B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Dementia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621B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F00-03, F051, G30</w:t>
            </w:r>
          </w:p>
        </w:tc>
      </w:tr>
      <w:tr w:rsidR="006664F8" w:rsidRPr="00457E43" w14:paraId="65822846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175D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Pulmonary disease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0D2B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J40-47, J60-67</w:t>
            </w:r>
          </w:p>
        </w:tc>
      </w:tr>
      <w:tr w:rsidR="006664F8" w:rsidRPr="00457E43" w14:paraId="42F342D4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F6B9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Connective tissue disease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E343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M32, M34, M332, M053, M058-060, M063, M069, M050, M052, M051, M353</w:t>
            </w:r>
          </w:p>
        </w:tc>
      </w:tr>
      <w:tr w:rsidR="006664F8" w:rsidRPr="00457E43" w14:paraId="63322199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8F6B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Gastric ulcer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AB86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K25-28</w:t>
            </w:r>
          </w:p>
        </w:tc>
      </w:tr>
      <w:tr w:rsidR="006664F8" w:rsidRPr="00457E43" w14:paraId="2380C76F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D668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Mild liver disease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15DE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K702-703, K73, K717, K740, K742-746</w:t>
            </w:r>
          </w:p>
        </w:tc>
      </w:tr>
      <w:tr w:rsidR="006664F8" w:rsidRPr="00457E43" w14:paraId="2AEAD689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A260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Diabetes mellitus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076E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E109, E119, E139, E149, E101, E111, E131, E141, E105, E115, E135, E145</w:t>
            </w:r>
          </w:p>
        </w:tc>
      </w:tr>
      <w:tr w:rsidR="006664F8" w:rsidRPr="00457E43" w14:paraId="4D83DBD3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1BDE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Diabetes with complications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BBD0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E102, E112, E132, E142, E142, E113, E133, E143, E104, E114, E117, E134, E144, E117</w:t>
            </w:r>
          </w:p>
        </w:tc>
      </w:tr>
      <w:tr w:rsidR="006664F8" w:rsidRPr="00457E43" w14:paraId="7BCFB71A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0F82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Paralysis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D09C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G041, G820, G821, G822</w:t>
            </w:r>
          </w:p>
        </w:tc>
      </w:tr>
      <w:tr w:rsidR="006664F8" w:rsidRPr="00457E43" w14:paraId="4F394383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56C1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Renal failure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2320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N03, N052-056, N072-074, N01, N18-19, N25</w:t>
            </w:r>
          </w:p>
        </w:tc>
      </w:tr>
      <w:tr w:rsidR="006664F8" w:rsidRPr="00457E43" w14:paraId="3259AE68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FDDF7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Cancer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43B8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C0-9</w:t>
            </w:r>
          </w:p>
        </w:tc>
      </w:tr>
      <w:tr w:rsidR="006664F8" w:rsidRPr="00457E43" w14:paraId="4762CC6F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86FA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Metastatic cancer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EB54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C77-80</w:t>
            </w:r>
          </w:p>
        </w:tc>
      </w:tr>
      <w:tr w:rsidR="006664F8" w:rsidRPr="00457E43" w14:paraId="187B2879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8CC6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Severe liver disease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6897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K729, K766-7, K721</w:t>
            </w:r>
          </w:p>
        </w:tc>
      </w:tr>
      <w:tr w:rsidR="006664F8" w:rsidRPr="00457E43" w14:paraId="6B10F21B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C659A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HIV</w:t>
            </w:r>
          </w:p>
        </w:tc>
        <w:tc>
          <w:tcPr>
            <w:tcW w:w="3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28EE7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B20-24</w:t>
            </w:r>
          </w:p>
        </w:tc>
      </w:tr>
      <w:tr w:rsidR="006664F8" w:rsidRPr="00457E43" w14:paraId="6E2B5570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24ECE0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</w:p>
        </w:tc>
        <w:tc>
          <w:tcPr>
            <w:tcW w:w="3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9FF29E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</w:p>
        </w:tc>
      </w:tr>
      <w:tr w:rsidR="006664F8" w:rsidRPr="00457E43" w14:paraId="572FBE6F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7992D1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Complications</w:t>
            </w:r>
          </w:p>
        </w:tc>
        <w:tc>
          <w:tcPr>
            <w:tcW w:w="3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020968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ICD-10 codes</w:t>
            </w:r>
          </w:p>
        </w:tc>
      </w:tr>
      <w:tr w:rsidR="006664F8" w:rsidRPr="00457E43" w14:paraId="52520544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9987E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Acute coronary syndrome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BF064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I20-25</w:t>
            </w:r>
          </w:p>
        </w:tc>
      </w:tr>
      <w:tr w:rsidR="006664F8" w:rsidRPr="00457E43" w14:paraId="78763001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F2D9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Heart failure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2CF2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I50</w:t>
            </w:r>
          </w:p>
        </w:tc>
      </w:tr>
      <w:tr w:rsidR="006664F8" w:rsidRPr="00457E43" w14:paraId="0E397077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8C60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Respiratory disorder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1C04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J12-18, J95-96</w:t>
            </w:r>
          </w:p>
        </w:tc>
      </w:tr>
      <w:tr w:rsidR="006664F8" w:rsidRPr="00457E43" w14:paraId="63412156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42BF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Sepsis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7819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A40-41, D65</w:t>
            </w:r>
          </w:p>
        </w:tc>
      </w:tr>
      <w:tr w:rsidR="006664F8" w:rsidRPr="00457E43" w14:paraId="692E6608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BA4E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Pulmonary embolism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28E9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I26</w:t>
            </w:r>
          </w:p>
        </w:tc>
      </w:tr>
      <w:tr w:rsidR="006664F8" w:rsidRPr="00457E43" w14:paraId="4EB06F2A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369F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Stroke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32F2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I60-64</w:t>
            </w:r>
          </w:p>
        </w:tc>
      </w:tr>
      <w:tr w:rsidR="006664F8" w:rsidRPr="00457E43" w14:paraId="7CD39EE9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84D5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Renal failure</w:t>
            </w:r>
          </w:p>
        </w:tc>
        <w:tc>
          <w:tcPr>
            <w:tcW w:w="3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D2C5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N17-19</w:t>
            </w:r>
          </w:p>
        </w:tc>
      </w:tr>
      <w:tr w:rsidR="006664F8" w:rsidRPr="00457E43" w14:paraId="55AAADFC" w14:textId="77777777" w:rsidTr="00963463">
        <w:trPr>
          <w:trHeight w:val="315"/>
        </w:trPr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45E8F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Urinary tract infection</w:t>
            </w:r>
          </w:p>
        </w:tc>
        <w:tc>
          <w:tcPr>
            <w:tcW w:w="3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C6EFD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N390</w:t>
            </w:r>
          </w:p>
        </w:tc>
      </w:tr>
    </w:tbl>
    <w:p w14:paraId="0FE180BB" w14:textId="77777777" w:rsidR="006664F8" w:rsidRDefault="006664F8" w:rsidP="00305516">
      <w:pPr>
        <w:spacing w:line="480" w:lineRule="auto"/>
        <w:ind w:left="425" w:hangingChars="177" w:hanging="425"/>
        <w:rPr>
          <w:rFonts w:ascii="Times New Roman" w:hAnsi="Times New Roman"/>
        </w:rPr>
      </w:pPr>
    </w:p>
    <w:p w14:paraId="591433CA" w14:textId="77777777" w:rsidR="006664F8" w:rsidRDefault="006664F8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99"/>
        <w:gridCol w:w="6841"/>
      </w:tblGrid>
      <w:tr w:rsidR="006664F8" w:rsidRPr="00457E43" w14:paraId="269BE398" w14:textId="77777777" w:rsidTr="001E23A2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3AC83" w14:textId="77777777" w:rsidR="006664F8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b/>
                <w:bCs/>
                <w:color w:val="000000"/>
                <w:szCs w:val="21"/>
              </w:rPr>
              <w:lastRenderedPageBreak/>
              <w:t xml:space="preserve">Supplemental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szCs w:val="21"/>
              </w:rPr>
              <w:t>Table</w:t>
            </w:r>
            <w:r w:rsidRPr="00457E43">
              <w:rPr>
                <w:rFonts w:ascii="Times New Roman" w:eastAsia="游ゴシック" w:hAnsi="Times New Roman" w:cs="Times New Roman"/>
                <w:b/>
                <w:bCs/>
                <w:color w:val="000000"/>
                <w:szCs w:val="21"/>
              </w:rPr>
              <w:t xml:space="preserve"> 2.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Definition of anesthesia difficulty designated by the Japanese Ministry of Health, Labor, and Welfare.</w:t>
            </w:r>
          </w:p>
          <w:p w14:paraId="48CE1F84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</w:p>
        </w:tc>
      </w:tr>
      <w:tr w:rsidR="006664F8" w:rsidRPr="00457E43" w14:paraId="44834852" w14:textId="77777777" w:rsidTr="00963463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77137D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Disease/condition </w:t>
            </w:r>
          </w:p>
        </w:tc>
        <w:tc>
          <w:tcPr>
            <w:tcW w:w="3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337104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Detailed condition</w:t>
            </w:r>
          </w:p>
        </w:tc>
      </w:tr>
      <w:tr w:rsidR="006664F8" w:rsidRPr="00457E43" w14:paraId="0B1C4DC0" w14:textId="77777777" w:rsidTr="001E23A2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4F85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Heart failure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AA70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≥ NYHA </w:t>
            </w: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g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rade III</w:t>
            </w:r>
          </w:p>
        </w:tc>
      </w:tr>
      <w:tr w:rsidR="006664F8" w:rsidRPr="00457E43" w14:paraId="00EA6C9A" w14:textId="77777777" w:rsidTr="00963463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8807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Angina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671C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≥ CCS classification III </w:t>
            </w:r>
          </w:p>
        </w:tc>
      </w:tr>
      <w:tr w:rsidR="006664F8" w:rsidRPr="00457E43" w14:paraId="78C565EF" w14:textId="77777777" w:rsidTr="001E23A2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F1BD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Myocardial infarction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B66E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O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nset within 3 months</w:t>
            </w:r>
          </w:p>
        </w:tc>
      </w:tr>
      <w:tr w:rsidR="006664F8" w:rsidRPr="00457E43" w14:paraId="205490F7" w14:textId="77777777" w:rsidTr="00963463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8912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Aortic atresia, mitral atresia, or tricuspid valve atresia 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4C23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≥ moderate atresia</w:t>
            </w:r>
          </w:p>
        </w:tc>
      </w:tr>
      <w:tr w:rsidR="006664F8" w:rsidRPr="00457E43" w14:paraId="7F54E20E" w14:textId="77777777" w:rsidTr="001E23A2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1AAF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Aortic stenosis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AC4E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T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ransapical aortic valve blood flow velocity of ≥4 m/sec, aortic mean pressure gradient of ≥40 mmHg, or aortic valve area of ≤1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㎠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</w:t>
            </w:r>
          </w:p>
        </w:tc>
      </w:tr>
      <w:tr w:rsidR="006664F8" w:rsidRPr="00457E43" w14:paraId="3D1180D2" w14:textId="77777777" w:rsidTr="001E23A2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3C5A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Mitral stenosis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3FE7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M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itral valve orifice area of ≤1.5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㎠</w:t>
            </w:r>
          </w:p>
        </w:tc>
      </w:tr>
      <w:tr w:rsidR="006664F8" w:rsidRPr="00457E43" w14:paraId="6CF10985" w14:textId="77777777" w:rsidTr="001E23A2">
        <w:trPr>
          <w:trHeight w:val="39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D486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Implantable pacemaker or implantable cardioverter-defibrillator</w:t>
            </w:r>
          </w:p>
        </w:tc>
      </w:tr>
      <w:tr w:rsidR="006664F8" w:rsidRPr="00457E43" w14:paraId="487FEE64" w14:textId="77777777" w:rsidTr="001E23A2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2248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Congenital heart disease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24D0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M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ean pulmonary arterial pressure ≥25 mmHg by cardiac catheterization or pulmonary hypertension diagnosed by echocardiography</w:t>
            </w:r>
          </w:p>
        </w:tc>
      </w:tr>
      <w:tr w:rsidR="006664F8" w:rsidRPr="00457E43" w14:paraId="334F5E4D" w14:textId="77777777" w:rsidTr="001E23A2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6052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Respiratory failure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1C82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A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rterial blood oxygen partial pressure ≤ 60</w:t>
            </w: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mmHg or arterial blood oxygen partial pressure/</w:t>
            </w: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i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nhaled air oxygen fraction ratio ≤300</w:t>
            </w:r>
          </w:p>
        </w:tc>
      </w:tr>
      <w:tr w:rsidR="006664F8" w:rsidRPr="00457E43" w14:paraId="2641AADA" w14:textId="77777777" w:rsidTr="001E23A2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76DC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Ventilatory insufficiency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82F5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forced expiratory volume 1.0</w:t>
            </w: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(sec) % ≤ 70% and vital capacity ratio ≤ 70%</w:t>
            </w:r>
          </w:p>
        </w:tc>
      </w:tr>
      <w:tr w:rsidR="006664F8" w:rsidRPr="00457E43" w14:paraId="4BAD2B3D" w14:textId="77777777" w:rsidTr="001E23A2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295D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Asthma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A928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R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ecurrent ≥ moderate attacks despite treatment</w:t>
            </w:r>
          </w:p>
        </w:tc>
      </w:tr>
      <w:tr w:rsidR="006664F8" w:rsidRPr="00457E43" w14:paraId="13AAD564" w14:textId="77777777" w:rsidTr="001E23A2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967B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Diabetes mellitus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C5ED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HbA1c ≥8.4%, fasting blood glucose ≥ 160 mg/dL, or 2-</w:t>
            </w: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h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postprandial blood glucose ≥ 220 mg/dL</w:t>
            </w:r>
          </w:p>
        </w:tc>
      </w:tr>
      <w:tr w:rsidR="006664F8" w:rsidRPr="00457E43" w14:paraId="0E589126" w14:textId="77777777" w:rsidTr="001E23A2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0AF6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Renal failure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4A99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S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erum creatinine level ≥ 4.0 mg/dL </w:t>
            </w:r>
          </w:p>
        </w:tc>
      </w:tr>
      <w:tr w:rsidR="006664F8" w:rsidRPr="00457E43" w14:paraId="69B36916" w14:textId="77777777" w:rsidTr="00963463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0FCE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Liver failure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4A1A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Child-Pugh classification ≥ B</w:t>
            </w:r>
          </w:p>
        </w:tc>
      </w:tr>
      <w:tr w:rsidR="006664F8" w:rsidRPr="00457E43" w14:paraId="70003E29" w14:textId="77777777" w:rsidTr="001E23A2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6030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Anemia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E5A9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H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emoglobin level ≤ 6.0 g/dL</w:t>
            </w:r>
          </w:p>
        </w:tc>
      </w:tr>
      <w:tr w:rsidR="006664F8" w:rsidRPr="00457E43" w14:paraId="47B19BBB" w14:textId="77777777" w:rsidTr="001E23A2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DACD2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Impaired coagulation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CCEE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P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rothrombin time-international normalized ratio ≥ 2.0 </w:t>
            </w:r>
          </w:p>
        </w:tc>
      </w:tr>
      <w:tr w:rsidR="006664F8" w:rsidRPr="00457E43" w14:paraId="17500701" w14:textId="77777777" w:rsidTr="001E23A2">
        <w:trPr>
          <w:trHeight w:val="39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238A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Disseminated Intravascular Coagulation</w:t>
            </w:r>
          </w:p>
        </w:tc>
      </w:tr>
      <w:tr w:rsidR="006664F8" w:rsidRPr="00457E43" w14:paraId="6F7DF725" w14:textId="77777777" w:rsidTr="001E23A2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68BC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Thrombocytopenia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D70D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P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latelets &lt;</w:t>
            </w: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50,000/uL</w:t>
            </w:r>
          </w:p>
        </w:tc>
      </w:tr>
      <w:tr w:rsidR="006664F8" w:rsidRPr="00457E43" w14:paraId="1885B55A" w14:textId="77777777" w:rsidTr="001E23A2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3629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Sepsis 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9625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W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ith systemic inflammatory response syndrome</w:t>
            </w:r>
          </w:p>
        </w:tc>
      </w:tr>
      <w:tr w:rsidR="006664F8" w:rsidRPr="00457E43" w14:paraId="3AB01BD2" w14:textId="77777777" w:rsidTr="001E23A2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021B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Shock  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A4EE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S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ystolic blood pressure &lt; 90 mmHg</w:t>
            </w:r>
          </w:p>
        </w:tc>
      </w:tr>
      <w:tr w:rsidR="006664F8" w:rsidRPr="00457E43" w14:paraId="4D1396A2" w14:textId="77777777" w:rsidTr="001E23A2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82D92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Complete spinal cord injury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EB31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L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evel of injury above T5</w:t>
            </w:r>
          </w:p>
        </w:tc>
      </w:tr>
      <w:tr w:rsidR="006664F8" w:rsidRPr="00457E43" w14:paraId="0F943F07" w14:textId="77777777" w:rsidTr="00963463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AAE8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Cardiopulmonary support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48E4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</w:p>
        </w:tc>
      </w:tr>
      <w:tr w:rsidR="006664F8" w:rsidRPr="00457E43" w14:paraId="63F1749E" w14:textId="77777777" w:rsidTr="00963463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2AE1C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Artificial respiration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355A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</w:p>
        </w:tc>
      </w:tr>
      <w:tr w:rsidR="006664F8" w:rsidRPr="00457E43" w14:paraId="59493AC9" w14:textId="77777777" w:rsidTr="00963463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B0B5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Dialysis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EB65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</w:p>
        </w:tc>
      </w:tr>
      <w:tr w:rsidR="006664F8" w:rsidRPr="00457E43" w14:paraId="13F15CA7" w14:textId="77777777" w:rsidTr="00963463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11A97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intra-aortic balloon pumping</w:t>
            </w:r>
          </w:p>
        </w:tc>
        <w:tc>
          <w:tcPr>
            <w:tcW w:w="3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106F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</w:p>
        </w:tc>
      </w:tr>
      <w:tr w:rsidR="006664F8" w:rsidRPr="00457E43" w14:paraId="51977507" w14:textId="77777777" w:rsidTr="001E23A2">
        <w:trPr>
          <w:trHeight w:val="390"/>
        </w:trPr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C1C7B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Obesity</w:t>
            </w:r>
          </w:p>
        </w:tc>
        <w:tc>
          <w:tcPr>
            <w:tcW w:w="3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D5BCD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B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ody mass index ≥ 35 kg/m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  <w:vertAlign w:val="superscript"/>
              </w:rPr>
              <w:t>2</w:t>
            </w:r>
          </w:p>
        </w:tc>
      </w:tr>
    </w:tbl>
    <w:p w14:paraId="3A71782B" w14:textId="77777777" w:rsidR="006664F8" w:rsidRDefault="006664F8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E1BCF4E" w14:textId="77777777" w:rsidR="006664F8" w:rsidRDefault="006664F8" w:rsidP="00305516">
      <w:pPr>
        <w:spacing w:line="480" w:lineRule="auto"/>
        <w:ind w:left="425" w:hangingChars="177" w:hanging="425"/>
        <w:rPr>
          <w:rFonts w:ascii="Times New Roman" w:hAnsi="Times New Roman"/>
        </w:rPr>
        <w:sectPr w:rsidR="006664F8" w:rsidSect="009F2C43">
          <w:type w:val="continuous"/>
          <w:pgSz w:w="11900" w:h="16840" w:code="9"/>
          <w:pgMar w:top="1440" w:right="1080" w:bottom="1440" w:left="1080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98"/>
        <w:gridCol w:w="2445"/>
        <w:gridCol w:w="1018"/>
        <w:gridCol w:w="1018"/>
        <w:gridCol w:w="1018"/>
        <w:gridCol w:w="1018"/>
        <w:gridCol w:w="1018"/>
        <w:gridCol w:w="1018"/>
        <w:gridCol w:w="1018"/>
        <w:gridCol w:w="1018"/>
        <w:gridCol w:w="1018"/>
        <w:gridCol w:w="875"/>
      </w:tblGrid>
      <w:tr w:rsidR="006664F8" w:rsidRPr="00457E43" w14:paraId="43B4FDEF" w14:textId="77777777" w:rsidTr="001E23A2">
        <w:trPr>
          <w:trHeight w:val="315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CBA53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b/>
                <w:bCs/>
                <w:color w:val="000000"/>
                <w:szCs w:val="21"/>
              </w:rPr>
              <w:lastRenderedPageBreak/>
              <w:t>Supplemental Table 3.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Characteristics of </w:t>
            </w: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the cases 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and institution</w:t>
            </w: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s that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performed </w:t>
            </w: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the 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metastatic spinal surgeries. </w:t>
            </w:r>
          </w:p>
        </w:tc>
      </w:tr>
      <w:tr w:rsidR="006664F8" w:rsidRPr="00457E43" w14:paraId="7EF28BC4" w14:textId="77777777" w:rsidTr="001E23A2">
        <w:trPr>
          <w:trHeight w:val="375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7E965D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5B2DC6" w14:textId="77777777" w:rsidR="006664F8" w:rsidRPr="00457E43" w:rsidRDefault="006664F8" w:rsidP="001E23A2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2871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F7E36B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Year</w:t>
            </w:r>
          </w:p>
        </w:tc>
        <w:tc>
          <w:tcPr>
            <w:tcW w:w="26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DC3539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p</w:t>
            </w:r>
          </w:p>
        </w:tc>
      </w:tr>
      <w:tr w:rsidR="006664F8" w:rsidRPr="00457E43" w14:paraId="21C6AFB6" w14:textId="77777777" w:rsidTr="001E23A2">
        <w:trPr>
          <w:trHeight w:val="390"/>
        </w:trPr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9E8EA05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66998F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1DD152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2012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F436D7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2013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E8C047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2014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254C77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2015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F367EA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2016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E6716C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2017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9A07FD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2018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3140E2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2019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932559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2020</w:t>
            </w:r>
          </w:p>
        </w:tc>
        <w:tc>
          <w:tcPr>
            <w:tcW w:w="26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0C9BEC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</w:p>
        </w:tc>
      </w:tr>
      <w:tr w:rsidR="006664F8" w:rsidRPr="00457E43" w14:paraId="469681EB" w14:textId="77777777" w:rsidTr="001E23A2">
        <w:trPr>
          <w:trHeight w:val="315"/>
        </w:trPr>
        <w:tc>
          <w:tcPr>
            <w:tcW w:w="186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FA013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No. of patients with metastatic spine surgery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D344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877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B3C9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915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2F4A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1066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FABA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1102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B166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1136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6B66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1217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FDA0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1247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A73C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1282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86E9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1479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6886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b/>
                <w:bCs/>
                <w:color w:val="000000"/>
                <w:szCs w:val="21"/>
              </w:rPr>
              <w:t>&lt;0.001</w:t>
            </w:r>
          </w:p>
        </w:tc>
      </w:tr>
      <w:tr w:rsidR="006664F8" w:rsidRPr="00457E43" w14:paraId="2746ECE4" w14:textId="77777777" w:rsidTr="001E23A2">
        <w:trPr>
          <w:trHeight w:val="315"/>
        </w:trPr>
        <w:tc>
          <w:tcPr>
            <w:tcW w:w="18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2F8C7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No. of patients with nonmetastatic spine surgery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AD0D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41078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C5DC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42298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3F3F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49427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21D0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50307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FECE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54708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014C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56703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9FFE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56302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B5E2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55740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5413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56507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46DA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b/>
                <w:bCs/>
                <w:color w:val="000000"/>
                <w:szCs w:val="21"/>
              </w:rPr>
              <w:t>0.004</w:t>
            </w:r>
          </w:p>
        </w:tc>
      </w:tr>
      <w:tr w:rsidR="006664F8" w:rsidRPr="00457E43" w14:paraId="774674C3" w14:textId="77777777" w:rsidTr="001E23A2">
        <w:trPr>
          <w:trHeight w:val="315"/>
        </w:trPr>
        <w:tc>
          <w:tcPr>
            <w:tcW w:w="18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ABC8B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No. of treated </w:t>
            </w: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hospitals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18E8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302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5226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285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5BC9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331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2203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329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8776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343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8073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352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99AA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326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D916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325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0205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349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82A2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0.211</w:t>
            </w:r>
          </w:p>
        </w:tc>
      </w:tr>
      <w:tr w:rsidR="006664F8" w:rsidRPr="00457E43" w14:paraId="7E7ED942" w14:textId="77777777" w:rsidTr="001E23A2">
        <w:trPr>
          <w:trHeight w:val="375"/>
        </w:trPr>
        <w:tc>
          <w:tcPr>
            <w:tcW w:w="101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FA5CF7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Cases by hospital </w:t>
            </w: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V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olume of spine surgery, n (%)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60F2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&lt;100 surgeries/year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0F5D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254 (29)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288A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192 (21)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3A74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237 (22)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6BF3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207 (19)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3434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227 (20)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6A16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231 (19)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9480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200 (16)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C96A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237 (18)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DC52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323 (22)</w:t>
            </w:r>
          </w:p>
        </w:tc>
        <w:tc>
          <w:tcPr>
            <w:tcW w:w="26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3A1685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b/>
                <w:bCs/>
                <w:color w:val="000000"/>
                <w:szCs w:val="21"/>
              </w:rPr>
              <w:t>&lt;0.001</w:t>
            </w:r>
          </w:p>
        </w:tc>
      </w:tr>
      <w:tr w:rsidR="006664F8" w:rsidRPr="00457E43" w14:paraId="5C143B7E" w14:textId="77777777" w:rsidTr="001E23A2">
        <w:trPr>
          <w:trHeight w:val="315"/>
        </w:trPr>
        <w:tc>
          <w:tcPr>
            <w:tcW w:w="101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61BD5F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E437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100</w:t>
            </w: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–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300 surgeries/year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F1BD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541 (62)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BEBF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610 (67)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6C1F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672 (63)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A6B9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765 (69)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C94B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743 (65)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C2408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790 (65)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FBF4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812 (65)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B08F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801 (62)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2D98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912 (62)</w:t>
            </w:r>
          </w:p>
        </w:tc>
        <w:tc>
          <w:tcPr>
            <w:tcW w:w="26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7023A5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b/>
                <w:bCs/>
                <w:color w:val="000000"/>
                <w:szCs w:val="21"/>
              </w:rPr>
            </w:pPr>
          </w:p>
        </w:tc>
      </w:tr>
      <w:tr w:rsidR="006664F8" w:rsidRPr="00457E43" w14:paraId="1A45950E" w14:textId="77777777" w:rsidTr="001E23A2">
        <w:trPr>
          <w:trHeight w:val="390"/>
        </w:trPr>
        <w:tc>
          <w:tcPr>
            <w:tcW w:w="101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3B46B7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48A35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>≥300 surgeries/year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70824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82 (9)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034B5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113 (12)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2BF3F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157 (15)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FB644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130 (12)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03B93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166 (15)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A4D52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196 (16)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5113D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235 (19)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331D2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244 (19)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B04E7" w14:textId="77777777" w:rsidR="006664F8" w:rsidRPr="00457E43" w:rsidRDefault="006664F8" w:rsidP="001E23A2">
            <w:pPr>
              <w:jc w:val="center"/>
              <w:rPr>
                <w:rFonts w:ascii="Times New Roman" w:eastAsia="游ゴシック" w:hAnsi="Times New Roman" w:cs="Times New Roman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szCs w:val="21"/>
              </w:rPr>
              <w:t>244 (16)</w:t>
            </w:r>
          </w:p>
        </w:tc>
        <w:tc>
          <w:tcPr>
            <w:tcW w:w="26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A7F3EC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b/>
                <w:bCs/>
                <w:color w:val="000000"/>
                <w:szCs w:val="21"/>
              </w:rPr>
            </w:pPr>
          </w:p>
        </w:tc>
      </w:tr>
      <w:tr w:rsidR="006664F8" w:rsidRPr="00457E43" w14:paraId="4E088C7D" w14:textId="77777777" w:rsidTr="001E23A2">
        <w:trPr>
          <w:trHeight w:val="315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F846" w14:textId="77777777" w:rsidR="006664F8" w:rsidRPr="00457E43" w:rsidRDefault="006664F8" w:rsidP="001E23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Significant </w:t>
            </w:r>
            <w:r w:rsidRPr="00457E43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p</w:t>
            </w:r>
            <w:r w:rsidRPr="00457E43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values for trend analysis are indicated in bold font.</w:t>
            </w:r>
          </w:p>
        </w:tc>
      </w:tr>
    </w:tbl>
    <w:p w14:paraId="39028960" w14:textId="77777777" w:rsidR="006664F8" w:rsidRDefault="006664F8" w:rsidP="00305516">
      <w:pPr>
        <w:spacing w:line="480" w:lineRule="auto"/>
        <w:ind w:left="425" w:hangingChars="177" w:hanging="425"/>
        <w:rPr>
          <w:rFonts w:ascii="Times New Roman" w:hAnsi="Times New Roman"/>
        </w:rPr>
      </w:pPr>
    </w:p>
    <w:p w14:paraId="315D0C48" w14:textId="77777777" w:rsidR="006664F8" w:rsidRPr="00305516" w:rsidRDefault="006664F8" w:rsidP="00305516">
      <w:pPr>
        <w:spacing w:line="480" w:lineRule="auto"/>
        <w:ind w:left="425" w:hangingChars="177" w:hanging="425"/>
        <w:rPr>
          <w:rFonts w:ascii="Times New Roman" w:hAnsi="Times New Roman"/>
        </w:rPr>
      </w:pPr>
    </w:p>
    <w:p w14:paraId="59ACE8EB" w14:textId="77777777" w:rsidR="006178DB" w:rsidRDefault="006178DB"/>
    <w:sectPr w:rsidR="006178DB" w:rsidSect="006664F8">
      <w:pgSz w:w="16840" w:h="11900" w:orient="landscape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8A8B9" w14:textId="77777777" w:rsidR="00F546BD" w:rsidRDefault="00F546BD">
      <w:r>
        <w:separator/>
      </w:r>
    </w:p>
  </w:endnote>
  <w:endnote w:type="continuationSeparator" w:id="0">
    <w:p w14:paraId="2D7B23FB" w14:textId="77777777" w:rsidR="00F546BD" w:rsidRDefault="00F54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9ADC1" w14:textId="77777777" w:rsidR="00F546BD" w:rsidRDefault="00F546BD">
      <w:r>
        <w:separator/>
      </w:r>
    </w:p>
  </w:footnote>
  <w:footnote w:type="continuationSeparator" w:id="0">
    <w:p w14:paraId="1DB2FD06" w14:textId="77777777" w:rsidR="00F546BD" w:rsidRDefault="00F54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9AEEFA4"/>
    <w:multiLevelType w:val="singleLevel"/>
    <w:tmpl w:val="D9AEEFA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186B6ADE"/>
    <w:multiLevelType w:val="hybridMultilevel"/>
    <w:tmpl w:val="3ABE18F8"/>
    <w:lvl w:ilvl="0" w:tplc="0C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29A67B43"/>
    <w:multiLevelType w:val="hybridMultilevel"/>
    <w:tmpl w:val="C2908348"/>
    <w:lvl w:ilvl="0" w:tplc="2BF25678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343763E4"/>
    <w:multiLevelType w:val="multilevel"/>
    <w:tmpl w:val="D6C6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935F0B"/>
    <w:multiLevelType w:val="multilevel"/>
    <w:tmpl w:val="D8E8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612360"/>
    <w:multiLevelType w:val="multilevel"/>
    <w:tmpl w:val="92402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BA0204"/>
    <w:multiLevelType w:val="hybridMultilevel"/>
    <w:tmpl w:val="1EE6C800"/>
    <w:lvl w:ilvl="0" w:tplc="0C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" w15:restartNumberingAfterBreak="0">
    <w:nsid w:val="7EF67F8A"/>
    <w:multiLevelType w:val="hybridMultilevel"/>
    <w:tmpl w:val="FDD0AC14"/>
    <w:lvl w:ilvl="0" w:tplc="FF08A0DE">
      <w:start w:val="5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95727281">
    <w:abstractNumId w:val="7"/>
  </w:num>
  <w:num w:numId="2" w16cid:durableId="747845860">
    <w:abstractNumId w:val="2"/>
  </w:num>
  <w:num w:numId="3" w16cid:durableId="436632835">
    <w:abstractNumId w:val="1"/>
  </w:num>
  <w:num w:numId="4" w16cid:durableId="1736775971">
    <w:abstractNumId w:val="6"/>
  </w:num>
  <w:num w:numId="5" w16cid:durableId="437138699">
    <w:abstractNumId w:val="0"/>
  </w:num>
  <w:num w:numId="6" w16cid:durableId="1821192855">
    <w:abstractNumId w:val="4"/>
  </w:num>
  <w:num w:numId="7" w16cid:durableId="283930947">
    <w:abstractNumId w:val="3"/>
  </w:num>
  <w:num w:numId="8" w16cid:durableId="19924468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664F8"/>
    <w:rsid w:val="00283D36"/>
    <w:rsid w:val="006178DB"/>
    <w:rsid w:val="006664F8"/>
    <w:rsid w:val="00711BA8"/>
    <w:rsid w:val="00870ED9"/>
    <w:rsid w:val="008F67D5"/>
    <w:rsid w:val="00B34390"/>
    <w:rsid w:val="00BA39F3"/>
    <w:rsid w:val="00E36E1B"/>
    <w:rsid w:val="00F5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1BCF90"/>
  <w15:chartTrackingRefBased/>
  <w15:docId w15:val="{428D624A-640F-4DAE-8315-08EE0607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4F8"/>
    <w:rPr>
      <w:kern w:val="0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664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6664F8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6664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664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664F8"/>
    <w:rPr>
      <w:kern w:val="0"/>
      <w:sz w:val="24"/>
      <w:szCs w:val="24"/>
      <w:lang w:eastAsia="en-US"/>
    </w:rPr>
  </w:style>
  <w:style w:type="paragraph" w:styleId="a6">
    <w:name w:val="footer"/>
    <w:basedOn w:val="a"/>
    <w:link w:val="a7"/>
    <w:uiPriority w:val="99"/>
    <w:unhideWhenUsed/>
    <w:rsid w:val="006664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664F8"/>
    <w:rPr>
      <w:kern w:val="0"/>
      <w:sz w:val="24"/>
      <w:szCs w:val="24"/>
      <w:lang w:eastAsia="en-US"/>
    </w:rPr>
  </w:style>
  <w:style w:type="paragraph" w:styleId="Web">
    <w:name w:val="Normal (Web)"/>
    <w:basedOn w:val="a"/>
    <w:uiPriority w:val="99"/>
    <w:semiHidden/>
    <w:unhideWhenUsed/>
    <w:rsid w:val="006664F8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lang w:eastAsia="ja-JP"/>
    </w:rPr>
  </w:style>
  <w:style w:type="paragraph" w:styleId="a8">
    <w:name w:val="Balloon Text"/>
    <w:basedOn w:val="a"/>
    <w:link w:val="a9"/>
    <w:uiPriority w:val="99"/>
    <w:semiHidden/>
    <w:unhideWhenUsed/>
    <w:rsid w:val="006664F8"/>
    <w:rPr>
      <w:rFonts w:ascii="Calibri" w:eastAsia="ＭＳ 明朝" w:hAnsi="Calibri" w:cs="Calibri"/>
      <w:kern w:val="2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64F8"/>
    <w:rPr>
      <w:rFonts w:ascii="Calibri" w:eastAsia="ＭＳ 明朝" w:hAnsi="Calibri" w:cs="Calibri"/>
      <w:sz w:val="18"/>
      <w:szCs w:val="18"/>
      <w:lang w:eastAsia="en-US"/>
    </w:rPr>
  </w:style>
  <w:style w:type="character" w:styleId="aa">
    <w:name w:val="annotation reference"/>
    <w:basedOn w:val="a0"/>
    <w:uiPriority w:val="99"/>
    <w:semiHidden/>
    <w:unhideWhenUsed/>
    <w:rsid w:val="006664F8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qFormat/>
    <w:rsid w:val="006664F8"/>
    <w:pPr>
      <w:widowControl w:val="0"/>
      <w:snapToGrid w:val="0"/>
    </w:pPr>
    <w:rPr>
      <w:rFonts w:ascii="Calibri" w:eastAsia="ＭＳ 明朝" w:hAnsi="Calibri" w:cs="Calibri"/>
      <w:kern w:val="2"/>
      <w:szCs w:val="20"/>
    </w:rPr>
  </w:style>
  <w:style w:type="character" w:customStyle="1" w:styleId="ac">
    <w:name w:val="コメント文字列 (文字)"/>
    <w:basedOn w:val="a0"/>
    <w:link w:val="ab"/>
    <w:uiPriority w:val="99"/>
    <w:rsid w:val="006664F8"/>
    <w:rPr>
      <w:rFonts w:ascii="Calibri" w:eastAsia="ＭＳ 明朝" w:hAnsi="Calibri" w:cs="Calibri"/>
      <w:sz w:val="24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664F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6664F8"/>
    <w:rPr>
      <w:rFonts w:ascii="Calibri" w:eastAsia="ＭＳ 明朝" w:hAnsi="Calibri" w:cs="Calibri"/>
      <w:b/>
      <w:bCs/>
      <w:sz w:val="24"/>
      <w:szCs w:val="20"/>
      <w:lang w:eastAsia="en-US"/>
    </w:rPr>
  </w:style>
  <w:style w:type="paragraph" w:styleId="af">
    <w:name w:val="Revision"/>
    <w:hidden/>
    <w:uiPriority w:val="99"/>
    <w:semiHidden/>
    <w:rsid w:val="006664F8"/>
    <w:rPr>
      <w:kern w:val="0"/>
      <w:sz w:val="24"/>
      <w:szCs w:val="24"/>
      <w:lang w:val="en-GB" w:eastAsia="en-US"/>
    </w:rPr>
  </w:style>
  <w:style w:type="character" w:styleId="af0">
    <w:name w:val="Hyperlink"/>
    <w:basedOn w:val="a0"/>
    <w:uiPriority w:val="99"/>
    <w:unhideWhenUsed/>
    <w:rsid w:val="006664F8"/>
    <w:rPr>
      <w:color w:val="0563C1" w:themeColor="hyperlink"/>
      <w:u w:val="single"/>
    </w:rPr>
  </w:style>
  <w:style w:type="character" w:styleId="af1">
    <w:name w:val="line number"/>
    <w:basedOn w:val="a0"/>
    <w:uiPriority w:val="99"/>
    <w:semiHidden/>
    <w:unhideWhenUsed/>
    <w:rsid w:val="006664F8"/>
  </w:style>
  <w:style w:type="paragraph" w:customStyle="1" w:styleId="EndNoteBibliographyTitle">
    <w:name w:val="EndNote Bibliography Title"/>
    <w:basedOn w:val="a"/>
    <w:link w:val="EndNoteBibliographyTitle0"/>
    <w:rsid w:val="006664F8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0">
    <w:name w:val="EndNote Bibliography Title (文字)"/>
    <w:basedOn w:val="a0"/>
    <w:link w:val="EndNoteBibliographyTitle"/>
    <w:rsid w:val="006664F8"/>
    <w:rPr>
      <w:rFonts w:ascii="Times New Roman" w:hAnsi="Times New Roman" w:cs="Times New Roman"/>
      <w:noProof/>
      <w:kern w:val="0"/>
      <w:sz w:val="24"/>
      <w:szCs w:val="24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6664F8"/>
    <w:rPr>
      <w:rFonts w:ascii="Times New Roman" w:hAnsi="Times New Roman" w:cs="Times New Roman"/>
      <w:noProof/>
    </w:rPr>
  </w:style>
  <w:style w:type="character" w:customStyle="1" w:styleId="EndNoteBibliography0">
    <w:name w:val="EndNote Bibliography (文字)"/>
    <w:basedOn w:val="a0"/>
    <w:link w:val="EndNoteBibliography"/>
    <w:rsid w:val="006664F8"/>
    <w:rPr>
      <w:rFonts w:ascii="Times New Roman" w:hAnsi="Times New Roman" w:cs="Times New Roman"/>
      <w:noProof/>
      <w:kern w:val="0"/>
      <w:sz w:val="24"/>
      <w:szCs w:val="24"/>
      <w:lang w:eastAsia="en-US"/>
    </w:rPr>
  </w:style>
  <w:style w:type="character" w:customStyle="1" w:styleId="1">
    <w:name w:val="未解決のメンション1"/>
    <w:basedOn w:val="a0"/>
    <w:uiPriority w:val="99"/>
    <w:semiHidden/>
    <w:unhideWhenUsed/>
    <w:rsid w:val="006664F8"/>
    <w:rPr>
      <w:color w:val="605E5C"/>
      <w:shd w:val="clear" w:color="auto" w:fill="E1DFDD"/>
    </w:rPr>
  </w:style>
  <w:style w:type="character" w:styleId="af2">
    <w:name w:val="Strong"/>
    <w:basedOn w:val="a0"/>
    <w:uiPriority w:val="22"/>
    <w:qFormat/>
    <w:rsid w:val="006664F8"/>
    <w:rPr>
      <w:b/>
      <w:bCs/>
    </w:rPr>
  </w:style>
  <w:style w:type="character" w:styleId="af3">
    <w:name w:val="Emphasis"/>
    <w:basedOn w:val="a0"/>
    <w:uiPriority w:val="20"/>
    <w:qFormat/>
    <w:rsid w:val="006664F8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6664F8"/>
    <w:rPr>
      <w:rFonts w:ascii="Consolas" w:hAnsi="Consolas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6664F8"/>
    <w:rPr>
      <w:rFonts w:ascii="Consolas" w:hAnsi="Consolas"/>
      <w:kern w:val="0"/>
      <w:sz w:val="20"/>
      <w:szCs w:val="20"/>
      <w:lang w:eastAsia="en-US"/>
    </w:rPr>
  </w:style>
  <w:style w:type="character" w:customStyle="1" w:styleId="21">
    <w:name w:val="未解決のメンション2"/>
    <w:basedOn w:val="a0"/>
    <w:uiPriority w:val="99"/>
    <w:semiHidden/>
    <w:unhideWhenUsed/>
    <w:rsid w:val="006664F8"/>
    <w:rPr>
      <w:color w:val="605E5C"/>
      <w:shd w:val="clear" w:color="auto" w:fill="E1DFDD"/>
    </w:rPr>
  </w:style>
  <w:style w:type="character" w:customStyle="1" w:styleId="3">
    <w:name w:val="未解決のメンション3"/>
    <w:basedOn w:val="a0"/>
    <w:uiPriority w:val="99"/>
    <w:semiHidden/>
    <w:unhideWhenUsed/>
    <w:rsid w:val="006664F8"/>
    <w:rPr>
      <w:color w:val="605E5C"/>
      <w:shd w:val="clear" w:color="auto" w:fill="E1DFDD"/>
    </w:rPr>
  </w:style>
  <w:style w:type="character" w:styleId="af4">
    <w:name w:val="Unresolved Mention"/>
    <w:basedOn w:val="a0"/>
    <w:uiPriority w:val="99"/>
    <w:semiHidden/>
    <w:unhideWhenUsed/>
    <w:rsid w:val="006664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F8265-0229-4B36-A1F5-D5B77CB87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755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賢太郎 山田</dc:creator>
  <cp:keywords/>
  <dc:description/>
  <cp:lastModifiedBy>山田賢太郎</cp:lastModifiedBy>
  <cp:revision>3</cp:revision>
  <dcterms:created xsi:type="dcterms:W3CDTF">2023-11-27T14:26:00Z</dcterms:created>
  <dcterms:modified xsi:type="dcterms:W3CDTF">2023-12-05T11:57:00Z</dcterms:modified>
</cp:coreProperties>
</file>