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6"/>
        <w:gridCol w:w="7131"/>
      </w:tblGrid>
      <w:tr w:rsidR="007D0F15" w:rsidRPr="00F413C7" w14:paraId="7C6346D3" w14:textId="77777777" w:rsidTr="007D0F15">
        <w:trPr>
          <w:trHeight w:val="763"/>
          <w:tblHeader/>
        </w:trPr>
        <w:tc>
          <w:tcPr>
            <w:tcW w:w="1336" w:type="dxa"/>
            <w:vAlign w:val="center"/>
          </w:tcPr>
          <w:p w14:paraId="29629285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AKI Stage</w:t>
            </w:r>
          </w:p>
        </w:tc>
        <w:tc>
          <w:tcPr>
            <w:tcW w:w="7131" w:type="dxa"/>
            <w:vAlign w:val="center"/>
          </w:tcPr>
          <w:p w14:paraId="459BBCA7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Serum Creatinine (SCr) Criteria</w:t>
            </w:r>
          </w:p>
        </w:tc>
      </w:tr>
      <w:tr w:rsidR="007D0F15" w:rsidRPr="00F413C7" w14:paraId="3F1431A9" w14:textId="77777777" w:rsidTr="007D0F15">
        <w:trPr>
          <w:trHeight w:val="763"/>
        </w:trPr>
        <w:tc>
          <w:tcPr>
            <w:tcW w:w="1336" w:type="dxa"/>
            <w:vAlign w:val="center"/>
          </w:tcPr>
          <w:p w14:paraId="07A11733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0</w:t>
            </w:r>
          </w:p>
        </w:tc>
        <w:tc>
          <w:tcPr>
            <w:tcW w:w="7131" w:type="dxa"/>
          </w:tcPr>
          <w:p w14:paraId="4A03C463" w14:textId="77777777" w:rsidR="007D0F15" w:rsidRPr="00F413C7" w:rsidRDefault="007D0F15" w:rsidP="00773BD7">
            <w:pPr>
              <w:spacing w:line="480" w:lineRule="auto"/>
              <w:rPr>
                <w:rFonts w:cstheme="minorHAnsi"/>
              </w:rPr>
            </w:pPr>
            <w:r w:rsidRPr="00F413C7">
              <w:rPr>
                <w:rFonts w:cstheme="minorHAnsi"/>
              </w:rPr>
              <w:t xml:space="preserve">No change in SCr </w:t>
            </w:r>
            <w:r w:rsidRPr="00F413C7">
              <w:rPr>
                <w:rFonts w:cstheme="minorHAnsi"/>
                <w:i/>
                <w:u w:val="single"/>
              </w:rPr>
              <w:t>or</w:t>
            </w:r>
            <w:r w:rsidRPr="00F413C7">
              <w:rPr>
                <w:rFonts w:cstheme="minorHAnsi"/>
                <w:u w:val="single"/>
              </w:rPr>
              <w:t xml:space="preserve"> </w:t>
            </w:r>
          </w:p>
          <w:p w14:paraId="0D91E109" w14:textId="77777777" w:rsidR="007D0F15" w:rsidRPr="00F413C7" w:rsidRDefault="007D0F15" w:rsidP="00773BD7">
            <w:pPr>
              <w:spacing w:line="480" w:lineRule="auto"/>
              <w:rPr>
                <w:rFonts w:cstheme="minorHAnsi"/>
              </w:rPr>
            </w:pPr>
            <w:r w:rsidRPr="00F413C7">
              <w:rPr>
                <w:rFonts w:cstheme="minorHAnsi"/>
              </w:rPr>
              <w:t>SCr rise &lt;0.3 mg/dL</w:t>
            </w:r>
          </w:p>
        </w:tc>
      </w:tr>
      <w:tr w:rsidR="007D0F15" w:rsidRPr="00F413C7" w14:paraId="402FE1A6" w14:textId="77777777" w:rsidTr="007D0F15">
        <w:trPr>
          <w:trHeight w:val="1148"/>
        </w:trPr>
        <w:tc>
          <w:tcPr>
            <w:tcW w:w="1336" w:type="dxa"/>
            <w:vAlign w:val="center"/>
          </w:tcPr>
          <w:p w14:paraId="04C20720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1</w:t>
            </w:r>
          </w:p>
        </w:tc>
        <w:tc>
          <w:tcPr>
            <w:tcW w:w="7131" w:type="dxa"/>
          </w:tcPr>
          <w:p w14:paraId="22980B3A" w14:textId="77777777" w:rsidR="007D0F15" w:rsidRPr="00F413C7" w:rsidRDefault="007D0F15" w:rsidP="00773BD7">
            <w:pPr>
              <w:spacing w:line="480" w:lineRule="auto"/>
              <w:rPr>
                <w:rFonts w:cstheme="minorHAnsi"/>
              </w:rPr>
            </w:pPr>
            <w:r w:rsidRPr="00F413C7">
              <w:rPr>
                <w:rFonts w:cstheme="minorHAnsi"/>
              </w:rPr>
              <w:t xml:space="preserve">SCr rise ≥0.3 mg/dL rise within 48 hrs </w:t>
            </w:r>
            <w:r w:rsidRPr="00F413C7">
              <w:rPr>
                <w:rFonts w:cstheme="minorHAnsi"/>
                <w:i/>
                <w:u w:val="single"/>
              </w:rPr>
              <w:t>or</w:t>
            </w:r>
            <w:r w:rsidRPr="00F413C7">
              <w:rPr>
                <w:rFonts w:cstheme="minorHAnsi"/>
              </w:rPr>
              <w:br/>
              <w:t>SCr rise ≥1.5–1.9 × baseline SCr</w:t>
            </w:r>
            <w:r w:rsidRPr="00F413C7">
              <w:rPr>
                <w:rFonts w:cstheme="minorHAnsi"/>
                <w:vertAlign w:val="superscript"/>
              </w:rPr>
              <w:t>a</w:t>
            </w:r>
          </w:p>
        </w:tc>
      </w:tr>
      <w:tr w:rsidR="007D0F15" w:rsidRPr="00F413C7" w14:paraId="429A671A" w14:textId="77777777" w:rsidTr="007D0F15">
        <w:trPr>
          <w:trHeight w:val="384"/>
        </w:trPr>
        <w:tc>
          <w:tcPr>
            <w:tcW w:w="1336" w:type="dxa"/>
            <w:vAlign w:val="center"/>
          </w:tcPr>
          <w:p w14:paraId="07F07127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2</w:t>
            </w:r>
          </w:p>
        </w:tc>
        <w:tc>
          <w:tcPr>
            <w:tcW w:w="7131" w:type="dxa"/>
          </w:tcPr>
          <w:p w14:paraId="2E31A276" w14:textId="77777777" w:rsidR="007D0F15" w:rsidRPr="00F413C7" w:rsidRDefault="007D0F15" w:rsidP="00773BD7">
            <w:pPr>
              <w:spacing w:line="480" w:lineRule="auto"/>
              <w:rPr>
                <w:rFonts w:cstheme="minorHAnsi"/>
              </w:rPr>
            </w:pPr>
            <w:r w:rsidRPr="00F413C7">
              <w:rPr>
                <w:rFonts w:cstheme="minorHAnsi"/>
              </w:rPr>
              <w:t>SCr rise ≥2.0–2.9 × baseline SCr</w:t>
            </w:r>
            <w:r w:rsidRPr="00F413C7">
              <w:rPr>
                <w:rFonts w:cstheme="minorHAnsi"/>
                <w:vertAlign w:val="superscript"/>
              </w:rPr>
              <w:t>a</w:t>
            </w:r>
          </w:p>
        </w:tc>
      </w:tr>
      <w:tr w:rsidR="007D0F15" w:rsidRPr="00F413C7" w14:paraId="1AA21ADF" w14:textId="77777777" w:rsidTr="007D0F15">
        <w:trPr>
          <w:trHeight w:val="1148"/>
        </w:trPr>
        <w:tc>
          <w:tcPr>
            <w:tcW w:w="1336" w:type="dxa"/>
            <w:vAlign w:val="center"/>
          </w:tcPr>
          <w:p w14:paraId="38722963" w14:textId="77777777" w:rsidR="007D0F15" w:rsidRPr="00F413C7" w:rsidRDefault="007D0F15" w:rsidP="00773BD7">
            <w:pPr>
              <w:spacing w:line="480" w:lineRule="auto"/>
              <w:jc w:val="center"/>
              <w:rPr>
                <w:rFonts w:cstheme="minorHAnsi"/>
              </w:rPr>
            </w:pPr>
            <w:r w:rsidRPr="00F413C7">
              <w:rPr>
                <w:rFonts w:cstheme="minorHAnsi"/>
                <w:b/>
              </w:rPr>
              <w:t>3</w:t>
            </w:r>
          </w:p>
        </w:tc>
        <w:tc>
          <w:tcPr>
            <w:tcW w:w="7131" w:type="dxa"/>
          </w:tcPr>
          <w:p w14:paraId="0EAA85BF" w14:textId="77777777" w:rsidR="007D0F15" w:rsidRPr="00F413C7" w:rsidRDefault="007D0F15" w:rsidP="00773BD7">
            <w:pPr>
              <w:spacing w:line="480" w:lineRule="auto"/>
              <w:rPr>
                <w:rFonts w:cstheme="minorHAnsi"/>
              </w:rPr>
            </w:pPr>
            <w:r w:rsidRPr="00F413C7">
              <w:rPr>
                <w:rFonts w:cstheme="minorHAnsi"/>
              </w:rPr>
              <w:t>SCr rise ≥3 × baseline SCr</w:t>
            </w:r>
            <w:r w:rsidRPr="00F413C7">
              <w:rPr>
                <w:rFonts w:cstheme="minorHAnsi"/>
                <w:vertAlign w:val="superscript"/>
              </w:rPr>
              <w:t>a</w:t>
            </w:r>
            <w:r w:rsidRPr="00F413C7">
              <w:rPr>
                <w:rFonts w:cstheme="minorHAnsi"/>
              </w:rPr>
              <w:t xml:space="preserve"> </w:t>
            </w:r>
            <w:r w:rsidRPr="00F413C7">
              <w:rPr>
                <w:rFonts w:cstheme="minorHAnsi"/>
                <w:i/>
                <w:u w:val="single"/>
              </w:rPr>
              <w:t>or</w:t>
            </w:r>
            <w:r w:rsidRPr="00F413C7">
              <w:rPr>
                <w:rFonts w:cstheme="minorHAnsi"/>
              </w:rPr>
              <w:br/>
              <w:t>SCr ≥2.5 mg/dL</w:t>
            </w:r>
            <w:r w:rsidRPr="00F413C7">
              <w:rPr>
                <w:rFonts w:cstheme="minorHAnsi"/>
                <w:vertAlign w:val="superscript"/>
              </w:rPr>
              <w:t>b</w:t>
            </w:r>
            <w:r w:rsidRPr="00F413C7">
              <w:rPr>
                <w:rFonts w:cstheme="minorHAnsi"/>
              </w:rPr>
              <w:t xml:space="preserve"> </w:t>
            </w:r>
            <w:r w:rsidRPr="00F413C7">
              <w:rPr>
                <w:rFonts w:cstheme="minorHAnsi"/>
                <w:i/>
                <w:u w:val="single"/>
              </w:rPr>
              <w:t>or</w:t>
            </w:r>
            <w:r w:rsidRPr="00F413C7">
              <w:rPr>
                <w:rFonts w:cstheme="minorHAnsi"/>
              </w:rPr>
              <w:br/>
              <w:t>Kidney Support Therapy Utilization</w:t>
            </w:r>
          </w:p>
        </w:tc>
      </w:tr>
    </w:tbl>
    <w:p w14:paraId="38BC6777" w14:textId="6FBEAF9D" w:rsidR="00F57D7C" w:rsidRDefault="00F57D7C"/>
    <w:p w14:paraId="0E133355" w14:textId="77777777" w:rsidR="00D45C59" w:rsidRDefault="00D45C59" w:rsidP="00D45C59">
      <w:pPr>
        <w:spacing w:after="120" w:line="360" w:lineRule="auto"/>
        <w:rPr>
          <w:lang w:eastAsia="en-GB"/>
        </w:rPr>
      </w:pPr>
      <w:r w:rsidRPr="00D45C59">
        <w:rPr>
          <w:b/>
          <w:bCs/>
          <w:lang w:eastAsia="en-GB"/>
        </w:rPr>
        <w:t>Supplemental Table 1.</w:t>
      </w:r>
      <w:r>
        <w:rPr>
          <w:lang w:eastAsia="en-GB"/>
        </w:rPr>
        <w:t xml:space="preserve"> Neonatal Acute Kidney Injury Diagnostic Criteria using Modified, Neonatal Kidney Disease: Improving Global Outcomes (KDIGO) Criteria </w:t>
      </w:r>
    </w:p>
    <w:p w14:paraId="11A50D89" w14:textId="77777777" w:rsidR="00D45C59" w:rsidRPr="00D45C59" w:rsidRDefault="00D45C59" w:rsidP="00D45C59">
      <w:pPr>
        <w:pStyle w:val="ListParagraph"/>
        <w:spacing w:line="480" w:lineRule="auto"/>
        <w:ind w:left="0"/>
        <w:rPr>
          <w:rFonts w:asciiTheme="minorHAnsi" w:hAnsiTheme="minorHAnsi" w:cstheme="minorHAnsi"/>
          <w:i/>
          <w:iCs/>
          <w:color w:val="FF0000"/>
          <w:sz w:val="20"/>
          <w:szCs w:val="20"/>
        </w:rPr>
      </w:pPr>
      <w:r w:rsidRPr="00D45C59">
        <w:rPr>
          <w:rFonts w:asciiTheme="minorHAnsi" w:hAnsiTheme="minorHAnsi" w:cstheme="minorHAnsi"/>
          <w:i/>
          <w:iCs/>
          <w:sz w:val="20"/>
          <w:szCs w:val="20"/>
          <w:vertAlign w:val="superscript"/>
        </w:rPr>
        <w:t>a</w:t>
      </w:r>
      <w:r w:rsidRPr="00D45C59">
        <w:rPr>
          <w:rFonts w:asciiTheme="minorHAnsi" w:hAnsiTheme="minorHAnsi" w:cstheme="minorHAnsi"/>
          <w:i/>
          <w:iCs/>
          <w:sz w:val="20"/>
          <w:szCs w:val="20"/>
        </w:rPr>
        <w:t xml:space="preserve">Baseline SCr defined as lowest previous SCr value. </w:t>
      </w:r>
      <w:r w:rsidRPr="00D45C59">
        <w:rPr>
          <w:rFonts w:asciiTheme="minorHAnsi" w:hAnsiTheme="minorHAnsi" w:cstheme="minorHAnsi"/>
          <w:i/>
          <w:iCs/>
          <w:sz w:val="20"/>
          <w:szCs w:val="20"/>
          <w:vertAlign w:val="superscript"/>
        </w:rPr>
        <w:t>b</w:t>
      </w:r>
      <w:r w:rsidRPr="00D45C59">
        <w:rPr>
          <w:rFonts w:asciiTheme="minorHAnsi" w:hAnsiTheme="minorHAnsi" w:cstheme="minorHAnsi"/>
          <w:i/>
          <w:iCs/>
          <w:sz w:val="20"/>
          <w:szCs w:val="20"/>
        </w:rPr>
        <w:t>SCr value of 2.5 mg/dL represents glomerular filtration rate of &lt;10 mL/min/1.73m</w:t>
      </w:r>
      <w:r w:rsidRPr="00D45C59">
        <w:rPr>
          <w:rFonts w:asciiTheme="minorHAnsi" w:hAnsiTheme="minorHAnsi" w:cstheme="minorHAnsi"/>
          <w:i/>
          <w:iCs/>
          <w:sz w:val="20"/>
          <w:szCs w:val="20"/>
          <w:vertAlign w:val="superscript"/>
        </w:rPr>
        <w:t>2</w:t>
      </w:r>
      <w:r w:rsidRPr="00D45C59">
        <w:rPr>
          <w:rFonts w:asciiTheme="minorHAnsi" w:hAnsiTheme="minorHAnsi" w:cstheme="minorHAnsi"/>
          <w:i/>
          <w:iCs/>
          <w:sz w:val="20"/>
          <w:szCs w:val="20"/>
        </w:rPr>
        <w:t xml:space="preserve">. SCr, serum creatinine; mg/dL, milligrams per deciliter; hrs, hours. Adapted from </w:t>
      </w:r>
      <w:r w:rsidRPr="00D45C59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Kidney Disease: Improving Global Outcomes (KDIGO) Acute Kidney Injury Workgroup. KDIGO clinical practice guideline for acute kidney injury. Kidney Int Suppl </w:t>
      </w:r>
      <w:proofErr w:type="gramStart"/>
      <w:r w:rsidRPr="00D45C59">
        <w:rPr>
          <w:rFonts w:asciiTheme="minorHAnsi" w:hAnsiTheme="minorHAnsi" w:cstheme="minorHAnsi"/>
          <w:i/>
          <w:iCs/>
          <w:color w:val="000000"/>
          <w:sz w:val="20"/>
          <w:szCs w:val="20"/>
        </w:rPr>
        <w:t>2012;2:1</w:t>
      </w:r>
      <w:proofErr w:type="gramEnd"/>
      <w:r w:rsidRPr="00D45C59">
        <w:rPr>
          <w:rFonts w:asciiTheme="minorHAnsi" w:hAnsiTheme="minorHAnsi" w:cstheme="minorHAnsi"/>
          <w:i/>
          <w:iCs/>
          <w:color w:val="000000"/>
          <w:sz w:val="20"/>
          <w:szCs w:val="20"/>
        </w:rPr>
        <w:t>–138.</w:t>
      </w:r>
    </w:p>
    <w:p w14:paraId="77B9EEA1" w14:textId="77777777" w:rsidR="00BC0AF5" w:rsidRDefault="00BC0AF5"/>
    <w:sectPr w:rsidR="00BC0A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F15"/>
    <w:rsid w:val="000725B4"/>
    <w:rsid w:val="001B1E31"/>
    <w:rsid w:val="007D0F15"/>
    <w:rsid w:val="00BB6910"/>
    <w:rsid w:val="00BC0AF5"/>
    <w:rsid w:val="00D2442D"/>
    <w:rsid w:val="00D45C59"/>
    <w:rsid w:val="00DE1982"/>
    <w:rsid w:val="00F5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CB5F5"/>
  <w15:chartTrackingRefBased/>
  <w15:docId w15:val="{B84E03CF-80FE-45D6-A5DC-5AB2957F6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F15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45C59"/>
    <w:pPr>
      <w:spacing w:after="160" w:line="259" w:lineRule="auto"/>
      <w:ind w:left="720"/>
      <w:contextualSpacing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45C59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Coleman, Cassandra</dc:creator>
  <cp:keywords/>
  <dc:description/>
  <cp:lastModifiedBy>Coleman, Cassandra</cp:lastModifiedBy>
  <cp:revision>4</cp:revision>
  <dcterms:created xsi:type="dcterms:W3CDTF">2023-08-28T16:36:00Z</dcterms:created>
  <dcterms:modified xsi:type="dcterms:W3CDTF">2023-12-05T21:42:00Z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2023-08-28T16:37:25Z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467c787b-95bc-4620-85bd-82c9047b0eb8</vt:lpwstr>
  </property>
  <property fmtid="{D5CDD505-2E9C-101B-9397-08002B2CF9AE}" pid="8" name="MSIP_Label_792c8cef-6f2b-4af1-b4ac-d815ff795cd6_ContentBits">
    <vt:lpwstr>0</vt:lpwstr>
  </property>
</Properties>
</file>