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Table1</w:t>
      </w: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>Clinicopathological parameters of the studied TNBC patients (n = 35)</w:t>
      </w:r>
      <w:r>
        <w:rPr>
          <w:rFonts w:hint="eastAsia"/>
          <w:sz w:val="21"/>
          <w:szCs w:val="21"/>
          <w:lang w:eastAsia="zh-CN"/>
        </w:rPr>
        <w:t>.</w:t>
      </w: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 xml:space="preserve">Characteristics </w:t>
      </w:r>
      <w:r>
        <w:rPr>
          <w:rFonts w:hint="eastAsia"/>
          <w:sz w:val="21"/>
          <w:szCs w:val="21"/>
          <w:lang w:val="en-US" w:eastAsia="zh-CN"/>
        </w:rPr>
        <w:t xml:space="preserve">               Number                       Percentage (%)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Age (year)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Mean ± SD</w:t>
      </w:r>
      <w:r>
        <w:rPr>
          <w:rFonts w:hint="eastAsia"/>
          <w:sz w:val="21"/>
          <w:szCs w:val="21"/>
          <w:lang w:val="en-US" w:eastAsia="zh-CN"/>
        </w:rPr>
        <w:t xml:space="preserve">                 54.4 ± 12.23   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 xml:space="preserve">Median (range) </w:t>
      </w:r>
      <w:r>
        <w:rPr>
          <w:rFonts w:hint="eastAsia"/>
          <w:sz w:val="21"/>
          <w:szCs w:val="21"/>
          <w:lang w:val="en-US" w:eastAsia="zh-CN"/>
        </w:rPr>
        <w:t xml:space="preserve">            56(26-79)</w:t>
      </w:r>
    </w:p>
    <w:p>
      <w:pPr>
        <w:tabs>
          <w:tab w:val="left" w:pos="6476"/>
        </w:tabs>
        <w:ind w:firstLine="210" w:firstLineChars="100"/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≤35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6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12.5%</w:t>
      </w:r>
    </w:p>
    <w:p>
      <w:pPr>
        <w:tabs>
          <w:tab w:val="left" w:pos="6515"/>
        </w:tabs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35-60                     27                                56.3%</w:t>
      </w:r>
    </w:p>
    <w:p>
      <w:pPr>
        <w:tabs>
          <w:tab w:val="left" w:pos="6515"/>
        </w:tabs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≥6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15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31.3%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Histological grade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 xml:space="preserve"> Grade I</w:t>
      </w:r>
      <w:r>
        <w:rPr>
          <w:rFonts w:hint="eastAsia"/>
          <w:sz w:val="21"/>
          <w:szCs w:val="21"/>
          <w:lang w:val="en-US" w:eastAsia="zh-CN"/>
        </w:rPr>
        <w:t xml:space="preserve">                    0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                               0</w:t>
      </w:r>
    </w:p>
    <w:p>
      <w:pPr>
        <w:tabs>
          <w:tab w:val="left" w:pos="3005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default"/>
          <w:sz w:val="21"/>
          <w:szCs w:val="21"/>
          <w:lang w:val="en-US" w:eastAsia="zh-CN"/>
        </w:rPr>
        <w:t xml:space="preserve">Grade </w:t>
      </w:r>
      <w:r>
        <w:rPr>
          <w:rFonts w:hint="eastAsia"/>
          <w:sz w:val="21"/>
          <w:szCs w:val="21"/>
          <w:lang w:val="en-US" w:eastAsia="zh-CN"/>
        </w:rPr>
        <w:t>II                   19                                  40%</w:t>
      </w:r>
    </w:p>
    <w:p>
      <w:pPr>
        <w:tabs>
          <w:tab w:val="left" w:pos="3005"/>
        </w:tabs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Grade III                   21                                 43.3%</w:t>
      </w:r>
    </w:p>
    <w:p>
      <w:pPr>
        <w:tabs>
          <w:tab w:val="left" w:pos="3057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Unknown                  8                                  16.7%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TNM Staging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I + II                      21                                 43.8%   </w:t>
      </w:r>
    </w:p>
    <w:p>
      <w:pPr>
        <w:tabs>
          <w:tab w:val="left" w:pos="6670"/>
        </w:tabs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III                        27                                 56.2%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 stage</w:t>
      </w:r>
    </w:p>
    <w:p>
      <w:pPr>
        <w:tabs>
          <w:tab w:val="left" w:pos="2876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T1                       10                                 20.8%</w:t>
      </w:r>
    </w:p>
    <w:p>
      <w:pPr>
        <w:tabs>
          <w:tab w:val="left" w:pos="2980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T2                       33                                 68.8%</w:t>
      </w:r>
    </w:p>
    <w:p>
      <w:pPr>
        <w:tabs>
          <w:tab w:val="left" w:pos="3018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T3                       5                                  10.4%  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N stage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N0                       9                                  18.8%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N1                       18                                 37.4%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N2                       10                                 20.8%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N3                       11                                 23%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Ki</w:t>
      </w:r>
      <w:r>
        <w:rPr>
          <w:rFonts w:hint="eastAsia"/>
          <w:sz w:val="21"/>
          <w:szCs w:val="21"/>
          <w:lang w:val="en-US" w:eastAsia="zh-CN"/>
        </w:rPr>
        <w:t>-</w:t>
      </w:r>
      <w:r>
        <w:rPr>
          <w:rFonts w:hint="default"/>
          <w:sz w:val="21"/>
          <w:szCs w:val="21"/>
          <w:lang w:val="en-US" w:eastAsia="zh-CN"/>
        </w:rPr>
        <w:t>67,%</w:t>
      </w:r>
    </w:p>
    <w:p>
      <w:pP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≤14                     7                                   14.6%</w:t>
      </w:r>
    </w:p>
    <w:p>
      <w:pPr>
        <w:pBdr>
          <w:bottom w:val="single" w:color="auto" w:sz="4" w:space="0"/>
        </w:pBd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＞15                     41                                  85.4%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5-year overall survival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＜5                      21                                  43.8%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＞5                      27                                  56.2%</w:t>
      </w:r>
    </w:p>
    <w:p>
      <w:pPr>
        <w:rPr>
          <w:rFonts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Continuous variables were expressed as mean ± SD &amp; median (range); categorical vari-ables were expressed as number (percentage)</w:t>
      </w:r>
      <w:r>
        <w:rPr>
          <w:rFonts w:hint="eastAsia"/>
          <w:sz w:val="21"/>
          <w:szCs w:val="21"/>
          <w:lang w:val="en-US" w:eastAsia="zh-CN"/>
        </w:rPr>
        <w:t>.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 2</w:t>
      </w:r>
    </w:p>
    <w:p>
      <w:pPr>
        <w:pBdr>
          <w:bottom w:val="single" w:color="auto" w:sz="4" w:space="0"/>
        </w:pBd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 xml:space="preserve">Associations between </w:t>
      </w:r>
      <w:r>
        <w:rPr>
          <w:rFonts w:hint="eastAsia"/>
          <w:sz w:val="21"/>
          <w:szCs w:val="21"/>
          <w:lang w:val="en-US" w:eastAsia="zh-CN"/>
        </w:rPr>
        <w:t>PROM1/CD133</w:t>
      </w:r>
      <w:r>
        <w:rPr>
          <w:rFonts w:hint="eastAsia"/>
          <w:sz w:val="21"/>
          <w:szCs w:val="21"/>
        </w:rPr>
        <w:t xml:space="preserve">, </w:t>
      </w:r>
      <w:r>
        <w:rPr>
          <w:rFonts w:hint="eastAsia"/>
          <w:sz w:val="21"/>
          <w:szCs w:val="21"/>
          <w:lang w:val="en-US" w:eastAsia="zh-CN"/>
        </w:rPr>
        <w:t xml:space="preserve">NOTCH2,CDK4 </w:t>
      </w:r>
      <w:r>
        <w:rPr>
          <w:rFonts w:hint="eastAsia"/>
          <w:sz w:val="21"/>
          <w:szCs w:val="21"/>
        </w:rPr>
        <w:t xml:space="preserve">expression and clinicopathologic features in </w:t>
      </w:r>
      <w:r>
        <w:rPr>
          <w:rFonts w:hint="eastAsia"/>
          <w:sz w:val="21"/>
          <w:szCs w:val="21"/>
          <w:lang w:val="en-US" w:eastAsia="zh-CN"/>
        </w:rPr>
        <w:t xml:space="preserve">TNBC </w:t>
      </w:r>
      <w:r>
        <w:rPr>
          <w:rFonts w:hint="eastAsia"/>
          <w:sz w:val="21"/>
          <w:szCs w:val="21"/>
        </w:rPr>
        <w:t>patients</w:t>
      </w:r>
      <w:r>
        <w:rPr>
          <w:rFonts w:hint="eastAsia"/>
          <w:sz w:val="21"/>
          <w:szCs w:val="21"/>
          <w:lang w:eastAsia="zh-CN"/>
        </w:rPr>
        <w:t>.</w:t>
      </w: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</w:rPr>
      </w:pP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 xml:space="preserve">Characteristics </w:t>
      </w:r>
      <w:r>
        <w:rPr>
          <w:rFonts w:hint="eastAsia"/>
          <w:sz w:val="21"/>
          <w:szCs w:val="21"/>
          <w:lang w:val="en-US" w:eastAsia="zh-CN"/>
        </w:rPr>
        <w:t xml:space="preserve">       PROM1/CD133 expression             NOTCH2 expression </w:t>
      </w:r>
    </w:p>
    <w:p>
      <w:pPr>
        <w:pBdr>
          <w:top w:val="single" w:color="auto" w:sz="4" w:space="0"/>
          <w:bottom w:val="single" w:color="auto" w:sz="4" w:space="0"/>
        </w:pBd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___________________  </w:t>
      </w:r>
      <w:r>
        <w:rPr>
          <w:rFonts w:hint="eastAsia"/>
          <w:sz w:val="21"/>
          <w:szCs w:val="21"/>
          <w:lang w:val="en-US" w:eastAsia="zh-CN"/>
        </w:rPr>
        <w:t xml:space="preserve">P-value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__________________    </w:t>
      </w:r>
      <w:r>
        <w:rPr>
          <w:rFonts w:hint="eastAsia"/>
          <w:sz w:val="21"/>
          <w:szCs w:val="21"/>
          <w:lang w:val="en-US" w:eastAsia="zh-CN"/>
        </w:rPr>
        <w:t>P-value</w:t>
      </w:r>
    </w:p>
    <w:p>
      <w:pPr>
        <w:pBdr>
          <w:top w:val="single" w:color="auto" w:sz="4" w:space="0"/>
          <w:bottom w:val="single" w:color="auto" w:sz="4" w:space="0"/>
        </w:pBdr>
        <w:ind w:firstLine="2310" w:firstLineChars="1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Low（%） High（%）             Low（%） High（%）</w:t>
      </w: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Age (year)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0.626                           0.128</w:t>
      </w:r>
    </w:p>
    <w:p>
      <w:pPr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≤35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3（50%）  3（50%）           1 (46%)    5(54%)   </w:t>
      </w:r>
    </w:p>
    <w:p>
      <w:pPr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35-60               12（44%） 15（56%）          16(59%)    11(41%)</w:t>
      </w:r>
    </w:p>
    <w:p>
      <w:pPr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＞60                9（60%）  6（40%）           6（40%）  9（60%）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Histological grade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0.962                           0.024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 xml:space="preserve"> Grade I </w:t>
      </w:r>
      <w:r>
        <w:rPr>
          <w:rFonts w:hint="eastAsia"/>
          <w:sz w:val="21"/>
          <w:szCs w:val="21"/>
          <w:lang w:val="en-US" w:eastAsia="zh-CN"/>
        </w:rPr>
        <w:t>+II            8（42%）  11(58%)            5(26%)     14(74%)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Grade III             9 (43%)    12(57%)             13(62%)    8(38%)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TNM staging                                0.383                           0.536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I + II                 12(57%)    9 (43%)            9（43%）   12（57%） 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III+IV                12（44%） 15（56%）         14（51%）  13（49%）</w:t>
      </w:r>
    </w:p>
    <w:p>
      <w:pPr>
        <w:tabs>
          <w:tab w:val="left" w:pos="7689"/>
        </w:tabs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 stage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0.102        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0.760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T1                  8（80%）  2（20%)            4(40%)      6(60%)</w:t>
      </w:r>
    </w:p>
    <w:p>
      <w:pPr>
        <w:tabs>
          <w:tab w:val="left" w:pos="2270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T2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>14(42%）  19（58%）          16（48%）  17（52%）</w:t>
      </w:r>
    </w:p>
    <w:p>
      <w:pPr>
        <w:tabs>
          <w:tab w:val="left" w:pos="2180"/>
        </w:tabs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T3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2（40%）  3（60%）           3（60%）   2（40%）</w:t>
      </w:r>
    </w:p>
    <w:p>
      <w:pPr>
        <w:tabs>
          <w:tab w:val="center" w:pos="4153"/>
          <w:tab w:val="left" w:pos="7651"/>
        </w:tabs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N stage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         0.289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0.512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N0                 7(78%)     2(22%)              3(33%)      6(67%)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N1                 7(39%)     11(61%)             11(61%)     7(39%)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N2                 5(50%)     5(50%)              4(40%)      6(60%)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N3                 5(45%)     6(55%）             5（45%）   6（55%）</w:t>
      </w:r>
    </w:p>
    <w:p>
      <w:pPr>
        <w:tabs>
          <w:tab w:val="left" w:pos="2296"/>
        </w:tabs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center" w:pos="4153"/>
          <w:tab w:val="left" w:pos="7586"/>
        </w:tabs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Ki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67,%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0.220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0.129</w:t>
      </w:r>
    </w:p>
    <w:p>
      <w:pP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≤14               5（71%）   2（29%）           1（14%）   6（86%）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＞15               19（46%）  22（54%）          22（54%）  19（46%）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5-year overall survival             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0.009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0.087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＜5                6（29%）    15（71%）         13（62%）  8（38%）</w:t>
      </w:r>
    </w:p>
    <w:p>
      <w:pPr>
        <w:pBdr>
          <w:bottom w:val="single" w:color="auto" w:sz="4" w:space="0"/>
        </w:pBdr>
        <w:rPr>
          <w:rFonts w:hint="default"/>
          <w:color w:val="0000FF"/>
          <w:sz w:val="21"/>
          <w:szCs w:val="21"/>
          <w:lang w:val="en-US" w:eastAsia="zh-CN"/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＞5                18（67%）   9（33%）          10（37%）  17（63%）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Table2</w:t>
      </w:r>
    </w:p>
    <w:p>
      <w:pPr>
        <w:pBdr>
          <w:bottom w:val="single" w:color="auto" w:sz="4" w:space="0"/>
        </w:pBd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 xml:space="preserve">Associations between </w:t>
      </w:r>
      <w:r>
        <w:rPr>
          <w:rFonts w:hint="eastAsia"/>
          <w:sz w:val="21"/>
          <w:szCs w:val="21"/>
          <w:lang w:val="en-US" w:eastAsia="zh-CN"/>
        </w:rPr>
        <w:t>PROM1/CD133</w:t>
      </w:r>
      <w:r>
        <w:rPr>
          <w:rFonts w:hint="eastAsia"/>
          <w:sz w:val="21"/>
          <w:szCs w:val="21"/>
        </w:rPr>
        <w:t xml:space="preserve">, </w:t>
      </w:r>
      <w:r>
        <w:rPr>
          <w:rFonts w:hint="eastAsia"/>
          <w:sz w:val="21"/>
          <w:szCs w:val="21"/>
          <w:lang w:val="en-US" w:eastAsia="zh-CN"/>
        </w:rPr>
        <w:t xml:space="preserve">NOTCH2,CDK4 </w:t>
      </w:r>
      <w:r>
        <w:rPr>
          <w:rFonts w:hint="eastAsia"/>
          <w:sz w:val="21"/>
          <w:szCs w:val="21"/>
        </w:rPr>
        <w:t>expression and clinicopathologic features in</w:t>
      </w:r>
      <w:r>
        <w:rPr>
          <w:rFonts w:hint="eastAsia"/>
          <w:sz w:val="21"/>
          <w:szCs w:val="21"/>
          <w:lang w:val="en-US" w:eastAsia="zh-CN"/>
        </w:rPr>
        <w:t xml:space="preserve"> TNBC  </w:t>
      </w:r>
      <w:r>
        <w:rPr>
          <w:rFonts w:hint="eastAsia"/>
          <w:sz w:val="21"/>
          <w:szCs w:val="21"/>
        </w:rPr>
        <w:t>patients</w:t>
      </w:r>
      <w:r>
        <w:rPr>
          <w:rFonts w:hint="eastAsia"/>
          <w:sz w:val="21"/>
          <w:szCs w:val="21"/>
          <w:lang w:eastAsia="zh-CN"/>
        </w:rPr>
        <w:t>.</w:t>
      </w: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</w:rPr>
      </w:pPr>
    </w:p>
    <w:p>
      <w:pPr>
        <w:pBdr>
          <w:top w:val="single" w:color="auto" w:sz="4" w:space="0"/>
          <w:bottom w:val="single" w:color="auto" w:sz="4" w:space="0"/>
        </w:pBd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 xml:space="preserve">Characteristics </w:t>
      </w:r>
      <w:r>
        <w:rPr>
          <w:rFonts w:hint="eastAsia"/>
          <w:sz w:val="21"/>
          <w:szCs w:val="21"/>
          <w:lang w:val="en-US" w:eastAsia="zh-CN"/>
        </w:rPr>
        <w:t xml:space="preserve">                         CDK4 expression                </w:t>
      </w:r>
    </w:p>
    <w:p>
      <w:pPr>
        <w:pBdr>
          <w:top w:val="single" w:color="auto" w:sz="4" w:space="0"/>
          <w:bottom w:val="single" w:color="auto" w:sz="4" w:space="0"/>
        </w:pBd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______________________           </w:t>
      </w:r>
      <w:r>
        <w:rPr>
          <w:rFonts w:hint="eastAsia"/>
          <w:sz w:val="21"/>
          <w:szCs w:val="21"/>
          <w:lang w:val="en-US" w:eastAsia="zh-CN"/>
        </w:rPr>
        <w:t xml:space="preserve">P-value  </w:t>
      </w:r>
    </w:p>
    <w:p>
      <w:pPr>
        <w:pBdr>
          <w:top w:val="single" w:color="auto" w:sz="4" w:space="0"/>
          <w:bottom w:val="single" w:color="auto" w:sz="4" w:space="0"/>
        </w:pBdr>
        <w:ind w:firstLine="3570" w:firstLineChars="17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Low（%）      High（%）   </w:t>
      </w:r>
    </w:p>
    <w:p>
      <w:pPr>
        <w:pBdr>
          <w:top w:val="single" w:color="auto" w:sz="4" w:space="0"/>
          <w:bottom w:val="single" w:color="auto" w:sz="4" w:space="0"/>
        </w:pBdr>
        <w:ind w:firstLine="2310" w:firstLineChars="11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Age (year)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  0.038                     </w:t>
      </w:r>
    </w:p>
    <w:p>
      <w:pPr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≤35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0            6（100%）           </w:t>
      </w:r>
    </w:p>
    <w:p>
      <w:pPr>
        <w:ind w:firstLine="210" w:firstLineChars="100"/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35-60                             14（52%）    13（48%）           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＞60                              9（60%）     6（40%）</w:t>
      </w:r>
      <w:r>
        <w:rPr>
          <w:rFonts w:hint="eastAsia"/>
          <w:sz w:val="21"/>
          <w:szCs w:val="21"/>
          <w:lang w:val="en-US" w:eastAsia="zh-CN"/>
        </w:rPr>
        <w:t xml:space="preserve">          </w:t>
      </w:r>
      <w:r>
        <w:rPr>
          <w:rFonts w:hint="eastAsia"/>
          <w:color w:val="0000FF"/>
          <w:sz w:val="21"/>
          <w:szCs w:val="21"/>
          <w:lang w:val="en-US" w:eastAsia="zh-CN"/>
        </w:rPr>
        <w:t xml:space="preserve">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Histological grade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0.796           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 xml:space="preserve"> Grade I </w:t>
      </w:r>
      <w:r>
        <w:rPr>
          <w:rFonts w:hint="eastAsia"/>
          <w:sz w:val="21"/>
          <w:szCs w:val="21"/>
          <w:lang w:val="en-US" w:eastAsia="zh-CN"/>
        </w:rPr>
        <w:t xml:space="preserve">+II                          8(89%)        1(11%)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Grade III                           8(38%)        13(62%)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TNM staging                                                           0.074                          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I + II                               7(33%)        14(67%)            </w:t>
      </w:r>
    </w:p>
    <w:p>
      <w:pPr>
        <w:ind w:firstLine="210" w:firstLineChars="1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III                                16(59%)       11(41%)             </w:t>
      </w:r>
      <w:r>
        <w:rPr>
          <w:rFonts w:hint="eastAsia"/>
          <w:color w:val="0000FF"/>
          <w:sz w:val="21"/>
          <w:szCs w:val="21"/>
          <w:lang w:val="en-US" w:eastAsia="zh-CN"/>
        </w:rPr>
        <w:t xml:space="preserve">         </w:t>
      </w:r>
    </w:p>
    <w:p>
      <w:pPr>
        <w:tabs>
          <w:tab w:val="center" w:pos="4153"/>
          <w:tab w:val="left" w:pos="7560"/>
        </w:tabs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 stage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    0.929</w:t>
      </w:r>
      <w:r>
        <w:rPr>
          <w:rFonts w:hint="eastAsia"/>
          <w:sz w:val="21"/>
          <w:szCs w:val="21"/>
          <w:lang w:val="en-US" w:eastAsia="zh-CN"/>
        </w:rPr>
        <w:tab/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T1                                5(50%)        5(50%) 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T2                                16(48%)       17(52%)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T3                                2 (40%)        3(60%) 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default"/>
          <w:sz w:val="21"/>
          <w:szCs w:val="21"/>
          <w:lang w:val="en-US" w:eastAsia="zh-CN"/>
        </w:rPr>
        <w:t>N stage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   0.471                          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N0                                5 (56%)       4 (44%)            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N1                                6（33%）     12(64%)         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N2                                6（60%）     4(40%)             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N3                                6 (55%)       5(45%)            </w:t>
      </w:r>
    </w:p>
    <w:p>
      <w:pP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Ki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67,%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0.905                          </w:t>
      </w:r>
    </w:p>
    <w:p>
      <w:pP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≤14                              4(57%)        3(43%)              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＞15                              19(46%)       22(54%)             </w:t>
      </w:r>
    </w:p>
    <w:p>
      <w:pPr>
        <w:pBdr>
          <w:bottom w:val="single" w:color="auto" w:sz="4" w:space="0"/>
        </w:pBdr>
        <w:rPr>
          <w:rFonts w:hint="default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5-year overall survival              </w:t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0.585                         </w:t>
      </w:r>
    </w:p>
    <w:p>
      <w:pPr>
        <w:pBdr>
          <w:bottom w:val="single" w:color="auto" w:sz="4" w:space="0"/>
        </w:pBd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＜5                              11（52%）    10（48%）           </w:t>
      </w:r>
    </w:p>
    <w:p>
      <w:pPr>
        <w:pBdr>
          <w:bottom w:val="single" w:color="auto" w:sz="4" w:space="0"/>
        </w:pBd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＞5                              12（44%）    15（56%）</w:t>
      </w:r>
      <w:r>
        <w:rPr>
          <w:rFonts w:hint="eastAsia"/>
          <w:color w:val="0000FF"/>
          <w:sz w:val="21"/>
          <w:szCs w:val="21"/>
          <w:lang w:val="en-US" w:eastAsia="zh-CN"/>
        </w:rPr>
        <w:t xml:space="preserve">        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Table3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 xml:space="preserve">Correlations among 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val="en-US" w:eastAsia="zh-CN"/>
        </w:rPr>
        <w:t>PROM1/CD133</w:t>
      </w: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 xml:space="preserve"> expression,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val="en-US" w:eastAsia="zh-CN"/>
        </w:rPr>
        <w:t>NOTCH2</w:t>
      </w: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 xml:space="preserve"> expression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val="en-US" w:eastAsia="zh-CN"/>
        </w:rPr>
        <w:t xml:space="preserve"> and CDK4</w:t>
      </w: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 xml:space="preserve"> expression  in 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val="en-US" w:eastAsia="zh-CN"/>
        </w:rPr>
        <w:t>TNBC</w:t>
      </w: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 xml:space="preserve"> (n = 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val="en-US" w:eastAsia="zh-CN"/>
        </w:rPr>
        <w:t>48</w:t>
      </w:r>
      <w:r>
        <w:rPr>
          <w:rFonts w:hint="default" w:ascii="Georgia" w:hAnsi="Georgia" w:eastAsia="Georgia" w:cs="Georgia"/>
          <w:i w:val="0"/>
          <w:iCs w:val="0"/>
          <w:caps w:val="0"/>
          <w:color w:val="2E2E2E"/>
          <w:spacing w:val="0"/>
          <w:sz w:val="19"/>
          <w:szCs w:val="19"/>
        </w:rPr>
        <w:t>)</w:t>
      </w:r>
      <w:r>
        <w:rPr>
          <w:rFonts w:hint="eastAsia" w:ascii="Georgia" w:hAnsi="Georgia" w:eastAsia="宋体" w:cs="Georgia"/>
          <w:i w:val="0"/>
          <w:iCs w:val="0"/>
          <w:caps w:val="0"/>
          <w:color w:val="2E2E2E"/>
          <w:spacing w:val="0"/>
          <w:sz w:val="19"/>
          <w:szCs w:val="19"/>
          <w:lang w:eastAsia="zh-CN"/>
        </w:rPr>
        <w:t>.</w:t>
      </w:r>
    </w:p>
    <w:p>
      <w:pPr>
        <w:pBdr>
          <w:bottom w:val="none" w:color="auto" w:sz="0" w:space="0"/>
        </w:pBd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pBdr>
          <w:top w:val="single" w:color="auto" w:sz="4" w:space="0"/>
          <w:bottom w:val="single" w:color="auto" w:sz="4" w:space="0"/>
        </w:pBd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NOTCH2        PROM1/CD133        CDK4</w:t>
      </w:r>
    </w:p>
    <w:p>
      <w:pPr>
        <w:tabs>
          <w:tab w:val="left" w:pos="6799"/>
        </w:tabs>
        <w:bidi w:val="0"/>
        <w:jc w:val="left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                                               NOTCH2                                R= </w:t>
      </w:r>
      <w:r>
        <w:rPr>
          <w:rFonts w:hint="default"/>
          <w:sz w:val="21"/>
          <w:szCs w:val="21"/>
        </w:rPr>
        <w:t>-</w:t>
      </w:r>
      <w:r>
        <w:rPr>
          <w:rFonts w:hint="eastAsia"/>
          <w:sz w:val="21"/>
          <w:szCs w:val="21"/>
          <w:lang w:val="en-US" w:eastAsia="zh-CN"/>
        </w:rPr>
        <w:t>0</w:t>
      </w:r>
      <w:r>
        <w:rPr>
          <w:rFonts w:hint="eastAsia"/>
          <w:sz w:val="21"/>
          <w:szCs w:val="21"/>
          <w:lang w:eastAsia="zh-CN"/>
        </w:rPr>
        <w:t>.</w:t>
      </w:r>
      <w:r>
        <w:rPr>
          <w:rFonts w:hint="default"/>
          <w:sz w:val="21"/>
          <w:szCs w:val="21"/>
        </w:rPr>
        <w:t>042</w:t>
      </w:r>
      <w:r>
        <w:rPr>
          <w:rFonts w:hint="eastAsia"/>
          <w:sz w:val="21"/>
          <w:szCs w:val="21"/>
          <w:lang w:val="en-US" w:eastAsia="zh-CN"/>
        </w:rPr>
        <w:t xml:space="preserve">          R= 0.</w:t>
      </w:r>
      <w:r>
        <w:rPr>
          <w:rFonts w:hint="default"/>
          <w:sz w:val="21"/>
          <w:szCs w:val="21"/>
        </w:rPr>
        <w:t>332</w:t>
      </w:r>
    </w:p>
    <w:p>
      <w:pPr>
        <w:tabs>
          <w:tab w:val="left" w:pos="6799"/>
        </w:tabs>
        <w:bidi w:val="0"/>
        <w:jc w:val="left"/>
        <w:rPr>
          <w:rFonts w:hint="default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P=0</w:t>
      </w:r>
      <w:r>
        <w:rPr>
          <w:rFonts w:hint="eastAsia"/>
          <w:sz w:val="21"/>
          <w:szCs w:val="21"/>
          <w:lang w:eastAsia="zh-CN"/>
        </w:rPr>
        <w:t>.</w:t>
      </w:r>
      <w:r>
        <w:rPr>
          <w:rFonts w:hint="default"/>
          <w:sz w:val="21"/>
          <w:szCs w:val="21"/>
        </w:rPr>
        <w:t>778</w:t>
      </w:r>
      <w:r>
        <w:rPr>
          <w:rFonts w:hint="eastAsia"/>
          <w:sz w:val="21"/>
          <w:szCs w:val="21"/>
          <w:lang w:val="en-US" w:eastAsia="zh-CN"/>
        </w:rPr>
        <w:t xml:space="preserve">           </w:t>
      </w: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P=0</w:t>
      </w:r>
      <w:r>
        <w:rPr>
          <w:rFonts w:hint="eastAsia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021</w:t>
      </w:r>
    </w:p>
    <w:p>
      <w:pPr>
        <w:tabs>
          <w:tab w:val="left" w:pos="6799"/>
        </w:tabs>
        <w:bidi w:val="0"/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PROM1/CD133                                            R=0</w:t>
      </w:r>
      <w:r>
        <w:rPr>
          <w:rFonts w:hint="eastAsia"/>
          <w:sz w:val="21"/>
          <w:szCs w:val="21"/>
          <w:lang w:eastAsia="zh-CN"/>
        </w:rPr>
        <w:t>.</w:t>
      </w:r>
      <w:r>
        <w:rPr>
          <w:rFonts w:hint="default"/>
          <w:sz w:val="21"/>
          <w:szCs w:val="21"/>
        </w:rPr>
        <w:t>292</w:t>
      </w:r>
    </w:p>
    <w:p>
      <w:pPr>
        <w:tabs>
          <w:tab w:val="left" w:pos="6799"/>
        </w:tabs>
        <w:bidi w:val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P=0</w:t>
      </w:r>
      <w:r>
        <w:rPr>
          <w:rFonts w:hint="eastAsia"/>
          <w:b/>
          <w:bCs/>
          <w:i/>
          <w:iCs/>
          <w:sz w:val="21"/>
          <w:szCs w:val="21"/>
          <w:lang w:eastAsia="zh-CN"/>
        </w:rPr>
        <w:t>.</w:t>
      </w:r>
      <w:r>
        <w:rPr>
          <w:rFonts w:hint="default"/>
          <w:b/>
          <w:bCs/>
          <w:i/>
          <w:iCs/>
          <w:sz w:val="21"/>
          <w:szCs w:val="21"/>
        </w:rPr>
        <w:t>044</w:t>
      </w:r>
    </w:p>
    <w:p>
      <w:pPr>
        <w:pBdr>
          <w:bottom w:val="single" w:color="auto" w:sz="4" w:space="0"/>
        </w:pBdr>
        <w:tabs>
          <w:tab w:val="left" w:pos="6799"/>
        </w:tabs>
        <w:bidi w:val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</w:p>
    <w:p>
      <w:pPr>
        <w:tabs>
          <w:tab w:val="left" w:pos="666"/>
        </w:tabs>
        <w:bidi w:val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Table4</w:t>
      </w:r>
    </w:p>
    <w:p>
      <w:pPr>
        <w:pBdr>
          <w:bottom w:val="single" w:color="auto" w:sz="4" w:space="0"/>
        </w:pBd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Prognostic factors for overall survival  in </w:t>
      </w:r>
      <w:r>
        <w:rPr>
          <w:rFonts w:hint="eastAsia"/>
          <w:lang w:val="en-US" w:eastAsia="zh-CN"/>
        </w:rPr>
        <w:t>TNBC</w:t>
      </w:r>
      <w:r>
        <w:rPr>
          <w:rFonts w:hint="default"/>
          <w:lang w:val="en-US" w:eastAsia="zh-CN"/>
        </w:rPr>
        <w:t xml:space="preserve"> patients</w:t>
      </w:r>
      <w:r>
        <w:rPr>
          <w:rFonts w:hint="eastAsia"/>
          <w:lang w:val="en-US" w:eastAsia="zh-CN"/>
        </w:rPr>
        <w:t>.</w:t>
      </w:r>
    </w:p>
    <w:p>
      <w:p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Survival analysis</w:t>
      </w:r>
      <w:r>
        <w:rPr>
          <w:rFonts w:hint="eastAsia"/>
          <w:lang w:val="en-US" w:eastAsia="zh-CN"/>
        </w:rPr>
        <w:t xml:space="preserve">                              Overall survival</w:t>
      </w:r>
    </w:p>
    <w:p>
      <w:p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_____________________________________________________</w:t>
      </w:r>
    </w:p>
    <w:p>
      <w:p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Variables                    Univariate analysis          Multivariate analysis</w:t>
      </w:r>
    </w:p>
    <w:p>
      <w:pPr>
        <w:numPr>
          <w:ilvl w:val="0"/>
          <w:numId w:val="1"/>
        </w:numPr>
        <w:tabs>
          <w:tab w:val="left" w:pos="6799"/>
        </w:tabs>
        <w:bidi w:val="0"/>
        <w:ind w:left="315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value                 P-value      HR (95 % CI)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Age</w:t>
      </w:r>
      <w:r>
        <w:rPr>
          <w:rFonts w:hint="eastAsia"/>
          <w:lang w:val="en-US" w:eastAsia="zh-CN"/>
        </w:rPr>
        <w:t xml:space="preserve">（year)                  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≤35 VS 35-60 VS ≥60            0.066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Histologic grade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 xml:space="preserve"> VS 1+2                        0.841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pT stage 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T2-</w:t>
      </w:r>
      <w:r>
        <w:rPr>
          <w:rFonts w:hint="eastAsia"/>
          <w:lang w:val="en-US" w:eastAsia="zh-CN"/>
        </w:rPr>
        <w:t>3 VS T1                      0.164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pN stage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N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-</w:t>
      </w:r>
      <w:r>
        <w:rPr>
          <w:rFonts w:hint="eastAsia"/>
          <w:lang w:val="en-US" w:eastAsia="zh-CN"/>
        </w:rPr>
        <w:t xml:space="preserve">3 VS N1                     </w:t>
      </w:r>
      <w:r>
        <w:rPr>
          <w:rFonts w:hint="eastAsia"/>
          <w:b/>
          <w:bCs/>
          <w:lang w:val="en-US" w:eastAsia="zh-CN"/>
        </w:rPr>
        <w:t>0.030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TNM stgage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default"/>
          <w:b/>
          <w:bCs/>
          <w:lang w:val="en-US" w:eastAsia="zh-CN"/>
        </w:rPr>
      </w:pPr>
      <w:r>
        <w:rPr>
          <w:rFonts w:hint="default"/>
          <w:lang w:val="en-US" w:eastAsia="zh-CN"/>
        </w:rPr>
        <w:t xml:space="preserve"> II</w:t>
      </w:r>
      <w:r>
        <w:rPr>
          <w:rFonts w:hint="eastAsia"/>
          <w:lang w:val="en-US" w:eastAsia="zh-CN"/>
        </w:rPr>
        <w:t xml:space="preserve">I vs I+II         </w:t>
      </w:r>
      <w:r>
        <w:rPr>
          <w:rFonts w:hint="eastAsia"/>
          <w:b/>
          <w:bCs/>
          <w:lang w:val="en-US" w:eastAsia="zh-CN"/>
        </w:rPr>
        <w:t xml:space="preserve">            ＜0.001              </w:t>
      </w:r>
      <w:r>
        <w:rPr>
          <w:rFonts w:hint="eastAsia"/>
          <w:b w:val="0"/>
          <w:bCs w:val="0"/>
          <w:lang w:val="en-US" w:eastAsia="zh-CN"/>
        </w:rPr>
        <w:t xml:space="preserve">   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eastAsia"/>
          <w:b/>
          <w:bCs/>
          <w:color w:val="000000" w:themeColor="text1"/>
          <w:sz w:val="18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b/>
          <w:bCs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>00</w:t>
      </w:r>
      <w:r>
        <w:rPr>
          <w:rFonts w:hint="eastAsia"/>
          <w:b/>
          <w:bCs/>
          <w:color w:val="000000" w:themeColor="text1"/>
          <w:sz w:val="18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/>
          <w:sz w:val="18"/>
          <w:szCs w:val="24"/>
          <w:lang w:val="en-US" w:eastAsia="zh-CN"/>
        </w:rPr>
        <w:t xml:space="preserve">    0.065(0.14-0.311)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Ki67(＞15%）                  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High VS Low                    0.458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PROM1/CD133 expression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High VS Low                   </w:t>
      </w:r>
      <w:r>
        <w:rPr>
          <w:rFonts w:hint="eastAsia"/>
          <w:b/>
          <w:bCs/>
          <w:lang w:val="en-US" w:eastAsia="zh-CN"/>
        </w:rPr>
        <w:t xml:space="preserve"> 0.005                   0 </w:t>
      </w:r>
      <w:r>
        <w:rPr>
          <w:rFonts w:hint="eastAsia"/>
          <w:b/>
          <w:bCs/>
          <w:sz w:val="18"/>
          <w:szCs w:val="24"/>
          <w:lang w:eastAsia="zh-CN"/>
        </w:rPr>
        <w:t>.</w:t>
      </w:r>
      <w:r>
        <w:rPr>
          <w:rFonts w:hint="default"/>
          <w:b/>
          <w:bCs/>
          <w:sz w:val="18"/>
          <w:szCs w:val="24"/>
        </w:rPr>
        <w:t>00</w:t>
      </w:r>
      <w:r>
        <w:rPr>
          <w:rFonts w:hint="eastAsia"/>
          <w:b/>
          <w:bCs/>
          <w:sz w:val="18"/>
          <w:szCs w:val="24"/>
          <w:lang w:val="en-US" w:eastAsia="zh-CN"/>
        </w:rPr>
        <w:t xml:space="preserve">7   </w:t>
      </w:r>
      <w:r>
        <w:rPr>
          <w:rFonts w:hint="eastAsia"/>
          <w:sz w:val="18"/>
          <w:szCs w:val="24"/>
          <w:lang w:val="en-US" w:eastAsia="zh-CN"/>
        </w:rPr>
        <w:t xml:space="preserve">  0 </w:t>
      </w:r>
      <w:r>
        <w:rPr>
          <w:rFonts w:hint="eastAsia"/>
          <w:sz w:val="18"/>
          <w:szCs w:val="24"/>
          <w:lang w:eastAsia="zh-CN"/>
        </w:rPr>
        <w:t>.</w:t>
      </w:r>
      <w:r>
        <w:rPr>
          <w:rFonts w:hint="eastAsia"/>
          <w:sz w:val="18"/>
          <w:szCs w:val="24"/>
          <w:lang w:val="en-US" w:eastAsia="zh-CN"/>
        </w:rPr>
        <w:t>1</w:t>
      </w:r>
      <w:r>
        <w:rPr>
          <w:rFonts w:hint="default"/>
          <w:sz w:val="18"/>
          <w:szCs w:val="24"/>
        </w:rPr>
        <w:t>6</w:t>
      </w:r>
      <w:r>
        <w:rPr>
          <w:rFonts w:hint="eastAsia"/>
          <w:sz w:val="18"/>
          <w:szCs w:val="24"/>
          <w:lang w:val="en-US" w:eastAsia="zh-CN"/>
        </w:rPr>
        <w:t>6(0</w:t>
      </w:r>
      <w:r>
        <w:rPr>
          <w:rFonts w:hint="eastAsia"/>
          <w:sz w:val="18"/>
          <w:szCs w:val="24"/>
          <w:lang w:eastAsia="zh-CN"/>
        </w:rPr>
        <w:t>.</w:t>
      </w:r>
      <w:r>
        <w:rPr>
          <w:rFonts w:hint="default"/>
          <w:sz w:val="18"/>
          <w:szCs w:val="24"/>
        </w:rPr>
        <w:t>0</w:t>
      </w:r>
      <w:r>
        <w:rPr>
          <w:rFonts w:hint="eastAsia"/>
          <w:sz w:val="18"/>
          <w:szCs w:val="24"/>
          <w:lang w:val="en-US" w:eastAsia="zh-CN"/>
        </w:rPr>
        <w:t>45-0</w:t>
      </w:r>
      <w:r>
        <w:rPr>
          <w:rFonts w:hint="eastAsia"/>
          <w:sz w:val="18"/>
          <w:szCs w:val="24"/>
          <w:lang w:eastAsia="zh-CN"/>
        </w:rPr>
        <w:t>.</w:t>
      </w:r>
      <w:r>
        <w:rPr>
          <w:rFonts w:hint="default"/>
          <w:sz w:val="18"/>
          <w:szCs w:val="24"/>
        </w:rPr>
        <w:t>6</w:t>
      </w:r>
      <w:r>
        <w:rPr>
          <w:rFonts w:hint="eastAsia"/>
          <w:sz w:val="18"/>
          <w:szCs w:val="24"/>
          <w:lang w:val="en-US" w:eastAsia="zh-CN"/>
        </w:rPr>
        <w:t>12)</w:t>
      </w:r>
    </w:p>
    <w:p>
      <w:pPr>
        <w:numPr>
          <w:ilvl w:val="0"/>
          <w:numId w:val="0"/>
        </w:numPr>
        <w:tabs>
          <w:tab w:val="left" w:pos="304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NOTCH2 expression</w:t>
      </w:r>
    </w:p>
    <w:p>
      <w:pPr>
        <w:numPr>
          <w:ilvl w:val="0"/>
          <w:numId w:val="0"/>
        </w:numPr>
        <w:tabs>
          <w:tab w:val="left" w:pos="3044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High VS Low                    0.078</w:t>
      </w:r>
    </w:p>
    <w:p>
      <w:pPr>
        <w:numPr>
          <w:ilvl w:val="0"/>
          <w:numId w:val="0"/>
        </w:numPr>
        <w:tabs>
          <w:tab w:val="left" w:pos="67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CDK4 expression</w:t>
      </w:r>
    </w:p>
    <w:p>
      <w:pPr>
        <w:numPr>
          <w:ilvl w:val="0"/>
          <w:numId w:val="0"/>
        </w:numPr>
        <w:tabs>
          <w:tab w:val="left" w:pos="6799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High VS Low                    0.677</w:t>
      </w:r>
    </w:p>
    <w:p>
      <w:pPr>
        <w:numPr>
          <w:ilvl w:val="0"/>
          <w:numId w:val="0"/>
        </w:numPr>
        <w:pBdr>
          <w:bottom w:val="single" w:color="auto" w:sz="4" w:space="0"/>
        </w:pBdr>
        <w:tabs>
          <w:tab w:val="left" w:pos="6799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61222"/>
    <w:multiLevelType w:val="singleLevel"/>
    <w:tmpl w:val="A6F61222"/>
    <w:lvl w:ilvl="0" w:tentative="0">
      <w:start w:val="16"/>
      <w:numFmt w:val="upperLetter"/>
      <w:suff w:val="nothing"/>
      <w:lvlText w:val="%1-"/>
      <w:lvlJc w:val="left"/>
      <w:pPr>
        <w:ind w:left="315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68A195F"/>
    <w:rsid w:val="002630BB"/>
    <w:rsid w:val="01233A9E"/>
    <w:rsid w:val="01D803E5"/>
    <w:rsid w:val="02300221"/>
    <w:rsid w:val="03327FC8"/>
    <w:rsid w:val="03836A76"/>
    <w:rsid w:val="03B4688D"/>
    <w:rsid w:val="04DD5D12"/>
    <w:rsid w:val="05322502"/>
    <w:rsid w:val="059A3C03"/>
    <w:rsid w:val="05D64F65"/>
    <w:rsid w:val="0644429B"/>
    <w:rsid w:val="07224C2D"/>
    <w:rsid w:val="077961C6"/>
    <w:rsid w:val="07EA0B8F"/>
    <w:rsid w:val="08B71FD2"/>
    <w:rsid w:val="0ADF27E4"/>
    <w:rsid w:val="0B350656"/>
    <w:rsid w:val="0B5A00BC"/>
    <w:rsid w:val="0BA86FFA"/>
    <w:rsid w:val="0CAF0F6A"/>
    <w:rsid w:val="0CEA36C2"/>
    <w:rsid w:val="0E6F55F8"/>
    <w:rsid w:val="0F1B1E6C"/>
    <w:rsid w:val="10E36DA6"/>
    <w:rsid w:val="11DC7A7D"/>
    <w:rsid w:val="126632EA"/>
    <w:rsid w:val="12D94372"/>
    <w:rsid w:val="12E070F9"/>
    <w:rsid w:val="12E36BE9"/>
    <w:rsid w:val="133E6515"/>
    <w:rsid w:val="14CF5677"/>
    <w:rsid w:val="155C2C83"/>
    <w:rsid w:val="159863B1"/>
    <w:rsid w:val="15BB264C"/>
    <w:rsid w:val="15FA0938"/>
    <w:rsid w:val="16520130"/>
    <w:rsid w:val="16C805D0"/>
    <w:rsid w:val="16DA0303"/>
    <w:rsid w:val="17CD49CB"/>
    <w:rsid w:val="194B3400"/>
    <w:rsid w:val="1A9133CF"/>
    <w:rsid w:val="1BD4264F"/>
    <w:rsid w:val="1E2D1660"/>
    <w:rsid w:val="1E5B7F7C"/>
    <w:rsid w:val="1F903C55"/>
    <w:rsid w:val="1FCD6C57"/>
    <w:rsid w:val="206C2914"/>
    <w:rsid w:val="215F5FD5"/>
    <w:rsid w:val="21C81DCC"/>
    <w:rsid w:val="22B14323"/>
    <w:rsid w:val="234731C4"/>
    <w:rsid w:val="23C14D25"/>
    <w:rsid w:val="23DC56BB"/>
    <w:rsid w:val="24DE36B4"/>
    <w:rsid w:val="25F72C80"/>
    <w:rsid w:val="26A74894"/>
    <w:rsid w:val="271E5FEA"/>
    <w:rsid w:val="276D792E"/>
    <w:rsid w:val="27D35027"/>
    <w:rsid w:val="27E1561F"/>
    <w:rsid w:val="28477952"/>
    <w:rsid w:val="288D5A14"/>
    <w:rsid w:val="296F0D7F"/>
    <w:rsid w:val="29BF27BE"/>
    <w:rsid w:val="2AC375D4"/>
    <w:rsid w:val="2B97636B"/>
    <w:rsid w:val="2BCA4992"/>
    <w:rsid w:val="2BD001FB"/>
    <w:rsid w:val="2C5A1872"/>
    <w:rsid w:val="2DCC2C44"/>
    <w:rsid w:val="2DD35D80"/>
    <w:rsid w:val="2E7A5A99"/>
    <w:rsid w:val="2E8050DA"/>
    <w:rsid w:val="30704FE0"/>
    <w:rsid w:val="32546D64"/>
    <w:rsid w:val="34A43FD3"/>
    <w:rsid w:val="3511718E"/>
    <w:rsid w:val="37166CDE"/>
    <w:rsid w:val="38550983"/>
    <w:rsid w:val="38912AC0"/>
    <w:rsid w:val="38CC3AF8"/>
    <w:rsid w:val="396957EB"/>
    <w:rsid w:val="39D8769D"/>
    <w:rsid w:val="3B20012B"/>
    <w:rsid w:val="3B7E058A"/>
    <w:rsid w:val="3B8A37F6"/>
    <w:rsid w:val="3C1826FE"/>
    <w:rsid w:val="3D3B2FFA"/>
    <w:rsid w:val="3DE74F30"/>
    <w:rsid w:val="3E4F1453"/>
    <w:rsid w:val="3F7F5EC0"/>
    <w:rsid w:val="42423F4B"/>
    <w:rsid w:val="44BF09B5"/>
    <w:rsid w:val="455410FD"/>
    <w:rsid w:val="47450F21"/>
    <w:rsid w:val="48E1714C"/>
    <w:rsid w:val="4C6122D6"/>
    <w:rsid w:val="4CE94821"/>
    <w:rsid w:val="4F1066BE"/>
    <w:rsid w:val="4F4144D1"/>
    <w:rsid w:val="4FC13833"/>
    <w:rsid w:val="50A8054F"/>
    <w:rsid w:val="518D5E9C"/>
    <w:rsid w:val="51E44CB3"/>
    <w:rsid w:val="53185E60"/>
    <w:rsid w:val="535D6A48"/>
    <w:rsid w:val="53740BBC"/>
    <w:rsid w:val="53E47AF0"/>
    <w:rsid w:val="54145628"/>
    <w:rsid w:val="552A3C28"/>
    <w:rsid w:val="568A195F"/>
    <w:rsid w:val="56C449A6"/>
    <w:rsid w:val="575B456D"/>
    <w:rsid w:val="581666E6"/>
    <w:rsid w:val="584D2E24"/>
    <w:rsid w:val="5853627C"/>
    <w:rsid w:val="5A43060B"/>
    <w:rsid w:val="5A7D2A4C"/>
    <w:rsid w:val="5B484E08"/>
    <w:rsid w:val="5B9242D5"/>
    <w:rsid w:val="5C7659A5"/>
    <w:rsid w:val="5DB20C5F"/>
    <w:rsid w:val="5DBB72B0"/>
    <w:rsid w:val="5E627C5F"/>
    <w:rsid w:val="5E9F11E3"/>
    <w:rsid w:val="64287ECD"/>
    <w:rsid w:val="65EE2A50"/>
    <w:rsid w:val="66177EE1"/>
    <w:rsid w:val="680365BA"/>
    <w:rsid w:val="68190098"/>
    <w:rsid w:val="68384D95"/>
    <w:rsid w:val="68C36416"/>
    <w:rsid w:val="69BD0ADC"/>
    <w:rsid w:val="69E47E59"/>
    <w:rsid w:val="6A0942FC"/>
    <w:rsid w:val="6ACE4BFE"/>
    <w:rsid w:val="6BF15048"/>
    <w:rsid w:val="6CD97FB6"/>
    <w:rsid w:val="702368A1"/>
    <w:rsid w:val="702459EC"/>
    <w:rsid w:val="708446DD"/>
    <w:rsid w:val="70D87511"/>
    <w:rsid w:val="71267542"/>
    <w:rsid w:val="71EF0548"/>
    <w:rsid w:val="72F32585"/>
    <w:rsid w:val="743C69D1"/>
    <w:rsid w:val="75151DA7"/>
    <w:rsid w:val="762A53DF"/>
    <w:rsid w:val="76432944"/>
    <w:rsid w:val="764474C4"/>
    <w:rsid w:val="78615304"/>
    <w:rsid w:val="7883021C"/>
    <w:rsid w:val="78C0027C"/>
    <w:rsid w:val="7A6B246A"/>
    <w:rsid w:val="7AB636E5"/>
    <w:rsid w:val="7B481280"/>
    <w:rsid w:val="7B58479C"/>
    <w:rsid w:val="7C8141C6"/>
    <w:rsid w:val="7C9D6A91"/>
    <w:rsid w:val="7DCE51E9"/>
    <w:rsid w:val="7DF764EE"/>
    <w:rsid w:val="7EC65EC0"/>
    <w:rsid w:val="7F6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8594</Words>
  <Characters>49073</Characters>
  <Lines>0</Lines>
  <Paragraphs>0</Paragraphs>
  <TotalTime>2</TotalTime>
  <ScaleCrop>false</ScaleCrop>
  <LinksUpToDate>false</LinksUpToDate>
  <CharactersWithSpaces>62215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2023-04-19T11:44:00Z</dcterms:created>
  <dc:creator>张平平</dc:creator>
  <cp:lastModifiedBy>张平平</cp:lastModifiedBy>
  <dcterms:modified xsi:type="dcterms:W3CDTF">2023-12-06T12:02:55Z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D5B1112BC20747E0992B317D09919AFF_11</vt:lpwstr>
  </property>
</Properties>
</file>