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A78C"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Extended Data Fig. 1</w:t>
      </w:r>
    </w:p>
    <w:p w14:paraId="41AB5690" w14:textId="77777777" w:rsidR="00ED2568" w:rsidRDefault="00000000">
      <w:pPr>
        <w:widowControl w:val="0"/>
        <w:spacing w:beforeLines="50" w:before="156" w:afterLines="50" w:after="156" w:line="480" w:lineRule="auto"/>
        <w:jc w:val="center"/>
        <w:rPr>
          <w:rFonts w:ascii="Times New Roman" w:hAnsi="Times New Roman" w:cs="Times New Roman"/>
          <w:b/>
          <w:kern w:val="2"/>
        </w:rPr>
      </w:pPr>
      <w:r>
        <w:rPr>
          <w:noProof/>
        </w:rPr>
        <w:drawing>
          <wp:inline distT="0" distB="0" distL="0" distR="0" wp14:anchorId="63FEBA5C" wp14:editId="3E403B2E">
            <wp:extent cx="6264275" cy="4559300"/>
            <wp:effectExtent l="0" t="0" r="3175" b="0"/>
            <wp:docPr id="11623781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378103"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264275" cy="4559300"/>
                    </a:xfrm>
                    <a:prstGeom prst="rect">
                      <a:avLst/>
                    </a:prstGeom>
                    <a:noFill/>
                    <a:ln>
                      <a:noFill/>
                    </a:ln>
                  </pic:spPr>
                </pic:pic>
              </a:graphicData>
            </a:graphic>
          </wp:inline>
        </w:drawing>
      </w:r>
    </w:p>
    <w:p w14:paraId="6524AEB2"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 xml:space="preserve">Extended Data Fig. 1 | Cell compositions in two regions of CMZ and NR in </w:t>
      </w:r>
      <w:bookmarkStart w:id="0" w:name="_Hlk150415653"/>
      <w:r>
        <w:rPr>
          <w:rFonts w:ascii="Times New Roman" w:hAnsi="Times New Roman" w:cs="Times New Roman"/>
          <w:b/>
          <w:kern w:val="2"/>
        </w:rPr>
        <w:t>human fetal</w:t>
      </w:r>
      <w:bookmarkEnd w:id="0"/>
      <w:r>
        <w:rPr>
          <w:rFonts w:ascii="Times New Roman" w:hAnsi="Times New Roman" w:cs="Times New Roman"/>
          <w:b/>
          <w:kern w:val="2"/>
        </w:rPr>
        <w:t xml:space="preserve"> retina. </w:t>
      </w:r>
    </w:p>
    <w:p w14:paraId="4B4EE171" w14:textId="77777777" w:rsidR="00ED2568" w:rsidRDefault="00000000">
      <w:pPr>
        <w:widowControl w:val="0"/>
        <w:spacing w:beforeLines="50" w:before="156" w:afterLines="50" w:after="156" w:line="480" w:lineRule="auto"/>
        <w:jc w:val="both"/>
        <w:rPr>
          <w:rFonts w:ascii="Times New Roman" w:eastAsiaTheme="minorEastAsia" w:hAnsi="Times New Roman" w:cs="Times New Roman"/>
          <w:color w:val="000000" w:themeColor="text1"/>
          <w:kern w:val="2"/>
          <w:sz w:val="21"/>
          <w:szCs w:val="21"/>
        </w:rPr>
      </w:pP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A</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 xml:space="preserve"> UMAP visualization showing the cell types in fetal </w:t>
      </w:r>
      <w:r>
        <w:rPr>
          <w:rFonts w:ascii="Times New Roman" w:eastAsiaTheme="minorEastAsia" w:hAnsi="Times New Roman" w:cs="Times New Roman" w:hint="eastAsia"/>
          <w:color w:val="000000" w:themeColor="text1"/>
          <w:kern w:val="2"/>
          <w:sz w:val="21"/>
          <w:szCs w:val="21"/>
        </w:rPr>
        <w:t>retina</w:t>
      </w:r>
      <w:r>
        <w:rPr>
          <w:rFonts w:ascii="Times New Roman" w:eastAsiaTheme="minorEastAsia" w:hAnsi="Times New Roman" w:cs="Times New Roman"/>
          <w:color w:val="000000" w:themeColor="text1"/>
          <w:kern w:val="2"/>
          <w:sz w:val="21"/>
          <w:szCs w:val="21"/>
        </w:rPr>
        <w:t xml:space="preserve">s using both and either chromatin accessibility (ATAC) or gene expression (mRNA) information. </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B</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 xml:space="preserve"> Cell proportions and counts of cell types in CMZ and NR. </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C</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 xml:space="preserve"> Cell compositions of cell types in fetal CMZ regions. </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D</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 xml:space="preserve"> Cell compositions of cell types in fetal NR regions.</w:t>
      </w:r>
    </w:p>
    <w:p w14:paraId="2C2B92C7"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1EAAB742"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2</w:t>
      </w:r>
    </w:p>
    <w:p w14:paraId="16452616" w14:textId="77777777" w:rsidR="00ED2568" w:rsidRDefault="00000000">
      <w:pPr>
        <w:widowControl w:val="0"/>
        <w:spacing w:beforeLines="50" w:before="156" w:afterLines="50" w:after="156" w:line="480" w:lineRule="auto"/>
        <w:jc w:val="center"/>
        <w:rPr>
          <w:rFonts w:ascii="Times New Roman" w:hAnsi="Times New Roman" w:cs="Times New Roman"/>
          <w:b/>
          <w:bCs/>
          <w:color w:val="A53E42"/>
        </w:rPr>
      </w:pPr>
      <w:r>
        <w:rPr>
          <w:noProof/>
        </w:rPr>
        <w:drawing>
          <wp:inline distT="0" distB="0" distL="0" distR="0" wp14:anchorId="412B32CC" wp14:editId="314882D8">
            <wp:extent cx="6265545" cy="6646545"/>
            <wp:effectExtent l="0" t="0" r="1905" b="1905"/>
            <wp:docPr id="979152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1524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265545" cy="6646545"/>
                    </a:xfrm>
                    <a:prstGeom prst="rect">
                      <a:avLst/>
                    </a:prstGeom>
                    <a:noFill/>
                    <a:ln>
                      <a:noFill/>
                    </a:ln>
                  </pic:spPr>
                </pic:pic>
              </a:graphicData>
            </a:graphic>
          </wp:inline>
        </w:drawing>
      </w:r>
    </w:p>
    <w:p w14:paraId="75D2DBED" w14:textId="77777777" w:rsidR="00ED2568" w:rsidRDefault="00000000">
      <w:pPr>
        <w:widowControl w:val="0"/>
        <w:spacing w:beforeLines="50" w:before="156" w:afterLines="50" w:after="156" w:line="480" w:lineRule="auto"/>
        <w:rPr>
          <w:rFonts w:ascii="Times New Roman" w:hAnsi="Times New Roman" w:cs="Times New Roman"/>
        </w:rPr>
      </w:pPr>
      <w:r>
        <w:rPr>
          <w:rFonts w:ascii="Times New Roman" w:hAnsi="Times New Roman" w:cs="Times New Roman"/>
          <w:b/>
          <w:kern w:val="2"/>
        </w:rPr>
        <w:t>Extended Data Fig. 2 | Visualization of marker genes of cell types in fetal retinal CMZ and NR regions.</w:t>
      </w:r>
      <w:r>
        <w:rPr>
          <w:rFonts w:ascii="Times New Roman" w:hAnsi="Times New Roman" w:cs="Times New Roman"/>
        </w:rPr>
        <w:t xml:space="preserve"> </w:t>
      </w:r>
    </w:p>
    <w:p w14:paraId="354C0D4F" w14:textId="77777777" w:rsidR="00ED2568" w:rsidRDefault="00000000">
      <w:pPr>
        <w:widowControl w:val="0"/>
        <w:spacing w:beforeLines="50" w:before="156" w:afterLines="50" w:after="156" w:line="480" w:lineRule="auto"/>
        <w:jc w:val="both"/>
        <w:rPr>
          <w:rFonts w:ascii="Times New Roman" w:hAnsi="Times New Roman" w:cs="Times New Roman"/>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UMAP plot of expression distribution of selected marker genes of 11 main cell types in</w:t>
      </w:r>
      <w:r>
        <w:rPr>
          <w:rFonts w:ascii="Times New Roman" w:eastAsiaTheme="minorEastAsia" w:hAnsi="Times New Roman" w:cs="Times New Roman"/>
          <w:color w:val="000000" w:themeColor="text1"/>
          <w:kern w:val="2"/>
          <w:sz w:val="21"/>
          <w:szCs w:val="21"/>
        </w:rPr>
        <w:t xml:space="preserve"> fetal retinal CMZ and NR</w:t>
      </w:r>
      <w:r>
        <w:rPr>
          <w:rFonts w:ascii="Times New Roman" w:hAnsi="Times New Roman" w:cs="Times New Roman"/>
          <w:sz w:val="21"/>
          <w:szCs w:val="21"/>
        </w:rPr>
        <w:t xml:space="preserve"> regions colored by the density of gene expression. </w:t>
      </w:r>
      <w:r>
        <w:rPr>
          <w:rFonts w:ascii="Times New Roman" w:eastAsiaTheme="minorEastAsia" w:hAnsi="Times New Roman" w:cs="Times New Roman" w:hint="eastAsia"/>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Heatmap showing the scaled average chromatin accessibility of markers for 11 cell types in both fetal retinal regions.</w:t>
      </w:r>
    </w:p>
    <w:p w14:paraId="41A74D11"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3</w:t>
      </w:r>
    </w:p>
    <w:p w14:paraId="4A4455F3" w14:textId="77777777" w:rsidR="00ED2568" w:rsidRDefault="00000000">
      <w:pPr>
        <w:widowControl w:val="0"/>
        <w:spacing w:beforeLines="50" w:before="156" w:afterLines="50" w:after="156" w:line="480" w:lineRule="auto"/>
        <w:jc w:val="center"/>
        <w:rPr>
          <w:rFonts w:ascii="Times New Roman" w:hAnsi="Times New Roman" w:cs="Times New Roman"/>
          <w:b/>
          <w:bCs/>
          <w:color w:val="A53E42"/>
        </w:rPr>
      </w:pPr>
      <w:r>
        <w:rPr>
          <w:noProof/>
        </w:rPr>
        <w:drawing>
          <wp:inline distT="0" distB="0" distL="0" distR="0" wp14:anchorId="45D05DED" wp14:editId="65B0358C">
            <wp:extent cx="6265545" cy="7812405"/>
            <wp:effectExtent l="0" t="0" r="1905" b="0"/>
            <wp:docPr id="19582936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293646" name="图片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265545" cy="7812405"/>
                    </a:xfrm>
                    <a:prstGeom prst="rect">
                      <a:avLst/>
                    </a:prstGeom>
                    <a:noFill/>
                    <a:ln>
                      <a:noFill/>
                    </a:ln>
                  </pic:spPr>
                </pic:pic>
              </a:graphicData>
            </a:graphic>
          </wp:inline>
        </w:drawing>
      </w:r>
    </w:p>
    <w:p w14:paraId="3AA21DC6" w14:textId="77777777" w:rsidR="00ED2568" w:rsidRDefault="00000000">
      <w:pPr>
        <w:widowControl w:val="0"/>
        <w:spacing w:beforeLines="50" w:before="156" w:afterLines="50" w:after="156" w:line="480" w:lineRule="auto"/>
        <w:rPr>
          <w:rFonts w:ascii="Times New Roman" w:hAnsi="Times New Roman" w:cs="Times New Roman"/>
          <w:b/>
          <w:bCs/>
          <w:color w:val="A53E42"/>
        </w:rPr>
      </w:pPr>
      <w:r>
        <w:rPr>
          <w:rFonts w:ascii="Times New Roman" w:hAnsi="Times New Roman" w:cs="Times New Roman"/>
          <w:b/>
          <w:kern w:val="2"/>
        </w:rPr>
        <w:t>Extended Data Fig. 3 | Analysis of s</w:t>
      </w:r>
      <w:r>
        <w:rPr>
          <w:rFonts w:ascii="Times New Roman" w:hAnsi="Times New Roman" w:cs="Times New Roman" w:hint="eastAsia"/>
          <w:b/>
          <w:kern w:val="2"/>
        </w:rPr>
        <w:t>n</w:t>
      </w:r>
      <w:r>
        <w:rPr>
          <w:rFonts w:ascii="Times New Roman" w:hAnsi="Times New Roman" w:cs="Times New Roman"/>
          <w:b/>
          <w:kern w:val="2"/>
        </w:rPr>
        <w:t>RNA-seq and s</w:t>
      </w:r>
      <w:r>
        <w:rPr>
          <w:rFonts w:ascii="Times New Roman" w:hAnsi="Times New Roman" w:cs="Times New Roman" w:hint="eastAsia"/>
          <w:b/>
          <w:kern w:val="2"/>
        </w:rPr>
        <w:t>n</w:t>
      </w:r>
      <w:r>
        <w:rPr>
          <w:rFonts w:ascii="Times New Roman" w:hAnsi="Times New Roman" w:cs="Times New Roman"/>
          <w:b/>
          <w:kern w:val="2"/>
        </w:rPr>
        <w:t>ATAC-seq showing the developmental trajectory of cell types in fetal CMZ and NR regions.</w:t>
      </w:r>
      <w:r>
        <w:rPr>
          <w:rFonts w:ascii="Times New Roman" w:hAnsi="Times New Roman" w:cs="Times New Roman"/>
          <w:b/>
          <w:bCs/>
          <w:color w:val="A53E42"/>
        </w:rPr>
        <w:t xml:space="preserve"> </w:t>
      </w:r>
    </w:p>
    <w:p w14:paraId="785D0E3E" w14:textId="77777777" w:rsidR="00ED2568" w:rsidRDefault="00000000">
      <w:pPr>
        <w:widowControl w:val="0"/>
        <w:spacing w:beforeLines="50" w:before="156" w:afterLines="50" w:after="156" w:line="480" w:lineRule="auto"/>
        <w:jc w:val="both"/>
        <w:rPr>
          <w:rFonts w:ascii="Times New Roman" w:eastAsiaTheme="minorEastAsia" w:hAnsi="Times New Roman" w:cs="Times New Roman"/>
          <w:kern w:val="2"/>
          <w:sz w:val="21"/>
          <w:szCs w:val="21"/>
        </w:rPr>
      </w:pPr>
      <w:r>
        <w:rPr>
          <w:rFonts w:ascii="Times New Roman" w:eastAsiaTheme="minorEastAsia" w:hAnsi="Times New Roman" w:cs="Times New Roman" w:hint="eastAsia"/>
          <w:b/>
          <w:bCs/>
          <w:color w:val="000000" w:themeColor="text1"/>
          <w:kern w:val="2"/>
        </w:rPr>
        <w:lastRenderedPageBreak/>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GO-term biological </w:t>
      </w:r>
      <w:r>
        <w:rPr>
          <w:rFonts w:ascii="Times New Roman" w:eastAsiaTheme="minorEastAsia" w:hAnsi="Times New Roman" w:cs="Times New Roman"/>
          <w:color w:val="000000" w:themeColor="text1"/>
          <w:kern w:val="2"/>
          <w:sz w:val="21"/>
          <w:szCs w:val="21"/>
        </w:rPr>
        <w:t>process</w:t>
      </w:r>
      <w:r>
        <w:rPr>
          <w:rFonts w:ascii="Times New Roman" w:hAnsi="Times New Roman" w:cs="Times New Roman"/>
          <w:sz w:val="21"/>
          <w:szCs w:val="21"/>
        </w:rPr>
        <w:t xml:space="preserve"> enrichment analysis of significantly up-regulated genes in Stem1.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GO-term </w:t>
      </w:r>
      <w:r>
        <w:rPr>
          <w:rFonts w:ascii="Times New Roman" w:eastAsiaTheme="minorEastAsia" w:hAnsi="Times New Roman" w:cs="Times New Roman"/>
          <w:color w:val="000000" w:themeColor="text1"/>
          <w:kern w:val="2"/>
          <w:sz w:val="21"/>
          <w:szCs w:val="21"/>
        </w:rPr>
        <w:t>biological</w:t>
      </w:r>
      <w:r>
        <w:rPr>
          <w:rFonts w:ascii="Times New Roman" w:hAnsi="Times New Roman" w:cs="Times New Roman"/>
          <w:sz w:val="21"/>
          <w:szCs w:val="21"/>
        </w:rPr>
        <w:t xml:space="preserve"> process enrichment analysis of significantly up-regulated genes in Stem2.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Pseudotime trajectory analysis of single-cell RNA profiling in cell types from both CMZ and NR region. c1: Distribution of cell types in the predicted trajectory via Monocle 2. c2: The pesudotime of each cell in the predicted trajectory via Monocle 2. Colored bar indicates the relative pesudotime of each cell. c3-c4: Trajectory of specific cell type in both lineage 1 (c3) and lineage 2 (c4) via Monocle 2. c5-c6: Density plot demonstrating the pesudotime of each cell type in both lineage 1 (c5) and lineage 2 (c6) via Monocle 3.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Pseudotime trajectory analysis of single-cell chromatin accessibility (ATAC) profiling in cell types from both CMZ and NR region of fetal retina. d1: UMAP visualization of cells in two fetal retina regions via Monocle 3 colored by pesudotimes. Similar with fetal s</w:t>
      </w:r>
      <w:r>
        <w:rPr>
          <w:rFonts w:ascii="Times New Roman" w:hAnsi="Times New Roman" w:cs="Times New Roman" w:hint="eastAsia"/>
          <w:sz w:val="21"/>
          <w:szCs w:val="21"/>
        </w:rPr>
        <w:t>n</w:t>
      </w:r>
      <w:r>
        <w:rPr>
          <w:rFonts w:ascii="Times New Roman" w:hAnsi="Times New Roman" w:cs="Times New Roman"/>
          <w:sz w:val="21"/>
          <w:szCs w:val="21"/>
        </w:rPr>
        <w:t>RNA-seq-based Monocle 3 analysis, there was identification of two developmental lineages, including lineage 1: hNRSCs-RPCs-PC precursors-PCs, and lineage 2: RPE stem-like cells-RPEs. d2-d3: Density plot demonstrating the pesudotimes of each cell type in both lineage 1 (d2) and lineage 2 (d3) based on s</w:t>
      </w:r>
      <w:r>
        <w:rPr>
          <w:rFonts w:ascii="Times New Roman" w:hAnsi="Times New Roman" w:cs="Times New Roman" w:hint="eastAsia"/>
          <w:sz w:val="21"/>
          <w:szCs w:val="21"/>
        </w:rPr>
        <w:t>n</w:t>
      </w:r>
      <w:r>
        <w:rPr>
          <w:rFonts w:ascii="Times New Roman" w:hAnsi="Times New Roman" w:cs="Times New Roman"/>
          <w:sz w:val="21"/>
          <w:szCs w:val="21"/>
        </w:rPr>
        <w:t xml:space="preserve">ATAC-seq data. </w:t>
      </w:r>
      <w:r>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PAGA-based trajectory analysis showing the transitions of cell types in both lineage 1 and lineage 2. </w:t>
      </w:r>
      <w:r>
        <w:rPr>
          <w:rFonts w:ascii="Times New Roman" w:eastAsiaTheme="minorEastAsia" w:hAnsi="Times New Roman" w:cs="Times New Roman"/>
          <w:b/>
          <w:bCs/>
          <w:color w:val="000000" w:themeColor="text1"/>
          <w:kern w:val="2"/>
        </w:rPr>
        <w:t>f</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Stem_ID analysis of cells in four cell types of lineage 1. Left panel: UMAP visualization of cell cells in lineage 1 colored by Stem_ID-calculated stemness score. Right panel: Boxplot showing the stemness scores across four cell types in lineage 1 via Stem_ID.</w:t>
      </w:r>
    </w:p>
    <w:p w14:paraId="24F84E25"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64DAB163"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4</w:t>
      </w:r>
    </w:p>
    <w:p w14:paraId="34D41BE6" w14:textId="77777777" w:rsidR="00ED2568" w:rsidRDefault="00000000">
      <w:pPr>
        <w:widowControl w:val="0"/>
        <w:spacing w:beforeLines="50" w:before="156" w:afterLines="50" w:after="156" w:line="480" w:lineRule="auto"/>
        <w:jc w:val="center"/>
        <w:rPr>
          <w:rFonts w:ascii="Times New Roman" w:hAnsi="Times New Roman" w:cs="Times New Roman"/>
          <w:b/>
          <w:kern w:val="2"/>
        </w:rPr>
      </w:pPr>
      <w:r>
        <w:rPr>
          <w:noProof/>
        </w:rPr>
        <w:drawing>
          <wp:inline distT="0" distB="0" distL="0" distR="0" wp14:anchorId="34031DA4" wp14:editId="7694F7FD">
            <wp:extent cx="6265545" cy="8631555"/>
            <wp:effectExtent l="0" t="0" r="1905" b="0"/>
            <wp:docPr id="10821413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41313"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6265545" cy="8631555"/>
                    </a:xfrm>
                    <a:prstGeom prst="rect">
                      <a:avLst/>
                    </a:prstGeom>
                    <a:noFill/>
                    <a:ln>
                      <a:noFill/>
                    </a:ln>
                  </pic:spPr>
                </pic:pic>
              </a:graphicData>
            </a:graphic>
          </wp:inline>
        </w:drawing>
      </w:r>
    </w:p>
    <w:p w14:paraId="483F26D6" w14:textId="77777777" w:rsidR="00ED2568" w:rsidRDefault="00000000">
      <w:pPr>
        <w:widowControl w:val="0"/>
        <w:spacing w:beforeLines="50" w:before="156" w:afterLines="50" w:after="156" w:line="480" w:lineRule="auto"/>
        <w:rPr>
          <w:rFonts w:ascii="Times New Roman" w:hAnsi="Times New Roman" w:cs="Times New Roman"/>
          <w:b/>
          <w:kern w:val="2"/>
        </w:rPr>
      </w:pPr>
      <w:bookmarkStart w:id="1" w:name="_Hlk147142885"/>
      <w:r>
        <w:rPr>
          <w:rFonts w:ascii="Times New Roman" w:hAnsi="Times New Roman" w:cs="Times New Roman"/>
          <w:b/>
          <w:kern w:val="2"/>
        </w:rPr>
        <w:lastRenderedPageBreak/>
        <w:t>Extended Data Fig. 4</w:t>
      </w:r>
      <w:bookmarkEnd w:id="1"/>
      <w:r>
        <w:rPr>
          <w:rFonts w:ascii="Times New Roman" w:hAnsi="Times New Roman" w:cs="Times New Roman"/>
          <w:b/>
          <w:kern w:val="2"/>
        </w:rPr>
        <w:t xml:space="preserve"> | Integrative single-cell multi-omic data analysis to distinguish critical TFs in regulating hNRSCs in neural retinogenesis.</w:t>
      </w:r>
    </w:p>
    <w:p w14:paraId="39C1C93E" w14:textId="77777777" w:rsidR="00ED2568" w:rsidRDefault="00000000">
      <w:pPr>
        <w:widowControl w:val="0"/>
        <w:spacing w:beforeLines="50" w:before="156" w:afterLines="50" w:after="156" w:line="480" w:lineRule="auto"/>
        <w:jc w:val="both"/>
        <w:rPr>
          <w:rFonts w:ascii="Times New Roman" w:hAnsi="Times New Roman" w:cs="Times New Roman"/>
          <w:b/>
          <w:kern w:val="2"/>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S</w:t>
      </w:r>
      <w:r>
        <w:rPr>
          <w:rFonts w:ascii="Times New Roman" w:hAnsi="Times New Roman" w:cs="Times New Roman" w:hint="eastAsia"/>
          <w:sz w:val="21"/>
          <w:szCs w:val="21"/>
        </w:rPr>
        <w:t>c</w:t>
      </w:r>
      <w:r>
        <w:rPr>
          <w:rFonts w:ascii="Times New Roman" w:hAnsi="Times New Roman" w:cs="Times New Roman"/>
          <w:sz w:val="21"/>
          <w:szCs w:val="21"/>
        </w:rPr>
        <w:t>hematic plot showing the Pando-based gene regulatory network framework for inferring TF-motif-genes regulatory network based on fetal retinal s</w:t>
      </w:r>
      <w:r>
        <w:rPr>
          <w:rFonts w:ascii="Times New Roman" w:hAnsi="Times New Roman" w:cs="Times New Roman" w:hint="eastAsia"/>
          <w:sz w:val="21"/>
          <w:szCs w:val="21"/>
        </w:rPr>
        <w:t>n</w:t>
      </w:r>
      <w:r>
        <w:rPr>
          <w:rFonts w:ascii="Times New Roman" w:hAnsi="Times New Roman" w:cs="Times New Roman"/>
          <w:sz w:val="21"/>
          <w:szCs w:val="21"/>
        </w:rPr>
        <w:t>RNA-seq and s</w:t>
      </w:r>
      <w:r>
        <w:rPr>
          <w:rFonts w:ascii="Times New Roman" w:hAnsi="Times New Roman" w:cs="Times New Roman" w:hint="eastAsia"/>
          <w:sz w:val="21"/>
          <w:szCs w:val="21"/>
        </w:rPr>
        <w:t>n</w:t>
      </w:r>
      <w:r>
        <w:rPr>
          <w:rFonts w:ascii="Times New Roman" w:hAnsi="Times New Roman" w:cs="Times New Roman"/>
          <w:sz w:val="21"/>
          <w:szCs w:val="21"/>
        </w:rPr>
        <w:t xml:space="preserve">ATAC-seq data.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UMAP embedding visualization of the scaled expression of TFs and targeted genes in the Pando-inferred gene regulatory network across four cell types in lineage 1.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Subnetwork of critical hNRSC-specific TFs and their targeted genes. Red diamond indicates the hNRSC-specific TFs, and green circular node indicates the TF-targeted genes.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GO-term biological process enrichment analysis of hNRSC-specific TFs and their targeted genes. </w:t>
      </w:r>
      <w:r>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Heatmap of the scaled regulon activity across cell types as determined by SCENIC based on fetal retinal s</w:t>
      </w:r>
      <w:r>
        <w:rPr>
          <w:rFonts w:ascii="Times New Roman" w:hAnsi="Times New Roman" w:cs="Times New Roman" w:hint="eastAsia"/>
          <w:sz w:val="21"/>
          <w:szCs w:val="21"/>
        </w:rPr>
        <w:t>n</w:t>
      </w:r>
      <w:r>
        <w:rPr>
          <w:rFonts w:ascii="Times New Roman" w:hAnsi="Times New Roman" w:cs="Times New Roman"/>
          <w:sz w:val="21"/>
          <w:szCs w:val="21"/>
        </w:rPr>
        <w:t xml:space="preserve">RNA-seq data. </w:t>
      </w:r>
      <w:r>
        <w:rPr>
          <w:rFonts w:ascii="Times New Roman" w:eastAsiaTheme="minorEastAsia" w:hAnsi="Times New Roman" w:cs="Times New Roman"/>
          <w:b/>
          <w:bCs/>
          <w:color w:val="000000" w:themeColor="text1"/>
          <w:kern w:val="2"/>
        </w:rPr>
        <w:t>f</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Heatmap of cell type-specific scaled ATAC peaks based on fetal retinal s</w:t>
      </w:r>
      <w:r>
        <w:rPr>
          <w:rFonts w:ascii="Times New Roman" w:hAnsi="Times New Roman" w:cs="Times New Roman" w:hint="eastAsia"/>
          <w:sz w:val="21"/>
          <w:szCs w:val="21"/>
        </w:rPr>
        <w:t>n</w:t>
      </w:r>
      <w:r>
        <w:rPr>
          <w:rFonts w:ascii="Times New Roman" w:hAnsi="Times New Roman" w:cs="Times New Roman"/>
          <w:sz w:val="21"/>
          <w:szCs w:val="21"/>
        </w:rPr>
        <w:t>ATAC-seq data. Rows represent cell types, and columns represent cell type-specific scaled regulon activity (</w:t>
      </w:r>
      <w:r>
        <w:rPr>
          <w:rFonts w:ascii="Times New Roman" w:eastAsiaTheme="minorEastAsia" w:hAnsi="Times New Roman" w:cs="Times New Roman"/>
          <w:b/>
          <w:bCs/>
          <w:color w:val="000000" w:themeColor="text1"/>
          <w:kern w:val="2"/>
        </w:rPr>
        <w:t>e</w:t>
      </w:r>
      <w:r>
        <w:rPr>
          <w:rFonts w:ascii="Times New Roman" w:hAnsi="Times New Roman" w:cs="Times New Roman"/>
          <w:sz w:val="21"/>
          <w:szCs w:val="21"/>
        </w:rPr>
        <w:t>) or scaled ATAC peak (</w:t>
      </w:r>
      <w:r>
        <w:rPr>
          <w:rFonts w:ascii="Times New Roman" w:eastAsiaTheme="minorEastAsia" w:hAnsi="Times New Roman" w:cs="Times New Roman"/>
          <w:b/>
          <w:bCs/>
          <w:color w:val="000000" w:themeColor="text1"/>
          <w:kern w:val="2"/>
        </w:rPr>
        <w:t>f</w:t>
      </w:r>
      <w:r>
        <w:rPr>
          <w:rFonts w:ascii="Times New Roman" w:hAnsi="Times New Roman" w:cs="Times New Roman"/>
          <w:sz w:val="21"/>
          <w:szCs w:val="21"/>
        </w:rPr>
        <w:t>).</w:t>
      </w:r>
      <w:r>
        <w:rPr>
          <w:rFonts w:ascii="Times New Roman" w:hAnsi="Times New Roman" w:cs="Times New Roman"/>
          <w:b/>
          <w:kern w:val="2"/>
        </w:rPr>
        <w:t xml:space="preserve"> </w:t>
      </w:r>
    </w:p>
    <w:p w14:paraId="5A521FC5"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1B99B703" w14:textId="77777777" w:rsidR="00ED2568" w:rsidRDefault="00000000">
      <w:pPr>
        <w:widowControl w:val="0"/>
        <w:spacing w:beforeLines="50" w:before="156" w:afterLines="50" w:after="156" w:line="480" w:lineRule="auto"/>
        <w:jc w:val="both"/>
        <w:rPr>
          <w:rFonts w:ascii="Times New Roman" w:hAnsi="Times New Roman" w:cs="Times New Roman"/>
          <w:b/>
          <w:kern w:val="2"/>
        </w:rPr>
      </w:pPr>
      <w:r>
        <w:rPr>
          <w:rFonts w:ascii="Times New Roman" w:hAnsi="Times New Roman" w:cs="Times New Roman"/>
          <w:b/>
          <w:kern w:val="2"/>
        </w:rPr>
        <w:lastRenderedPageBreak/>
        <w:t>Extended Data Fig. 5</w:t>
      </w:r>
    </w:p>
    <w:p w14:paraId="730EBDE3" w14:textId="77777777" w:rsidR="00ED2568" w:rsidRDefault="00000000">
      <w:pPr>
        <w:widowControl w:val="0"/>
        <w:spacing w:beforeLines="50" w:before="156" w:afterLines="50" w:after="156" w:line="480" w:lineRule="auto"/>
        <w:jc w:val="both"/>
        <w:rPr>
          <w:rFonts w:ascii="Times New Roman" w:hAnsi="Times New Roman" w:cs="Times New Roman"/>
          <w:b/>
          <w:kern w:val="2"/>
        </w:rPr>
      </w:pPr>
      <w:r>
        <w:rPr>
          <w:noProof/>
        </w:rPr>
        <w:drawing>
          <wp:inline distT="0" distB="0" distL="0" distR="0" wp14:anchorId="4BFA95D4" wp14:editId="6752B5AA">
            <wp:extent cx="6262370" cy="8611235"/>
            <wp:effectExtent l="0" t="0" r="5080" b="0"/>
            <wp:docPr id="18379231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92316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262370" cy="8611235"/>
                    </a:xfrm>
                    <a:prstGeom prst="rect">
                      <a:avLst/>
                    </a:prstGeom>
                    <a:noFill/>
                    <a:ln>
                      <a:noFill/>
                    </a:ln>
                  </pic:spPr>
                </pic:pic>
              </a:graphicData>
            </a:graphic>
          </wp:inline>
        </w:drawing>
      </w:r>
    </w:p>
    <w:p w14:paraId="17979877"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br w:type="page"/>
      </w:r>
      <w:r>
        <w:rPr>
          <w:rFonts w:ascii="Times New Roman" w:hAnsi="Times New Roman" w:cs="Times New Roman"/>
          <w:b/>
          <w:kern w:val="2"/>
        </w:rPr>
        <w:lastRenderedPageBreak/>
        <w:t xml:space="preserve">Extended Data Fig. 5 | </w:t>
      </w:r>
      <w:bookmarkStart w:id="2" w:name="_Hlk150422240"/>
      <w:r>
        <w:rPr>
          <w:rFonts w:ascii="Times New Roman" w:hAnsi="Times New Roman" w:cs="Times New Roman"/>
          <w:b/>
          <w:kern w:val="2"/>
        </w:rPr>
        <w:t>Stereo-seq</w:t>
      </w:r>
      <w:bookmarkEnd w:id="2"/>
      <w:r>
        <w:rPr>
          <w:rFonts w:ascii="Times New Roman" w:hAnsi="Times New Roman" w:cs="Times New Roman"/>
          <w:b/>
          <w:kern w:val="2"/>
        </w:rPr>
        <w:t xml:space="preserve"> profiles spatial transcriptome of human fetal eye.</w:t>
      </w:r>
    </w:p>
    <w:p w14:paraId="2DC0CF65" w14:textId="77777777" w:rsidR="00ED2568" w:rsidRDefault="00000000">
      <w:pPr>
        <w:widowControl w:val="0"/>
        <w:spacing w:beforeLines="50" w:before="156" w:afterLines="50" w:after="156" w:line="480" w:lineRule="auto"/>
        <w:jc w:val="both"/>
        <w:rPr>
          <w:rFonts w:ascii="Times New Roman" w:hAnsi="Times New Roman" w:cs="Times New Roman"/>
          <w:sz w:val="21"/>
          <w:szCs w:val="21"/>
        </w:rPr>
      </w:pPr>
      <w:bookmarkStart w:id="3" w:name="_Hlk150420815"/>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bookmarkEnd w:id="3"/>
      <w:r>
        <w:rPr>
          <w:rFonts w:ascii="Times New Roman" w:hAnsi="Times New Roman" w:cs="Times New Roman"/>
          <w:sz w:val="21"/>
          <w:szCs w:val="21"/>
        </w:rPr>
        <w:t xml:space="preserve"> Frozen section of a fetal eyeball.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Single-stranded DNA staining revealing individual cells on the fetal eyeball section.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 The results of dimensionality reduction clustering from Stereo-seq data were mapped onto the spatial position of the retina (c1), and a UMAP map was generated to visualize the dimensionality reduction outcomes (c2). Cluster 43 representing cells in the CMZ region were individually processed and subjected to recluster analysis, resulting in three distinct clusters. Additionally, we conducted enrichment analysis on cell marker gene expression for RPE stem-like cells and hNRSC in the CMZ space, presenting our findings (c3)</w:t>
      </w:r>
      <w:r>
        <w:rPr>
          <w:rFonts w:ascii="Times New Roman" w:hAnsi="Times New Roman" w:cs="Times New Roman"/>
          <w:sz w:val="21"/>
          <w:szCs w:val="21"/>
        </w:rPr>
        <w:t>.</w:t>
      </w:r>
      <w:bookmarkStart w:id="4" w:name="_Hlk150420847"/>
      <w:r>
        <w:rPr>
          <w:rFonts w:ascii="Times New Roman" w:eastAsiaTheme="minorEastAsia" w:hAnsi="Times New Roman" w:cs="Times New Roman" w:hint="eastAsia"/>
          <w:b/>
          <w:bCs/>
          <w:color w:val="000000" w:themeColor="text1"/>
          <w:kern w:val="2"/>
        </w:rPr>
        <w:t xml:space="preserve">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t xml:space="preserve"> </w:t>
      </w:r>
      <w:r>
        <w:rPr>
          <w:rFonts w:ascii="Times New Roman" w:eastAsiaTheme="minorEastAsia" w:hAnsi="Times New Roman" w:cs="Times New Roman"/>
          <w:color w:val="000000" w:themeColor="text1"/>
          <w:kern w:val="2"/>
          <w:sz w:val="21"/>
          <w:szCs w:val="21"/>
        </w:rPr>
        <w:t>Dot plot illustrating the expression of representative marker genes across cell types.</w:t>
      </w:r>
      <w:bookmarkEnd w:id="4"/>
      <w:r>
        <w:rPr>
          <w:rFonts w:ascii="Times New Roman" w:eastAsiaTheme="minorEastAsia" w:hAnsi="Times New Roman" w:cs="Times New Roman" w:hint="eastAsia"/>
          <w:b/>
          <w:bCs/>
          <w:color w:val="000000" w:themeColor="text1"/>
          <w:kern w:val="2"/>
        </w:rPr>
        <w:t xml:space="preserve"> </w:t>
      </w:r>
      <w:r>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hint="eastAsia"/>
          <w:color w:val="000000" w:themeColor="text1"/>
          <w:kern w:val="2"/>
          <w:sz w:val="21"/>
          <w:szCs w:val="21"/>
        </w:rPr>
        <w:t>,</w:t>
      </w:r>
      <w:r>
        <w:rPr>
          <w:rFonts w:ascii="Times New Roman" w:eastAsiaTheme="minorEastAsia" w:hAnsi="Times New Roman" w:cs="Times New Roman"/>
          <w:color w:val="000000" w:themeColor="text1"/>
          <w:kern w:val="2"/>
          <w:sz w:val="21"/>
          <w:szCs w:val="21"/>
        </w:rPr>
        <w:t xml:space="preserve"> Localization of differential expression gene markers of cell type signatures from snRNA-seq in fetal retina or hROs.</w:t>
      </w:r>
    </w:p>
    <w:p w14:paraId="58E11814" w14:textId="77777777" w:rsidR="00ED2568" w:rsidRDefault="00000000">
      <w:pPr>
        <w:rPr>
          <w:rFonts w:ascii="Times New Roman" w:hAnsi="Times New Roman" w:cs="Times New Roman"/>
          <w:b/>
          <w:kern w:val="2"/>
        </w:rPr>
      </w:pPr>
      <w:bookmarkStart w:id="5" w:name="_Hlk150384898"/>
      <w:r>
        <w:rPr>
          <w:rFonts w:ascii="Times New Roman" w:hAnsi="Times New Roman" w:cs="Times New Roman"/>
          <w:b/>
          <w:kern w:val="2"/>
        </w:rPr>
        <w:br w:type="page"/>
      </w:r>
    </w:p>
    <w:p w14:paraId="4E658E8E" w14:textId="77777777" w:rsidR="00ED2568" w:rsidRDefault="00000000">
      <w:pPr>
        <w:widowControl w:val="0"/>
        <w:spacing w:beforeLines="50" w:before="156" w:afterLines="50" w:after="156" w:line="480" w:lineRule="auto"/>
        <w:jc w:val="both"/>
        <w:rPr>
          <w:rFonts w:ascii="Times New Roman" w:hAnsi="Times New Roman" w:cs="Times New Roman"/>
          <w:b/>
          <w:kern w:val="2"/>
        </w:rPr>
      </w:pPr>
      <w:r>
        <w:rPr>
          <w:rFonts w:ascii="Times New Roman" w:hAnsi="Times New Roman" w:cs="Times New Roman"/>
          <w:b/>
          <w:kern w:val="2"/>
        </w:rPr>
        <w:lastRenderedPageBreak/>
        <w:t>Extended Data Fig. 6</w:t>
      </w:r>
    </w:p>
    <w:bookmarkEnd w:id="5"/>
    <w:p w14:paraId="291ACEE1" w14:textId="77777777" w:rsidR="00ED2568" w:rsidRDefault="00000000">
      <w:pPr>
        <w:widowControl w:val="0"/>
        <w:spacing w:beforeLines="50" w:before="156" w:afterLines="50" w:after="156" w:line="480" w:lineRule="auto"/>
        <w:jc w:val="center"/>
        <w:rPr>
          <w:rFonts w:ascii="Times New Roman" w:hAnsi="Times New Roman" w:cs="Times New Roman"/>
          <w:b/>
          <w:bCs/>
          <w:color w:val="A53E42"/>
        </w:rPr>
      </w:pPr>
      <w:r>
        <w:rPr>
          <w:noProof/>
        </w:rPr>
        <w:drawing>
          <wp:inline distT="0" distB="0" distL="0" distR="0" wp14:anchorId="6B1017D1" wp14:editId="636E9DB1">
            <wp:extent cx="6265545" cy="3649345"/>
            <wp:effectExtent l="0" t="0" r="1905" b="8255"/>
            <wp:docPr id="127308487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084873"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265545" cy="3649345"/>
                    </a:xfrm>
                    <a:prstGeom prst="rect">
                      <a:avLst/>
                    </a:prstGeom>
                    <a:noFill/>
                    <a:ln>
                      <a:noFill/>
                    </a:ln>
                  </pic:spPr>
                </pic:pic>
              </a:graphicData>
            </a:graphic>
          </wp:inline>
        </w:drawing>
      </w:r>
    </w:p>
    <w:p w14:paraId="047F59CB"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 xml:space="preserve">Extended Data Fig. 6 | Identification of </w:t>
      </w:r>
      <w:r>
        <w:rPr>
          <w:rFonts w:ascii="Times New Roman" w:hAnsi="Times New Roman" w:cs="Times New Roman" w:hint="eastAsia"/>
          <w:b/>
          <w:kern w:val="2"/>
        </w:rPr>
        <w:t>hNRSC</w:t>
      </w:r>
      <w:r>
        <w:rPr>
          <w:rFonts w:ascii="Times New Roman" w:hAnsi="Times New Roman" w:cs="Times New Roman"/>
          <w:b/>
          <w:kern w:val="2"/>
        </w:rPr>
        <w:t xml:space="preserve">s in fetal </w:t>
      </w:r>
      <w:r>
        <w:rPr>
          <w:rFonts w:ascii="Times New Roman" w:hAnsi="Times New Roman" w:cs="Times New Roman" w:hint="eastAsia"/>
          <w:b/>
          <w:kern w:val="2"/>
        </w:rPr>
        <w:t>retinas</w:t>
      </w:r>
      <w:r>
        <w:rPr>
          <w:rFonts w:ascii="Times New Roman" w:hAnsi="Times New Roman" w:cs="Times New Roman"/>
          <w:b/>
          <w:kern w:val="2"/>
        </w:rPr>
        <w:t xml:space="preserve">. </w:t>
      </w:r>
    </w:p>
    <w:p w14:paraId="24A4823C" w14:textId="77777777" w:rsidR="00ED2568" w:rsidRDefault="00000000">
      <w:pPr>
        <w:widowControl w:val="0"/>
        <w:spacing w:beforeLines="50" w:before="156" w:afterLines="50" w:after="156" w:line="480" w:lineRule="auto"/>
        <w:jc w:val="both"/>
        <w:rPr>
          <w:rFonts w:ascii="Times New Roman" w:eastAsiaTheme="minorEastAsia" w:hAnsi="Times New Roman" w:cs="Times New Roman"/>
          <w:kern w:val="2"/>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Representative H&amp;E staining of the 22-week fetal retina.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Immunostaining of representative</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markers for </w:t>
      </w:r>
      <w:r>
        <w:rPr>
          <w:rFonts w:ascii="Times New Roman" w:eastAsiaTheme="minorEastAsia" w:hAnsi="Times New Roman" w:cs="Times New Roman"/>
          <w:color w:val="000000" w:themeColor="text1"/>
          <w:kern w:val="2"/>
          <w:sz w:val="21"/>
          <w:szCs w:val="21"/>
        </w:rPr>
        <w:t>specific</w:t>
      </w:r>
      <w:r>
        <w:rPr>
          <w:rFonts w:ascii="Times New Roman" w:hAnsi="Times New Roman" w:cs="Times New Roman"/>
          <w:sz w:val="21"/>
          <w:szCs w:val="21"/>
        </w:rPr>
        <w:t xml:space="preserve"> retinal cell types in the 19-week fetal retina: RPCs marked by CHX10, HCs marked by PROX1, and PCs marked by RCVRN </w:t>
      </w:r>
      <w:r>
        <w:rPr>
          <w:rFonts w:ascii="Times New Roman" w:hAnsi="Times New Roman" w:cs="Times New Roman" w:hint="eastAsia"/>
          <w:sz w:val="21"/>
          <w:szCs w:val="21"/>
        </w:rPr>
        <w:t>or</w:t>
      </w:r>
      <w:r>
        <w:rPr>
          <w:rFonts w:ascii="Times New Roman" w:hAnsi="Times New Roman" w:cs="Times New Roman"/>
          <w:sz w:val="21"/>
          <w:szCs w:val="21"/>
        </w:rPr>
        <w:t xml:space="preserve"> OTX2.</w:t>
      </w:r>
      <w:r>
        <w:rPr>
          <w:rFonts w:ascii="Times New Roman" w:hAnsi="Times New Roman" w:cs="Times New Roman" w:hint="eastAsia"/>
          <w:sz w:val="21"/>
          <w:szCs w:val="21"/>
        </w:rPr>
        <w:t xml:space="preserve">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sz w:val="21"/>
          <w:szCs w:val="21"/>
        </w:rPr>
        <w:t xml:space="preserve"> </w:t>
      </w:r>
      <w:r>
        <w:rPr>
          <w:rFonts w:ascii="Times New Roman" w:hAnsi="Times New Roman" w:cs="Times New Roman"/>
          <w:sz w:val="21"/>
          <w:szCs w:val="21"/>
        </w:rPr>
        <w:t xml:space="preserve">Representative FACS profile of </w:t>
      </w:r>
      <w:r>
        <w:rPr>
          <w:rFonts w:ascii="Times New Roman" w:hAnsi="Times New Roman" w:cs="Times New Roman" w:hint="eastAsia"/>
          <w:sz w:val="21"/>
          <w:szCs w:val="21"/>
        </w:rPr>
        <w:t>CPAMD8</w:t>
      </w:r>
      <w:r>
        <w:rPr>
          <w:rFonts w:ascii="Times New Roman" w:hAnsi="Times New Roman" w:cs="Times New Roman"/>
          <w:sz w:val="21"/>
          <w:szCs w:val="21"/>
          <w:vertAlign w:val="superscript"/>
        </w:rPr>
        <w:t>+</w:t>
      </w:r>
      <w:r>
        <w:rPr>
          <w:rFonts w:ascii="Times New Roman" w:hAnsi="Times New Roman" w:cs="Times New Roman"/>
          <w:sz w:val="21"/>
          <w:szCs w:val="21"/>
        </w:rPr>
        <w:t xml:space="preserve"> cells in 19-week fetal retina</w:t>
      </w:r>
      <w:r>
        <w:rPr>
          <w:rFonts w:ascii="Times New Roman" w:hAnsi="Times New Roman" w:cs="Times New Roman" w:hint="eastAsia"/>
          <w:sz w:val="21"/>
          <w:szCs w:val="21"/>
        </w:rPr>
        <w:t>s</w:t>
      </w:r>
      <w:r>
        <w:rPr>
          <w:rFonts w:ascii="Times New Roman" w:hAnsi="Times New Roman" w:cs="Times New Roman"/>
          <w:sz w:val="21"/>
          <w:szCs w:val="21"/>
        </w:rPr>
        <w:t>. Normal retina</w:t>
      </w:r>
      <w:r>
        <w:rPr>
          <w:rFonts w:ascii="Times New Roman" w:hAnsi="Times New Roman" w:cs="Times New Roman" w:hint="eastAsia"/>
          <w:sz w:val="21"/>
          <w:szCs w:val="21"/>
        </w:rPr>
        <w:t>l cell</w:t>
      </w:r>
      <w:r>
        <w:rPr>
          <w:rFonts w:ascii="Times New Roman" w:hAnsi="Times New Roman" w:cs="Times New Roman"/>
          <w:sz w:val="21"/>
          <w:szCs w:val="21"/>
        </w:rPr>
        <w:t xml:space="preserve">s served as a blank control.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Illustrative </w:t>
      </w:r>
      <w:r>
        <w:rPr>
          <w:rFonts w:ascii="Times New Roman" w:eastAsiaTheme="minorEastAsia" w:hAnsi="Times New Roman" w:cs="Times New Roman"/>
          <w:color w:val="000000" w:themeColor="text1"/>
          <w:kern w:val="2"/>
          <w:sz w:val="21"/>
          <w:szCs w:val="21"/>
        </w:rPr>
        <w:t>image</w:t>
      </w:r>
      <w:r>
        <w:rPr>
          <w:rFonts w:ascii="Times New Roman" w:hAnsi="Times New Roman" w:cs="Times New Roman"/>
          <w:sz w:val="21"/>
          <w:szCs w:val="21"/>
        </w:rPr>
        <w:t xml:space="preserve"> displaying the cellular morphology of retinal cells differentiated from hNRSCs, observed under an optical microscope. </w:t>
      </w:r>
      <w:r>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color w:val="000000" w:themeColor="text1"/>
          <w:kern w:val="2"/>
          <w:sz w:val="21"/>
          <w:szCs w:val="21"/>
        </w:rPr>
        <w:t>,</w:t>
      </w:r>
      <w:r>
        <w:rPr>
          <w:rFonts w:ascii="Times New Roman" w:eastAsiaTheme="minorEastAsia" w:hAnsi="Times New Roman" w:cs="Times New Roman"/>
          <w:kern w:val="2"/>
          <w:sz w:val="21"/>
          <w:szCs w:val="21"/>
        </w:rPr>
        <w:t xml:space="preserve"> Representative micrograph show</w:t>
      </w:r>
      <w:r>
        <w:rPr>
          <w:rFonts w:ascii="Times New Roman" w:eastAsiaTheme="minorEastAsia" w:hAnsi="Times New Roman" w:cs="Times New Roman" w:hint="eastAsia"/>
          <w:kern w:val="2"/>
          <w:sz w:val="21"/>
          <w:szCs w:val="21"/>
        </w:rPr>
        <w:t>ing</w:t>
      </w:r>
      <w:r>
        <w:rPr>
          <w:rFonts w:ascii="Times New Roman" w:eastAsiaTheme="minorEastAsia" w:hAnsi="Times New Roman" w:cs="Times New Roman"/>
          <w:kern w:val="2"/>
          <w:sz w:val="21"/>
          <w:szCs w:val="21"/>
        </w:rPr>
        <w:t xml:space="preserve"> clonal spheres (Left panel) originating from Cx43</w:t>
      </w:r>
      <w:r>
        <w:rPr>
          <w:rFonts w:ascii="Times New Roman" w:eastAsiaTheme="minorEastAsia" w:hAnsi="Times New Roman" w:cs="Times New Roman"/>
          <w:kern w:val="2"/>
          <w:sz w:val="21"/>
          <w:szCs w:val="21"/>
          <w:vertAlign w:val="superscript"/>
        </w:rPr>
        <w:t>+</w:t>
      </w:r>
      <w:r>
        <w:rPr>
          <w:rFonts w:ascii="Times New Roman" w:eastAsiaTheme="minorEastAsia" w:hAnsi="Times New Roman" w:cs="Times New Roman"/>
          <w:kern w:val="2"/>
          <w:sz w:val="21"/>
          <w:szCs w:val="21"/>
        </w:rPr>
        <w:t xml:space="preserve"> RPE stem-like cells dissociated from fetal retinas</w:t>
      </w:r>
      <w:r>
        <w:rPr>
          <w:rFonts w:asciiTheme="minorHAnsi" w:eastAsiaTheme="minorEastAsia" w:hAnsiTheme="minorHAnsi" w:cstheme="minorBidi"/>
          <w:kern w:val="2"/>
          <w:sz w:val="21"/>
          <w:szCs w:val="21"/>
        </w:rPr>
        <w:t xml:space="preserve"> </w:t>
      </w:r>
      <w:r>
        <w:rPr>
          <w:rFonts w:ascii="Times New Roman" w:eastAsiaTheme="minorEastAsia" w:hAnsi="Times New Roman" w:cs="Times New Roman"/>
          <w:kern w:val="2"/>
          <w:sz w:val="21"/>
          <w:szCs w:val="21"/>
        </w:rPr>
        <w:t>at week 19, along with their differentiated cells (</w:t>
      </w:r>
      <w:r>
        <w:rPr>
          <w:rFonts w:ascii="Times New Roman" w:eastAsiaTheme="minorEastAsia" w:hAnsi="Times New Roman" w:cs="Times New Roman" w:hint="eastAsia"/>
          <w:kern w:val="2"/>
          <w:sz w:val="21"/>
          <w:szCs w:val="21"/>
        </w:rPr>
        <w:t>Right</w:t>
      </w:r>
      <w:r>
        <w:rPr>
          <w:rFonts w:ascii="Times New Roman" w:eastAsiaTheme="minorEastAsia" w:hAnsi="Times New Roman" w:cs="Times New Roman"/>
          <w:kern w:val="2"/>
          <w:sz w:val="21"/>
          <w:szCs w:val="21"/>
        </w:rPr>
        <w:t xml:space="preserve"> panel).</w:t>
      </w:r>
      <w:r>
        <w:rPr>
          <w:rFonts w:ascii="Times New Roman" w:hAnsi="Times New Roman" w:cs="Times New Roman"/>
          <w:kern w:val="2"/>
          <w:sz w:val="21"/>
          <w:szCs w:val="21"/>
        </w:rPr>
        <w:t xml:space="preserve"> All representative examples of the data from at least three independent experiments are shown.</w:t>
      </w:r>
    </w:p>
    <w:p w14:paraId="56250832"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65B83C2E" w14:textId="77777777" w:rsidR="00ED2568" w:rsidRDefault="00000000">
      <w:pPr>
        <w:autoSpaceDE w:val="0"/>
        <w:autoSpaceDN w:val="0"/>
        <w:adjustRightInd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7</w:t>
      </w:r>
    </w:p>
    <w:p w14:paraId="67E99EA1" w14:textId="77777777" w:rsidR="00ED2568" w:rsidRDefault="00000000">
      <w:pPr>
        <w:autoSpaceDE w:val="0"/>
        <w:autoSpaceDN w:val="0"/>
        <w:adjustRightInd w:val="0"/>
        <w:spacing w:beforeLines="50" w:before="156" w:afterLines="50" w:after="156" w:line="480" w:lineRule="auto"/>
        <w:jc w:val="center"/>
        <w:rPr>
          <w:rFonts w:ascii="Times New Roman" w:hAnsi="Times New Roman" w:cs="Times New Roman"/>
          <w:b/>
          <w:kern w:val="2"/>
        </w:rPr>
      </w:pPr>
      <w:r>
        <w:rPr>
          <w:noProof/>
        </w:rPr>
        <w:drawing>
          <wp:inline distT="0" distB="0" distL="0" distR="0" wp14:anchorId="25A47761" wp14:editId="3184832E">
            <wp:extent cx="6104255" cy="7611745"/>
            <wp:effectExtent l="0" t="0" r="0" b="8255"/>
            <wp:docPr id="32920388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203882" name="图片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6104255" cy="7611745"/>
                    </a:xfrm>
                    <a:prstGeom prst="rect">
                      <a:avLst/>
                    </a:prstGeom>
                    <a:noFill/>
                    <a:ln>
                      <a:noFill/>
                    </a:ln>
                  </pic:spPr>
                </pic:pic>
              </a:graphicData>
            </a:graphic>
          </wp:inline>
        </w:drawing>
      </w:r>
    </w:p>
    <w:p w14:paraId="0877723D"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 xml:space="preserve">Extended Data Fig. 7 | The CMZ of hROs mediates the neural retina regeneration. </w:t>
      </w:r>
    </w:p>
    <w:p w14:paraId="69664947" w14:textId="77777777" w:rsidR="00ED2568" w:rsidRDefault="00000000">
      <w:pPr>
        <w:widowControl w:val="0"/>
        <w:spacing w:beforeLines="50" w:before="156" w:afterLines="50" w:after="156" w:line="480" w:lineRule="auto"/>
        <w:jc w:val="both"/>
        <w:rPr>
          <w:rFonts w:ascii="Times New Roman" w:hAnsi="Times New Roman" w:cs="Times New Roman"/>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sz w:val="21"/>
          <w:szCs w:val="21"/>
        </w:rPr>
        <w:t xml:space="preserve"> </w:t>
      </w:r>
      <w:r>
        <w:rPr>
          <w:rFonts w:ascii="Times New Roman" w:hAnsi="Times New Roman" w:cs="Times New Roman"/>
          <w:sz w:val="21"/>
          <w:szCs w:val="21"/>
        </w:rPr>
        <w:t>Representative bright-field image of 75-day-old hROs</w:t>
      </w:r>
      <w:r>
        <w:rPr>
          <w:rFonts w:ascii="Times New Roman" w:hAnsi="Times New Roman" w:cs="Times New Roman" w:hint="eastAsia"/>
          <w:sz w:val="21"/>
          <w:szCs w:val="21"/>
        </w:rPr>
        <w:t xml:space="preserve"> with</w:t>
      </w:r>
      <w:r>
        <w:rPr>
          <w:rFonts w:ascii="Times New Roman" w:hAnsi="Times New Roman" w:cs="Times New Roman"/>
          <w:sz w:val="21"/>
          <w:szCs w:val="21"/>
        </w:rPr>
        <w:t xml:space="preserve"> CMZ structure</w:t>
      </w:r>
      <w:r>
        <w:rPr>
          <w:sz w:val="21"/>
          <w:szCs w:val="21"/>
        </w:rPr>
        <w:t xml:space="preserve"> </w:t>
      </w:r>
      <w:r>
        <w:rPr>
          <w:rFonts w:ascii="Times New Roman" w:hAnsi="Times New Roman" w:cs="Times New Roman"/>
          <w:sz w:val="21"/>
          <w:szCs w:val="21"/>
        </w:rPr>
        <w:t xml:space="preserve">from different angles.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Microscopic </w:t>
      </w:r>
      <w:r>
        <w:rPr>
          <w:rFonts w:ascii="Times New Roman" w:hAnsi="Times New Roman" w:cs="Times New Roman"/>
          <w:sz w:val="21"/>
          <w:szCs w:val="21"/>
        </w:rPr>
        <w:lastRenderedPageBreak/>
        <w:t xml:space="preserve">illustrations highlighting CMZ structures within hROs, with asterisks indicating formations resembling stem cell niches.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Representative bright-field image of 75-day-old hROs with a root-like structure (indicated by the white arrow).</w:t>
      </w:r>
      <w:r>
        <w:rPr>
          <w:rFonts w:ascii="Times New Roman" w:hAnsi="Times New Roman" w:cs="Times New Roman" w:hint="eastAsia"/>
          <w:sz w:val="21"/>
          <w:szCs w:val="21"/>
        </w:rPr>
        <w:t xml:space="preserve">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Targeting strategy for the generation of </w:t>
      </w:r>
      <w:r>
        <w:rPr>
          <w:rFonts w:ascii="Times New Roman" w:hAnsi="Times New Roman" w:cs="Times New Roman"/>
          <w:i/>
          <w:sz w:val="21"/>
          <w:szCs w:val="21"/>
        </w:rPr>
        <w:t>VSX2</w:t>
      </w:r>
      <w:r>
        <w:rPr>
          <w:rFonts w:ascii="Times New Roman" w:hAnsi="Times New Roman" w:cs="Times New Roman"/>
          <w:sz w:val="21"/>
          <w:szCs w:val="21"/>
        </w:rPr>
        <w:t>-</w:t>
      </w:r>
      <w:r>
        <w:rPr>
          <w:rFonts w:ascii="Times New Roman" w:hAnsi="Times New Roman" w:cs="Times New Roman" w:hint="eastAsia"/>
          <w:sz w:val="21"/>
          <w:szCs w:val="21"/>
        </w:rPr>
        <w:t>td</w:t>
      </w:r>
      <w:r>
        <w:rPr>
          <w:rFonts w:ascii="Times New Roman" w:hAnsi="Times New Roman" w:cs="Times New Roman"/>
          <w:sz w:val="21"/>
          <w:szCs w:val="21"/>
        </w:rPr>
        <w:t>T</w:t>
      </w:r>
      <w:r>
        <w:rPr>
          <w:rFonts w:ascii="Times New Roman" w:hAnsi="Times New Roman" w:cs="Times New Roman" w:hint="eastAsia"/>
          <w:sz w:val="21"/>
          <w:szCs w:val="21"/>
        </w:rPr>
        <w:t>omato</w:t>
      </w:r>
      <w:r>
        <w:rPr>
          <w:rFonts w:ascii="Times New Roman" w:hAnsi="Times New Roman" w:cs="Times New Roman"/>
          <w:sz w:val="21"/>
          <w:szCs w:val="21"/>
        </w:rPr>
        <w:t xml:space="preserve"> knock-in. Schematic Diagram of Homology-Directed Repair </w:t>
      </w:r>
      <w:r>
        <w:rPr>
          <w:rFonts w:ascii="Times New Roman" w:hAnsi="Times New Roman" w:cs="Times New Roman" w:hint="eastAsia"/>
          <w:sz w:val="21"/>
          <w:szCs w:val="21"/>
        </w:rPr>
        <w:t>t</w:t>
      </w:r>
      <w:r>
        <w:rPr>
          <w:rFonts w:ascii="Times New Roman" w:hAnsi="Times New Roman" w:cs="Times New Roman"/>
          <w:sz w:val="21"/>
          <w:szCs w:val="21"/>
        </w:rPr>
        <w:t xml:space="preserve">emplate for </w:t>
      </w:r>
      <w:r>
        <w:rPr>
          <w:rFonts w:ascii="Times New Roman" w:hAnsi="Times New Roman" w:cs="Times New Roman" w:hint="eastAsia"/>
          <w:sz w:val="21"/>
          <w:szCs w:val="21"/>
        </w:rPr>
        <w:t>g</w:t>
      </w:r>
      <w:r>
        <w:rPr>
          <w:rFonts w:ascii="Times New Roman" w:hAnsi="Times New Roman" w:cs="Times New Roman"/>
          <w:sz w:val="21"/>
          <w:szCs w:val="21"/>
        </w:rPr>
        <w:t xml:space="preserve">ene </w:t>
      </w:r>
      <w:r>
        <w:rPr>
          <w:rFonts w:ascii="Times New Roman" w:hAnsi="Times New Roman" w:cs="Times New Roman" w:hint="eastAsia"/>
          <w:sz w:val="21"/>
          <w:szCs w:val="21"/>
        </w:rPr>
        <w:t>e</w:t>
      </w:r>
      <w:r>
        <w:rPr>
          <w:rFonts w:ascii="Times New Roman" w:hAnsi="Times New Roman" w:cs="Times New Roman"/>
          <w:sz w:val="21"/>
          <w:szCs w:val="21"/>
        </w:rPr>
        <w:t>diting</w:t>
      </w:r>
      <w:r>
        <w:rPr>
          <w:rFonts w:ascii="Times New Roman" w:hAnsi="Times New Roman" w:cs="Times New Roman" w:hint="eastAsia"/>
          <w:sz w:val="21"/>
          <w:szCs w:val="21"/>
        </w:rPr>
        <w:t>.</w:t>
      </w:r>
      <w:r>
        <w:rPr>
          <w:rFonts w:ascii="Times New Roman" w:hAnsi="Times New Roman" w:cs="Times New Roman"/>
          <w:sz w:val="21"/>
          <w:szCs w:val="21"/>
        </w:rPr>
        <w:t xml:space="preserve"> </w:t>
      </w:r>
      <w:r>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Bright field images of </w:t>
      </w:r>
      <w:r>
        <w:rPr>
          <w:rFonts w:ascii="Times New Roman" w:hAnsi="Times New Roman" w:cs="Times New Roman"/>
          <w:i/>
          <w:sz w:val="21"/>
          <w:szCs w:val="21"/>
        </w:rPr>
        <w:t>VSX2</w:t>
      </w:r>
      <w:r>
        <w:rPr>
          <w:rFonts w:ascii="Times New Roman" w:hAnsi="Times New Roman" w:cs="Times New Roman"/>
          <w:sz w:val="21"/>
          <w:szCs w:val="21"/>
        </w:rPr>
        <w:t xml:space="preserve"> (RPC marker)-tdTomato reporter hESCs. </w:t>
      </w:r>
      <w:r>
        <w:rPr>
          <w:rFonts w:ascii="Times New Roman" w:eastAsiaTheme="minorEastAsia" w:hAnsi="Times New Roman" w:cs="Times New Roman"/>
          <w:b/>
          <w:bCs/>
          <w:color w:val="000000" w:themeColor="text1"/>
          <w:kern w:val="2"/>
        </w:rPr>
        <w:t>f</w:t>
      </w:r>
      <w:r>
        <w:rPr>
          <w:rFonts w:ascii="Times New Roman" w:eastAsiaTheme="minorEastAsia" w:hAnsi="Times New Roman" w:cs="Times New Roman"/>
          <w:color w:val="000000" w:themeColor="text1"/>
          <w:kern w:val="2"/>
          <w:sz w:val="21"/>
          <w:szCs w:val="21"/>
        </w:rPr>
        <w:t>,</w:t>
      </w:r>
      <w:r>
        <w:rPr>
          <w:sz w:val="21"/>
          <w:szCs w:val="21"/>
        </w:rPr>
        <w:t xml:space="preserve"> </w:t>
      </w:r>
      <w:r>
        <w:rPr>
          <w:rFonts w:ascii="Times New Roman" w:hAnsi="Times New Roman" w:cs="Times New Roman"/>
          <w:sz w:val="21"/>
          <w:szCs w:val="21"/>
        </w:rPr>
        <w:t xml:space="preserve">Karyotype analysis of </w:t>
      </w:r>
      <w:r>
        <w:rPr>
          <w:rFonts w:ascii="Times New Roman" w:hAnsi="Times New Roman" w:cs="Times New Roman"/>
          <w:i/>
          <w:sz w:val="21"/>
          <w:szCs w:val="21"/>
        </w:rPr>
        <w:t>VSX2</w:t>
      </w:r>
      <w:r>
        <w:rPr>
          <w:rFonts w:ascii="Times New Roman" w:hAnsi="Times New Roman" w:cs="Times New Roman"/>
          <w:sz w:val="21"/>
          <w:szCs w:val="21"/>
        </w:rPr>
        <w:t>-tdTomato reporter hESCs.</w:t>
      </w:r>
      <w:r>
        <w:rPr>
          <w:rFonts w:ascii="Times New Roman" w:hAnsi="Times New Roman" w:cs="Times New Roman" w:hint="eastAsia"/>
          <w:sz w:val="21"/>
          <w:szCs w:val="21"/>
        </w:rPr>
        <w:t xml:space="preserve"> </w:t>
      </w:r>
      <w:r>
        <w:rPr>
          <w:rFonts w:ascii="Times New Roman" w:eastAsiaTheme="minorEastAsia" w:hAnsi="Times New Roman" w:cs="Times New Roman"/>
          <w:b/>
          <w:bCs/>
          <w:color w:val="000000" w:themeColor="text1"/>
          <w:kern w:val="2"/>
        </w:rPr>
        <w:t>g</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w:t>
      </w:r>
      <w:r>
        <w:rPr>
          <w:rFonts w:ascii="Times New Roman" w:hAnsi="Times New Roman" w:cs="Times New Roman"/>
          <w:i/>
          <w:sz w:val="21"/>
          <w:szCs w:val="21"/>
        </w:rPr>
        <w:t>In vivo</w:t>
      </w:r>
      <w:r>
        <w:rPr>
          <w:rFonts w:ascii="Times New Roman" w:hAnsi="Times New Roman" w:cs="Times New Roman"/>
          <w:sz w:val="21"/>
          <w:szCs w:val="21"/>
        </w:rPr>
        <w:t xml:space="preserve"> assessment of trilineage differentiation potential of </w:t>
      </w:r>
      <w:r>
        <w:rPr>
          <w:rFonts w:ascii="Times New Roman" w:hAnsi="Times New Roman" w:cs="Times New Roman"/>
          <w:i/>
          <w:sz w:val="21"/>
          <w:szCs w:val="21"/>
        </w:rPr>
        <w:t>VSX2</w:t>
      </w:r>
      <w:r>
        <w:rPr>
          <w:rFonts w:ascii="Times New Roman" w:hAnsi="Times New Roman" w:cs="Times New Roman"/>
          <w:sz w:val="21"/>
          <w:szCs w:val="21"/>
        </w:rPr>
        <w:t>-tdTomato reporter hESCs. Endoderm marker: AFP, mesoderm marker: α-SMA, and ectoderm marker: GFAP.</w:t>
      </w:r>
      <w:r>
        <w:rPr>
          <w:rFonts w:ascii="Times New Roman" w:hAnsi="Times New Roman" w:cs="Times New Roman" w:hint="eastAsia"/>
          <w:sz w:val="21"/>
          <w:szCs w:val="21"/>
        </w:rPr>
        <w:t xml:space="preserve"> </w:t>
      </w:r>
      <w:r>
        <w:rPr>
          <w:rFonts w:ascii="Times New Roman" w:eastAsiaTheme="minorEastAsia" w:hAnsi="Times New Roman" w:cs="Times New Roman"/>
          <w:b/>
          <w:bCs/>
          <w:color w:val="000000" w:themeColor="text1"/>
          <w:kern w:val="2"/>
        </w:rPr>
        <w:t>h</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Temporal monitoring of retinal regeneration mediated by NR cells or RPE cells (</w:t>
      </w:r>
      <w:r>
        <w:rPr>
          <w:rFonts w:ascii="Times New Roman" w:eastAsiaTheme="minorEastAsia" w:hAnsi="Times New Roman" w:cs="Times New Roman"/>
          <w:b/>
          <w:bCs/>
          <w:color w:val="000000" w:themeColor="text1"/>
          <w:kern w:val="2"/>
        </w:rPr>
        <w:t>i</w:t>
      </w:r>
      <w:r>
        <w:rPr>
          <w:rFonts w:ascii="Times New Roman" w:hAnsi="Times New Roman" w:cs="Times New Roman"/>
          <w:sz w:val="21"/>
          <w:szCs w:val="21"/>
        </w:rPr>
        <w:t xml:space="preserve">) at critical time points (day 5, 10, 20, 40) by tracing regenerated </w:t>
      </w:r>
      <w:r>
        <w:rPr>
          <w:rFonts w:ascii="Times New Roman" w:hAnsi="Times New Roman" w:cs="Times New Roman"/>
          <w:i/>
          <w:sz w:val="21"/>
          <w:szCs w:val="21"/>
        </w:rPr>
        <w:t>VSX2</w:t>
      </w:r>
      <w:r>
        <w:rPr>
          <w:rFonts w:ascii="Times New Roman" w:hAnsi="Times New Roman" w:cs="Times New Roman"/>
          <w:sz w:val="21"/>
          <w:szCs w:val="21"/>
        </w:rPr>
        <w:t xml:space="preserve">-tdTomato positive RPCs within hROs. The region enclosed by the solid-line box indicates the NR region on the 75th day of development prior to regeneration. The region enclosed by the dashed-line box indicates the RPE segment on the 75th day of development before regeneration. The bright-field images are in the upper row, and the corresponding fluorescent images are situated in the lower row. Insets </w:t>
      </w:r>
      <w:r>
        <w:rPr>
          <w:rFonts w:ascii="Times New Roman" w:hAnsi="Times New Roman" w:cs="Times New Roman" w:hint="eastAsia"/>
          <w:sz w:val="21"/>
          <w:szCs w:val="21"/>
        </w:rPr>
        <w:t>in</w:t>
      </w:r>
      <w:r>
        <w:rPr>
          <w:rFonts w:ascii="Times New Roman" w:hAnsi="Times New Roman" w:cs="Times New Roman"/>
          <w:sz w:val="21"/>
          <w:szCs w:val="21"/>
        </w:rPr>
        <w:t xml:space="preserve"> (</w:t>
      </w:r>
      <w:r>
        <w:rPr>
          <w:rFonts w:ascii="Times New Roman" w:eastAsiaTheme="minorEastAsia" w:hAnsi="Times New Roman" w:cs="Times New Roman"/>
          <w:b/>
          <w:bCs/>
          <w:color w:val="000000" w:themeColor="text1"/>
          <w:kern w:val="2"/>
        </w:rPr>
        <w:t>i</w:t>
      </w:r>
      <w:r>
        <w:rPr>
          <w:rFonts w:ascii="Times New Roman" w:hAnsi="Times New Roman" w:cs="Times New Roman"/>
          <w:sz w:val="21"/>
          <w:szCs w:val="21"/>
        </w:rPr>
        <w:t>) represent fluorescent images.</w:t>
      </w:r>
      <w:r>
        <w:rPr>
          <w:rFonts w:ascii="Times New Roman" w:hAnsi="Times New Roman" w:cs="Times New Roman" w:hint="eastAsia"/>
          <w:sz w:val="21"/>
          <w:szCs w:val="21"/>
        </w:rPr>
        <w:t xml:space="preserve"> </w:t>
      </w:r>
      <w:r>
        <w:rPr>
          <w:rFonts w:ascii="Times New Roman" w:eastAsiaTheme="minorEastAsia" w:hAnsi="Times New Roman" w:cs="Times New Roman"/>
          <w:b/>
          <w:bCs/>
          <w:color w:val="000000" w:themeColor="text1"/>
          <w:kern w:val="2"/>
        </w:rPr>
        <w:t>j</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RNA-Seq analysis of transcriptional levels during retinogenesis within hROs</w:t>
      </w:r>
      <w:r>
        <w:rPr>
          <w:sz w:val="21"/>
          <w:szCs w:val="21"/>
        </w:rPr>
        <w:t xml:space="preserve"> </w:t>
      </w:r>
      <w:r>
        <w:rPr>
          <w:rFonts w:ascii="Times New Roman" w:hAnsi="Times New Roman" w:cs="Times New Roman"/>
          <w:sz w:val="21"/>
          <w:szCs w:val="21"/>
        </w:rPr>
        <w:t xml:space="preserve">at normal developmental stages (day </w:t>
      </w:r>
      <w:r>
        <w:rPr>
          <w:rFonts w:ascii="Times New Roman" w:hAnsi="Times New Roman" w:cs="Times New Roman" w:hint="eastAsia"/>
          <w:sz w:val="21"/>
          <w:szCs w:val="21"/>
        </w:rPr>
        <w:t>30</w:t>
      </w:r>
      <w:r>
        <w:rPr>
          <w:rFonts w:ascii="Times New Roman" w:hAnsi="Times New Roman" w:cs="Times New Roman"/>
          <w:sz w:val="21"/>
          <w:szCs w:val="21"/>
        </w:rPr>
        <w:t xml:space="preserve">, </w:t>
      </w:r>
      <w:r>
        <w:rPr>
          <w:rFonts w:ascii="Times New Roman" w:hAnsi="Times New Roman" w:cs="Times New Roman" w:hint="eastAsia"/>
          <w:sz w:val="21"/>
          <w:szCs w:val="21"/>
        </w:rPr>
        <w:t>4</w:t>
      </w:r>
      <w:r>
        <w:rPr>
          <w:rFonts w:ascii="Times New Roman" w:hAnsi="Times New Roman" w:cs="Times New Roman"/>
          <w:sz w:val="21"/>
          <w:szCs w:val="21"/>
        </w:rPr>
        <w:t xml:space="preserve">5, </w:t>
      </w:r>
      <w:r>
        <w:rPr>
          <w:rFonts w:ascii="Times New Roman" w:hAnsi="Times New Roman" w:cs="Times New Roman" w:hint="eastAsia"/>
          <w:sz w:val="21"/>
          <w:szCs w:val="21"/>
        </w:rPr>
        <w:t>6</w:t>
      </w:r>
      <w:r>
        <w:rPr>
          <w:rFonts w:ascii="Times New Roman" w:hAnsi="Times New Roman" w:cs="Times New Roman"/>
          <w:sz w:val="21"/>
          <w:szCs w:val="21"/>
        </w:rPr>
        <w:t xml:space="preserve">0, </w:t>
      </w:r>
      <w:r>
        <w:rPr>
          <w:rFonts w:ascii="Times New Roman" w:hAnsi="Times New Roman" w:cs="Times New Roman" w:hint="eastAsia"/>
          <w:sz w:val="21"/>
          <w:szCs w:val="21"/>
        </w:rPr>
        <w:t>75</w:t>
      </w:r>
      <w:r>
        <w:rPr>
          <w:rFonts w:ascii="Times New Roman" w:hAnsi="Times New Roman" w:cs="Times New Roman"/>
          <w:sz w:val="21"/>
          <w:szCs w:val="21"/>
        </w:rPr>
        <w:t xml:space="preserve">, </w:t>
      </w:r>
      <w:r>
        <w:rPr>
          <w:rFonts w:ascii="Times New Roman" w:hAnsi="Times New Roman" w:cs="Times New Roman" w:hint="eastAsia"/>
          <w:sz w:val="21"/>
          <w:szCs w:val="21"/>
        </w:rPr>
        <w:t>9</w:t>
      </w:r>
      <w:r>
        <w:rPr>
          <w:rFonts w:ascii="Times New Roman" w:hAnsi="Times New Roman" w:cs="Times New Roman"/>
          <w:sz w:val="21"/>
          <w:szCs w:val="21"/>
        </w:rPr>
        <w:t>0</w:t>
      </w:r>
      <w:r>
        <w:rPr>
          <w:rFonts w:ascii="Times New Roman" w:hAnsi="Times New Roman" w:cs="Times New Roman" w:hint="eastAsia"/>
          <w:sz w:val="21"/>
          <w:szCs w:val="21"/>
        </w:rPr>
        <w:t>, 115</w:t>
      </w:r>
      <w:r>
        <w:rPr>
          <w:rFonts w:ascii="Times New Roman" w:hAnsi="Times New Roman" w:cs="Times New Roman"/>
          <w:sz w:val="21"/>
          <w:szCs w:val="21"/>
        </w:rPr>
        <w:t>).</w:t>
      </w:r>
      <w:r>
        <w:rPr>
          <w:rFonts w:ascii="Times New Roman" w:hAnsi="Times New Roman" w:cs="Times New Roman"/>
          <w:kern w:val="2"/>
          <w:sz w:val="21"/>
          <w:szCs w:val="21"/>
        </w:rPr>
        <w:t xml:space="preserve"> All representative examples of the data from at least three independent experiments are shown.</w:t>
      </w:r>
    </w:p>
    <w:p w14:paraId="14160EB3"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2D3E9DB4" w14:textId="77777777" w:rsidR="00ED2568" w:rsidRDefault="00000000">
      <w:pPr>
        <w:autoSpaceDE w:val="0"/>
        <w:autoSpaceDN w:val="0"/>
        <w:adjustRightInd w:val="0"/>
        <w:spacing w:afterLines="50" w:after="156" w:line="480" w:lineRule="auto"/>
        <w:jc w:val="both"/>
        <w:rPr>
          <w:rFonts w:ascii="Times New Roman" w:hAnsi="Times New Roman" w:cs="Times New Roman"/>
          <w:b/>
          <w:kern w:val="2"/>
        </w:rPr>
      </w:pPr>
      <w:r>
        <w:rPr>
          <w:rFonts w:ascii="Times New Roman" w:hAnsi="Times New Roman" w:cs="Times New Roman"/>
          <w:b/>
          <w:kern w:val="2"/>
        </w:rPr>
        <w:lastRenderedPageBreak/>
        <w:t>Extended Data Fig. 8</w:t>
      </w:r>
    </w:p>
    <w:p w14:paraId="5634D077" w14:textId="77777777" w:rsidR="00ED2568" w:rsidRDefault="00000000">
      <w:pPr>
        <w:autoSpaceDE w:val="0"/>
        <w:autoSpaceDN w:val="0"/>
        <w:adjustRightInd w:val="0"/>
        <w:spacing w:afterLines="50" w:after="156" w:line="480" w:lineRule="auto"/>
        <w:jc w:val="center"/>
        <w:rPr>
          <w:rFonts w:ascii="Times New Roman" w:hAnsi="Times New Roman" w:cs="Times New Roman"/>
          <w:b/>
          <w:kern w:val="2"/>
        </w:rPr>
      </w:pPr>
      <w:r>
        <w:rPr>
          <w:noProof/>
        </w:rPr>
        <w:drawing>
          <wp:inline distT="0" distB="0" distL="0" distR="0" wp14:anchorId="43A9455E" wp14:editId="4FD6EFD4">
            <wp:extent cx="6265545" cy="6875145"/>
            <wp:effectExtent l="0" t="0" r="1905" b="1905"/>
            <wp:docPr id="154039818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398184" name="图片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6265545" cy="6875145"/>
                    </a:xfrm>
                    <a:prstGeom prst="rect">
                      <a:avLst/>
                    </a:prstGeom>
                    <a:noFill/>
                    <a:ln>
                      <a:noFill/>
                    </a:ln>
                  </pic:spPr>
                </pic:pic>
              </a:graphicData>
            </a:graphic>
          </wp:inline>
        </w:drawing>
      </w:r>
    </w:p>
    <w:p w14:paraId="432E4969"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 xml:space="preserve">Extended Data Fig. 8 | The similarity of cell types between hORs and fetal retinas. </w:t>
      </w:r>
    </w:p>
    <w:p w14:paraId="61C3155D" w14:textId="77777777" w:rsidR="00ED2568" w:rsidRDefault="00000000">
      <w:pPr>
        <w:widowControl w:val="0"/>
        <w:spacing w:beforeLines="50" w:before="156" w:afterLines="50" w:after="156" w:line="480" w:lineRule="auto"/>
        <w:jc w:val="both"/>
        <w:rPr>
          <w:rFonts w:ascii="Times New Roman" w:eastAsiaTheme="minorEastAsia" w:hAnsi="Times New Roman" w:cs="Times New Roman"/>
          <w:kern w:val="2"/>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UMAP embedding demonstrating the cells combined from both hROs in 75 days and fetal retinas colored by cell types.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Dotplot exhibiting expression of selected marker genes across cell types in the combined s</w:t>
      </w:r>
      <w:r>
        <w:rPr>
          <w:rFonts w:ascii="Times New Roman" w:hAnsi="Times New Roman" w:cs="Times New Roman" w:hint="eastAsia"/>
          <w:sz w:val="21"/>
          <w:szCs w:val="21"/>
        </w:rPr>
        <w:t>n</w:t>
      </w:r>
      <w:r>
        <w:rPr>
          <w:rFonts w:ascii="Times New Roman" w:hAnsi="Times New Roman" w:cs="Times New Roman"/>
          <w:sz w:val="21"/>
          <w:szCs w:val="21"/>
        </w:rPr>
        <w:t xml:space="preserve">RNA-seq dataset.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UMAP plot showing cells from the combined s</w:t>
      </w:r>
      <w:r>
        <w:rPr>
          <w:rFonts w:ascii="Times New Roman" w:hAnsi="Times New Roman" w:cs="Times New Roman" w:hint="eastAsia"/>
          <w:sz w:val="21"/>
          <w:szCs w:val="21"/>
        </w:rPr>
        <w:t>n</w:t>
      </w:r>
      <w:r>
        <w:rPr>
          <w:rFonts w:ascii="Times New Roman" w:hAnsi="Times New Roman" w:cs="Times New Roman"/>
          <w:sz w:val="21"/>
          <w:szCs w:val="21"/>
        </w:rPr>
        <w:t xml:space="preserve">RNA-seq dataset. Cells are colored by using the hROs (organoid) and fetal retinas (fetal). </w:t>
      </w:r>
      <w:r>
        <w:rPr>
          <w:rFonts w:ascii="Times New Roman" w:eastAsiaTheme="minorEastAsia" w:hAnsi="Times New Roman" w:cs="Times New Roman"/>
          <w:b/>
          <w:bCs/>
          <w:color w:val="000000" w:themeColor="text1"/>
          <w:kern w:val="2"/>
        </w:rPr>
        <w:lastRenderedPageBreak/>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Cell compositions of cell types in hROs (organoid) and fetal retinas (fetal). </w:t>
      </w:r>
      <w:r>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Correlation of cell compositions between hROs (organoid) and fetal retinas (fetal). Pearson correlation analysis was used to calculate the significance and coefficients. </w:t>
      </w:r>
      <w:r>
        <w:rPr>
          <w:rFonts w:ascii="Times New Roman" w:eastAsiaTheme="minorEastAsia" w:hAnsi="Times New Roman" w:cs="Times New Roman"/>
          <w:b/>
          <w:bCs/>
          <w:color w:val="000000" w:themeColor="text1"/>
          <w:kern w:val="2"/>
        </w:rPr>
        <w:t>f</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Common biological processes significantly enriched by highly specific expressed genes in hNRSCs shared between hROs (organoid) and fetal retinas (fetal). The WebGestalt tool was used to perform the enrichment analysis based on the GO-term resource</w:t>
      </w:r>
      <w:r>
        <w:rPr>
          <w:rFonts w:ascii="Times New Roman" w:hAnsi="Times New Roman" w:cs="Times New Roman" w:hint="eastAsia"/>
          <w:sz w:val="21"/>
          <w:szCs w:val="21"/>
        </w:rPr>
        <w:t>.</w:t>
      </w:r>
    </w:p>
    <w:p w14:paraId="141770EC"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6253C2EF"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9</w:t>
      </w:r>
    </w:p>
    <w:p w14:paraId="426A2351" w14:textId="77777777" w:rsidR="00ED2568" w:rsidRDefault="00000000">
      <w:pPr>
        <w:widowControl w:val="0"/>
        <w:spacing w:beforeLines="50" w:before="156" w:afterLines="50" w:after="156" w:line="480" w:lineRule="auto"/>
        <w:jc w:val="center"/>
        <w:rPr>
          <w:rFonts w:ascii="Times New Roman" w:hAnsi="Times New Roman" w:cs="Times New Roman"/>
          <w:b/>
          <w:kern w:val="2"/>
        </w:rPr>
      </w:pPr>
      <w:r>
        <w:rPr>
          <w:noProof/>
        </w:rPr>
        <w:drawing>
          <wp:inline distT="0" distB="0" distL="0" distR="0" wp14:anchorId="03BB7934" wp14:editId="4A25638E">
            <wp:extent cx="6265545" cy="3547745"/>
            <wp:effectExtent l="0" t="0" r="1905" b="0"/>
            <wp:docPr id="12809750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97504" name="图片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6265545" cy="3547745"/>
                    </a:xfrm>
                    <a:prstGeom prst="rect">
                      <a:avLst/>
                    </a:prstGeom>
                    <a:noFill/>
                    <a:ln>
                      <a:noFill/>
                    </a:ln>
                  </pic:spPr>
                </pic:pic>
              </a:graphicData>
            </a:graphic>
          </wp:inline>
        </w:drawing>
      </w:r>
    </w:p>
    <w:p w14:paraId="7CD9A1C1"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 xml:space="preserve">Extended Data Fig. 9 | Identification of </w:t>
      </w:r>
      <w:r>
        <w:rPr>
          <w:rFonts w:ascii="Times New Roman" w:hAnsi="Times New Roman" w:cs="Times New Roman" w:hint="eastAsia"/>
          <w:b/>
          <w:kern w:val="2"/>
        </w:rPr>
        <w:t>hNRSC</w:t>
      </w:r>
      <w:r>
        <w:rPr>
          <w:rFonts w:ascii="Times New Roman" w:hAnsi="Times New Roman" w:cs="Times New Roman"/>
          <w:b/>
          <w:kern w:val="2"/>
        </w:rPr>
        <w:t xml:space="preserve">s in </w:t>
      </w:r>
      <w:r>
        <w:rPr>
          <w:rFonts w:ascii="Times New Roman" w:hAnsi="Times New Roman" w:cs="Times New Roman" w:hint="eastAsia"/>
          <w:b/>
          <w:kern w:val="2"/>
        </w:rPr>
        <w:t>hROs</w:t>
      </w:r>
      <w:r>
        <w:rPr>
          <w:rFonts w:ascii="Times New Roman" w:hAnsi="Times New Roman" w:cs="Times New Roman"/>
          <w:b/>
          <w:kern w:val="2"/>
        </w:rPr>
        <w:t xml:space="preserve">. </w:t>
      </w:r>
    </w:p>
    <w:p w14:paraId="441F6652" w14:textId="77777777" w:rsidR="00ED2568" w:rsidRDefault="00000000">
      <w:pPr>
        <w:widowControl w:val="0"/>
        <w:spacing w:beforeLines="50" w:before="156" w:afterLines="50" w:after="156" w:line="480" w:lineRule="auto"/>
        <w:jc w:val="both"/>
        <w:rPr>
          <w:rFonts w:ascii="Times New Roman" w:hAnsi="Times New Roman" w:cs="Times New Roman"/>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Immunostaining of </w:t>
      </w:r>
      <w:r>
        <w:rPr>
          <w:rFonts w:ascii="Times New Roman" w:hAnsi="Times New Roman" w:cs="Times New Roman" w:hint="eastAsia"/>
          <w:sz w:val="21"/>
          <w:szCs w:val="21"/>
        </w:rPr>
        <w:t>r</w:t>
      </w:r>
      <w:r>
        <w:rPr>
          <w:rFonts w:ascii="Times New Roman" w:hAnsi="Times New Roman" w:cs="Times New Roman"/>
          <w:sz w:val="21"/>
          <w:szCs w:val="21"/>
        </w:rPr>
        <w:t xml:space="preserve">epresentative </w:t>
      </w:r>
      <w:r>
        <w:rPr>
          <w:rFonts w:ascii="Times New Roman" w:hAnsi="Times New Roman" w:cs="Times New Roman" w:hint="eastAsia"/>
          <w:sz w:val="21"/>
          <w:szCs w:val="21"/>
        </w:rPr>
        <w:t>m</w:t>
      </w:r>
      <w:r>
        <w:rPr>
          <w:rFonts w:ascii="Times New Roman" w:hAnsi="Times New Roman" w:cs="Times New Roman"/>
          <w:sz w:val="21"/>
          <w:szCs w:val="21"/>
        </w:rPr>
        <w:t xml:space="preserve">arkers for CMZ </w:t>
      </w:r>
      <w:r>
        <w:rPr>
          <w:rFonts w:ascii="Times New Roman" w:hAnsi="Times New Roman" w:cs="Times New Roman" w:hint="eastAsia"/>
          <w:sz w:val="21"/>
          <w:szCs w:val="21"/>
        </w:rPr>
        <w:t>region</w:t>
      </w:r>
      <w:r>
        <w:rPr>
          <w:rFonts w:ascii="Times New Roman" w:hAnsi="Times New Roman" w:cs="Times New Roman"/>
          <w:sz w:val="21"/>
          <w:szCs w:val="21"/>
        </w:rPr>
        <w:t xml:space="preserve"> (ZIC1), proliferative hNRSC</w:t>
      </w:r>
      <w:r>
        <w:rPr>
          <w:rFonts w:ascii="Times New Roman" w:hAnsi="Times New Roman" w:cs="Times New Roman" w:hint="eastAsia"/>
          <w:sz w:val="21"/>
          <w:szCs w:val="21"/>
        </w:rPr>
        <w:t>s</w:t>
      </w:r>
      <w:r>
        <w:rPr>
          <w:rFonts w:ascii="Times New Roman" w:hAnsi="Times New Roman" w:cs="Times New Roman"/>
          <w:sz w:val="21"/>
          <w:szCs w:val="21"/>
        </w:rPr>
        <w:t xml:space="preserve"> (Ki67)</w:t>
      </w:r>
      <w:r>
        <w:rPr>
          <w:rFonts w:ascii="Times New Roman" w:hAnsi="Times New Roman" w:cs="Times New Roman" w:hint="eastAsia"/>
          <w:sz w:val="21"/>
          <w:szCs w:val="21"/>
        </w:rPr>
        <w:t xml:space="preserve"> and early RPCs (NES</w:t>
      </w:r>
      <w:r>
        <w:rPr>
          <w:rFonts w:ascii="Times New Roman" w:hAnsi="Times New Roman" w:cs="Times New Roman"/>
          <w:sz w:val="21"/>
          <w:szCs w:val="21"/>
        </w:rPr>
        <w:t>)</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in hROs </w:t>
      </w:r>
      <w:r>
        <w:rPr>
          <w:rFonts w:ascii="Times New Roman" w:hAnsi="Times New Roman" w:cs="Times New Roman" w:hint="eastAsia"/>
          <w:sz w:val="21"/>
          <w:szCs w:val="21"/>
        </w:rPr>
        <w:t>on</w:t>
      </w:r>
      <w:r>
        <w:rPr>
          <w:rFonts w:ascii="Times New Roman" w:hAnsi="Times New Roman" w:cs="Times New Roman"/>
          <w:sz w:val="21"/>
          <w:szCs w:val="21"/>
        </w:rPr>
        <w:t xml:space="preserve"> day 75.</w:t>
      </w:r>
      <w:r>
        <w:rPr>
          <w:sz w:val="21"/>
          <w:szCs w:val="21"/>
        </w:rPr>
        <w:t xml:space="preserve">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w:t>
      </w:r>
      <w:r>
        <w:rPr>
          <w:rFonts w:ascii="Times New Roman" w:eastAsiaTheme="minorEastAsia" w:hAnsi="Times New Roman" w:cs="Times New Roman"/>
          <w:color w:val="000000" w:themeColor="text1"/>
          <w:kern w:val="2"/>
          <w:sz w:val="21"/>
          <w:szCs w:val="21"/>
        </w:rPr>
        <w:t>Immunostaining</w:t>
      </w:r>
      <w:r>
        <w:rPr>
          <w:rFonts w:ascii="Times New Roman" w:hAnsi="Times New Roman" w:cs="Times New Roman"/>
          <w:sz w:val="21"/>
          <w:szCs w:val="21"/>
        </w:rPr>
        <w:t xml:space="preserve"> of representative markers for</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RPE stem-like cells (PMEL, Cx43) in hROs </w:t>
      </w:r>
      <w:r>
        <w:rPr>
          <w:rFonts w:ascii="Times New Roman" w:hAnsi="Times New Roman" w:cs="Times New Roman" w:hint="eastAsia"/>
          <w:sz w:val="21"/>
          <w:szCs w:val="21"/>
        </w:rPr>
        <w:t>on</w:t>
      </w:r>
      <w:r>
        <w:rPr>
          <w:rFonts w:ascii="Times New Roman" w:hAnsi="Times New Roman" w:cs="Times New Roman"/>
          <w:sz w:val="21"/>
          <w:szCs w:val="21"/>
        </w:rPr>
        <w:t xml:space="preserve"> day 75.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Micrographs representing clonal spheres originating from hNRSCs and </w:t>
      </w:r>
      <w:r>
        <w:rPr>
          <w:rFonts w:ascii="Times New Roman" w:hAnsi="Times New Roman" w:cs="Times New Roman" w:hint="eastAsia"/>
          <w:sz w:val="21"/>
          <w:szCs w:val="21"/>
        </w:rPr>
        <w:t xml:space="preserve">control </w:t>
      </w:r>
      <w:r>
        <w:rPr>
          <w:rFonts w:ascii="Times New Roman" w:hAnsi="Times New Roman" w:cs="Times New Roman"/>
          <w:sz w:val="21"/>
          <w:szCs w:val="21"/>
        </w:rPr>
        <w:t xml:space="preserve">NR </w:t>
      </w:r>
      <w:r>
        <w:rPr>
          <w:rFonts w:ascii="Times New Roman" w:eastAsiaTheme="minorEastAsia" w:hAnsi="Times New Roman" w:cs="Times New Roman"/>
          <w:color w:val="000000" w:themeColor="text1"/>
          <w:kern w:val="2"/>
          <w:sz w:val="21"/>
          <w:szCs w:val="21"/>
        </w:rPr>
        <w:t>cells</w:t>
      </w:r>
      <w:r>
        <w:rPr>
          <w:rFonts w:ascii="Times New Roman" w:hAnsi="Times New Roman" w:cs="Times New Roman"/>
          <w:sz w:val="21"/>
          <w:szCs w:val="21"/>
        </w:rPr>
        <w:t xml:space="preserve"> dissociated from 75-day-old hROs.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Quantitative analysis of sphere formation conducted on hNRSCs and NR cells isolated from 75-day-old hROs. </w:t>
      </w:r>
      <w:r>
        <w:rPr>
          <w:rFonts w:ascii="Times New Roman" w:hAnsi="Times New Roman" w:cs="Times New Roman"/>
          <w:kern w:val="2"/>
          <w:sz w:val="21"/>
          <w:szCs w:val="21"/>
        </w:rPr>
        <w:t>All representative examples of the data from at least three independent experiments are shown. Data are mean ± SD; ***</w:t>
      </w:r>
      <w:r>
        <w:rPr>
          <w:rFonts w:ascii="Times New Roman" w:hAnsi="Times New Roman" w:cs="Times New Roman"/>
          <w:i/>
          <w:kern w:val="2"/>
          <w:sz w:val="21"/>
          <w:szCs w:val="21"/>
        </w:rPr>
        <w:t xml:space="preserve">P </w:t>
      </w:r>
      <w:r>
        <w:rPr>
          <w:rFonts w:ascii="Times New Roman" w:hAnsi="Times New Roman" w:cs="Times New Roman"/>
          <w:kern w:val="2"/>
          <w:sz w:val="21"/>
          <w:szCs w:val="21"/>
        </w:rPr>
        <w:t>&lt; 0.0</w:t>
      </w:r>
      <w:r>
        <w:rPr>
          <w:rFonts w:ascii="Times New Roman" w:hAnsi="Times New Roman" w:cs="Times New Roman" w:hint="eastAsia"/>
          <w:kern w:val="2"/>
          <w:sz w:val="21"/>
          <w:szCs w:val="21"/>
        </w:rPr>
        <w:t>0</w:t>
      </w:r>
      <w:r>
        <w:rPr>
          <w:rFonts w:ascii="Times New Roman" w:hAnsi="Times New Roman" w:cs="Times New Roman"/>
          <w:kern w:val="2"/>
          <w:sz w:val="21"/>
          <w:szCs w:val="21"/>
        </w:rPr>
        <w:t>1.</w:t>
      </w:r>
    </w:p>
    <w:p w14:paraId="03A51F59"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70B05EB7" w14:textId="77777777" w:rsidR="00ED2568" w:rsidRDefault="00000000">
      <w:pPr>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10</w:t>
      </w:r>
    </w:p>
    <w:p w14:paraId="392E73F7" w14:textId="77777777" w:rsidR="00ED2568" w:rsidRDefault="00000000">
      <w:pPr>
        <w:spacing w:beforeLines="50" w:before="156" w:afterLines="50" w:after="156" w:line="480" w:lineRule="auto"/>
        <w:jc w:val="center"/>
        <w:rPr>
          <w:rFonts w:ascii="Times New Roman" w:hAnsi="Times New Roman" w:cs="Times New Roman"/>
          <w:b/>
          <w:bCs/>
          <w:color w:val="A53E42"/>
        </w:rPr>
      </w:pPr>
      <w:r>
        <w:rPr>
          <w:noProof/>
        </w:rPr>
        <w:drawing>
          <wp:inline distT="0" distB="0" distL="0" distR="0" wp14:anchorId="17692A1C" wp14:editId="388140C0">
            <wp:extent cx="6265545" cy="8458200"/>
            <wp:effectExtent l="0" t="0" r="1905" b="0"/>
            <wp:docPr id="37161785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617852" name="图片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6265545" cy="8458200"/>
                    </a:xfrm>
                    <a:prstGeom prst="rect">
                      <a:avLst/>
                    </a:prstGeom>
                    <a:noFill/>
                    <a:ln>
                      <a:noFill/>
                    </a:ln>
                  </pic:spPr>
                </pic:pic>
              </a:graphicData>
            </a:graphic>
          </wp:inline>
        </w:drawing>
      </w:r>
    </w:p>
    <w:p w14:paraId="46238A58"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10 | Analysis of s</w:t>
      </w:r>
      <w:r>
        <w:rPr>
          <w:rFonts w:ascii="Times New Roman" w:hAnsi="Times New Roman" w:cs="Times New Roman" w:hint="eastAsia"/>
          <w:b/>
          <w:kern w:val="2"/>
        </w:rPr>
        <w:t>n</w:t>
      </w:r>
      <w:r>
        <w:rPr>
          <w:rFonts w:ascii="Times New Roman" w:hAnsi="Times New Roman" w:cs="Times New Roman"/>
          <w:b/>
          <w:kern w:val="2"/>
        </w:rPr>
        <w:t>RNA-seq profiling of cells in h</w:t>
      </w:r>
      <w:r>
        <w:rPr>
          <w:rFonts w:ascii="Times New Roman" w:hAnsi="Times New Roman" w:cs="Times New Roman" w:hint="eastAsia"/>
          <w:b/>
          <w:kern w:val="2"/>
        </w:rPr>
        <w:t>RO</w:t>
      </w:r>
      <w:r>
        <w:rPr>
          <w:rFonts w:ascii="Times New Roman" w:hAnsi="Times New Roman" w:cs="Times New Roman"/>
          <w:b/>
          <w:kern w:val="2"/>
        </w:rPr>
        <w:t xml:space="preserve">s across five regeneration time points. </w:t>
      </w:r>
    </w:p>
    <w:p w14:paraId="5C7F33F9" w14:textId="77777777" w:rsidR="00ED2568" w:rsidRDefault="00000000">
      <w:pPr>
        <w:widowControl w:val="0"/>
        <w:spacing w:beforeLines="50" w:before="156" w:afterLines="50" w:after="156" w:line="480" w:lineRule="auto"/>
        <w:jc w:val="both"/>
        <w:rPr>
          <w:rFonts w:ascii="Times New Roman" w:hAnsi="Times New Roman" w:cs="Times New Roman"/>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UMAP visualization of selected marker genes of four cell types in lineage 1 and two cell types in lineage 2 colored </w:t>
      </w:r>
      <w:r>
        <w:rPr>
          <w:rFonts w:ascii="Times New Roman" w:eastAsiaTheme="minorEastAsia" w:hAnsi="Times New Roman" w:cs="Times New Roman"/>
          <w:color w:val="000000" w:themeColor="text1"/>
          <w:kern w:val="2"/>
          <w:sz w:val="21"/>
          <w:szCs w:val="21"/>
        </w:rPr>
        <w:t>by</w:t>
      </w:r>
      <w:r>
        <w:rPr>
          <w:rFonts w:ascii="Times New Roman" w:hAnsi="Times New Roman" w:cs="Times New Roman"/>
          <w:sz w:val="21"/>
          <w:szCs w:val="21"/>
        </w:rPr>
        <w:t xml:space="preserve"> the density of gene expression.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UMAP plot showing the composition of cells in h</w:t>
      </w:r>
      <w:r>
        <w:rPr>
          <w:rFonts w:ascii="Times New Roman" w:hAnsi="Times New Roman" w:cs="Times New Roman" w:hint="eastAsia"/>
          <w:sz w:val="21"/>
          <w:szCs w:val="21"/>
        </w:rPr>
        <w:t>RO</w:t>
      </w:r>
      <w:r>
        <w:rPr>
          <w:rFonts w:ascii="Times New Roman" w:hAnsi="Times New Roman" w:cs="Times New Roman"/>
          <w:sz w:val="21"/>
          <w:szCs w:val="21"/>
        </w:rPr>
        <w:t xml:space="preserve">s across the regeneration process colored by the five time points.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Cell proportions of 10 cell types across five regeneration time points in h</w:t>
      </w:r>
      <w:r>
        <w:rPr>
          <w:rFonts w:ascii="Times New Roman" w:hAnsi="Times New Roman" w:cs="Times New Roman" w:hint="eastAsia"/>
          <w:sz w:val="21"/>
          <w:szCs w:val="21"/>
        </w:rPr>
        <w:t>RO</w:t>
      </w:r>
      <w:r>
        <w:rPr>
          <w:rFonts w:ascii="Times New Roman" w:hAnsi="Times New Roman" w:cs="Times New Roman"/>
          <w:sz w:val="21"/>
          <w:szCs w:val="21"/>
        </w:rPr>
        <w:t xml:space="preserve">s.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Pseudotime trajectory analysis of single-cell RNA-profiling in cell types of hROs during the regeneration via Monocle 2. d1:</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Distribution of cell types in the predicted trajectory. d2: Monocle-ordered cells based on the single-cell transcriptomic profiles colored by the predicted pesudotimes. d3. Trajectory of four cell types in lineage 1 and two cell types in lineage 2. </w:t>
      </w:r>
      <w:r>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Boxplot showing the Stem_ID-</w:t>
      </w:r>
      <w:r>
        <w:rPr>
          <w:rFonts w:ascii="Times New Roman" w:hAnsi="Times New Roman" w:cs="Times New Roman" w:hint="eastAsia"/>
          <w:sz w:val="21"/>
          <w:szCs w:val="21"/>
        </w:rPr>
        <w:t>cal</w:t>
      </w:r>
      <w:r>
        <w:rPr>
          <w:rFonts w:ascii="Times New Roman" w:hAnsi="Times New Roman" w:cs="Times New Roman"/>
          <w:sz w:val="21"/>
          <w:szCs w:val="21"/>
        </w:rPr>
        <w:t>culated stemness scores across four cell types in lineage 1.</w:t>
      </w:r>
    </w:p>
    <w:p w14:paraId="16F9C7C7"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0771DB7D" w14:textId="77777777" w:rsidR="00ED2568" w:rsidRDefault="00000000">
      <w:pPr>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11</w:t>
      </w:r>
    </w:p>
    <w:p w14:paraId="35FDF4BF" w14:textId="77777777" w:rsidR="00ED2568" w:rsidRDefault="00000000">
      <w:pPr>
        <w:spacing w:beforeLines="50" w:before="156" w:afterLines="50" w:after="156" w:line="480" w:lineRule="auto"/>
        <w:jc w:val="center"/>
        <w:rPr>
          <w:rFonts w:ascii="Times New Roman" w:hAnsi="Times New Roman" w:cs="Times New Roman"/>
          <w:b/>
          <w:bCs/>
          <w:color w:val="A53E42"/>
        </w:rPr>
      </w:pPr>
      <w:r>
        <w:rPr>
          <w:noProof/>
        </w:rPr>
        <w:drawing>
          <wp:inline distT="0" distB="0" distL="0" distR="0" wp14:anchorId="519DD1A7" wp14:editId="2E80CD95">
            <wp:extent cx="6265545" cy="4195445"/>
            <wp:effectExtent l="0" t="0" r="1905" b="0"/>
            <wp:docPr id="71525225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252250" name="图片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6265545" cy="4195445"/>
                    </a:xfrm>
                    <a:prstGeom prst="rect">
                      <a:avLst/>
                    </a:prstGeom>
                    <a:noFill/>
                    <a:ln>
                      <a:noFill/>
                    </a:ln>
                  </pic:spPr>
                </pic:pic>
              </a:graphicData>
            </a:graphic>
          </wp:inline>
        </w:drawing>
      </w:r>
    </w:p>
    <w:p w14:paraId="6AA30EEA"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 xml:space="preserve">Extended Data Fig. 11 | Functional enrichment analysis of significantly up-regulated genes in hNRSCs at the regenerative age of day 5 compared to day 0. </w:t>
      </w:r>
    </w:p>
    <w:p w14:paraId="0C800472" w14:textId="77777777" w:rsidR="00ED2568" w:rsidRDefault="00000000">
      <w:pPr>
        <w:widowControl w:val="0"/>
        <w:spacing w:beforeLines="50" w:before="156" w:afterLines="50" w:after="156" w:line="480" w:lineRule="auto"/>
        <w:jc w:val="both"/>
        <w:rPr>
          <w:rFonts w:ascii="Times New Roman" w:hAnsi="Times New Roman" w:cs="Times New Roman"/>
          <w:kern w:val="2"/>
          <w:sz w:val="21"/>
          <w:szCs w:val="21"/>
        </w:rPr>
      </w:pPr>
      <w:r>
        <w:rPr>
          <w:rFonts w:ascii="Times New Roman" w:hAnsi="Times New Roman" w:cs="Times New Roman"/>
          <w:kern w:val="2"/>
          <w:sz w:val="21"/>
          <w:szCs w:val="21"/>
        </w:rPr>
        <w:t xml:space="preserve">Note: There were 221 </w:t>
      </w:r>
      <w:r>
        <w:rPr>
          <w:rFonts w:ascii="Times New Roman" w:eastAsiaTheme="minorEastAsia" w:hAnsi="Times New Roman" w:cs="Times New Roman"/>
          <w:color w:val="000000" w:themeColor="text1"/>
          <w:kern w:val="2"/>
          <w:sz w:val="21"/>
          <w:szCs w:val="21"/>
        </w:rPr>
        <w:t>significantly</w:t>
      </w:r>
      <w:r>
        <w:rPr>
          <w:rFonts w:ascii="Times New Roman" w:hAnsi="Times New Roman" w:cs="Times New Roman"/>
          <w:kern w:val="2"/>
          <w:sz w:val="21"/>
          <w:szCs w:val="21"/>
        </w:rPr>
        <w:t xml:space="preserve"> up-regulated genes in hNRSCs at</w:t>
      </w:r>
      <w:r>
        <w:rPr>
          <w:rFonts w:asciiTheme="minorHAnsi" w:eastAsiaTheme="minorEastAsia" w:hAnsiTheme="minorHAnsi" w:cstheme="minorBidi"/>
          <w:kern w:val="2"/>
          <w:sz w:val="21"/>
          <w:szCs w:val="21"/>
        </w:rPr>
        <w:t xml:space="preserve"> </w:t>
      </w:r>
      <w:r>
        <w:rPr>
          <w:rFonts w:ascii="Times New Roman" w:hAnsi="Times New Roman" w:cs="Times New Roman"/>
          <w:kern w:val="2"/>
          <w:sz w:val="21"/>
          <w:szCs w:val="21"/>
        </w:rPr>
        <w:t xml:space="preserve">the regenerative age of day 5 compared to day 0 (FDR &lt; 0.05, log2FC &gt; 0.25). The GO-term resource of biological processes category was used to conduct the functional enrichment analysis. Red vertical dash line indicates the significant threshold of FDR &lt; 0.05, and blue vertical dash line indicates the suggestive threshold of FDR &lt; 0.1. </w:t>
      </w:r>
    </w:p>
    <w:p w14:paraId="2637504C"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33104701" w14:textId="77777777" w:rsidR="00ED2568" w:rsidRDefault="00000000">
      <w:pPr>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12</w:t>
      </w:r>
    </w:p>
    <w:p w14:paraId="1280D193" w14:textId="77777777" w:rsidR="00ED2568" w:rsidRDefault="00000000">
      <w:pPr>
        <w:spacing w:beforeLines="50" w:before="156" w:afterLines="50" w:after="156" w:line="480" w:lineRule="auto"/>
        <w:jc w:val="center"/>
        <w:rPr>
          <w:rFonts w:ascii="Times New Roman" w:hAnsi="Times New Roman" w:cs="Times New Roman"/>
          <w:b/>
          <w:bCs/>
          <w:color w:val="A53E42"/>
        </w:rPr>
      </w:pPr>
      <w:r>
        <w:rPr>
          <w:noProof/>
        </w:rPr>
        <w:drawing>
          <wp:inline distT="0" distB="0" distL="0" distR="0" wp14:anchorId="1E5BA5C5" wp14:editId="3CF34BD6">
            <wp:extent cx="6265545" cy="8407400"/>
            <wp:effectExtent l="0" t="0" r="1905" b="0"/>
            <wp:docPr id="24620605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06059" name="图片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6265545" cy="8407400"/>
                    </a:xfrm>
                    <a:prstGeom prst="rect">
                      <a:avLst/>
                    </a:prstGeom>
                    <a:noFill/>
                    <a:ln>
                      <a:noFill/>
                    </a:ln>
                  </pic:spPr>
                </pic:pic>
              </a:graphicData>
            </a:graphic>
          </wp:inline>
        </w:drawing>
      </w:r>
    </w:p>
    <w:p w14:paraId="72F4B091"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 xml:space="preserve">Extended Data Fig. 12 | Multi-omic single-cell data analysis highlighting the vital role of MECOM in regulating hNRSCs. </w:t>
      </w:r>
    </w:p>
    <w:p w14:paraId="3026A569" w14:textId="77777777" w:rsidR="00ED2568" w:rsidRDefault="00000000">
      <w:pPr>
        <w:widowControl w:val="0"/>
        <w:spacing w:beforeLines="50" w:before="156" w:afterLines="50" w:after="156" w:line="480" w:lineRule="auto"/>
        <w:jc w:val="both"/>
        <w:rPr>
          <w:rFonts w:ascii="Times New Roman" w:hAnsi="Times New Roman" w:cs="Times New Roman"/>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Pando-inferred gene regulatory network of MECOM and its targeted genes via integrating fetal retinal s</w:t>
      </w:r>
      <w:r>
        <w:rPr>
          <w:rFonts w:ascii="Times New Roman" w:hAnsi="Times New Roman" w:cs="Times New Roman" w:hint="eastAsia"/>
          <w:sz w:val="21"/>
          <w:szCs w:val="21"/>
        </w:rPr>
        <w:t>n</w:t>
      </w:r>
      <w:r>
        <w:rPr>
          <w:rFonts w:ascii="Times New Roman" w:hAnsi="Times New Roman" w:cs="Times New Roman"/>
          <w:sz w:val="21"/>
          <w:szCs w:val="21"/>
        </w:rPr>
        <w:t>RNA-seq and s</w:t>
      </w:r>
      <w:r>
        <w:rPr>
          <w:rFonts w:ascii="Times New Roman" w:hAnsi="Times New Roman" w:cs="Times New Roman" w:hint="eastAsia"/>
          <w:sz w:val="21"/>
          <w:szCs w:val="21"/>
        </w:rPr>
        <w:t>n</w:t>
      </w:r>
      <w:r>
        <w:rPr>
          <w:rFonts w:ascii="Times New Roman" w:hAnsi="Times New Roman" w:cs="Times New Roman"/>
          <w:sz w:val="21"/>
          <w:szCs w:val="21"/>
        </w:rPr>
        <w:t xml:space="preserve">ATAC-seq data.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Heatmap of the scaled regulon activity across cell types as inferred by cis-regulatory network analysis using SCENIC based on human retinal s</w:t>
      </w:r>
      <w:r>
        <w:rPr>
          <w:rFonts w:ascii="Times New Roman" w:hAnsi="Times New Roman" w:cs="Times New Roman" w:hint="eastAsia"/>
          <w:sz w:val="21"/>
          <w:szCs w:val="21"/>
        </w:rPr>
        <w:t>n</w:t>
      </w:r>
      <w:r>
        <w:rPr>
          <w:rFonts w:ascii="Times New Roman" w:hAnsi="Times New Roman" w:cs="Times New Roman"/>
          <w:sz w:val="21"/>
          <w:szCs w:val="21"/>
        </w:rPr>
        <w:t xml:space="preserve">RNA-seq data. Rows indicate cell types, and columns indicate cell type-specific scaled regulon activity.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Expression of two TFs of </w:t>
      </w:r>
      <w:r>
        <w:rPr>
          <w:rFonts w:ascii="Times New Roman" w:hAnsi="Times New Roman" w:cs="Times New Roman"/>
          <w:i/>
          <w:sz w:val="21"/>
          <w:szCs w:val="21"/>
        </w:rPr>
        <w:t xml:space="preserve">MECOM </w:t>
      </w:r>
      <w:r>
        <w:rPr>
          <w:rFonts w:ascii="Times New Roman" w:hAnsi="Times New Roman" w:cs="Times New Roman"/>
          <w:sz w:val="21"/>
          <w:szCs w:val="21"/>
        </w:rPr>
        <w:t xml:space="preserve">and </w:t>
      </w:r>
      <w:r>
        <w:rPr>
          <w:rFonts w:ascii="Times New Roman" w:hAnsi="Times New Roman" w:cs="Times New Roman"/>
          <w:i/>
          <w:sz w:val="21"/>
          <w:szCs w:val="21"/>
        </w:rPr>
        <w:t>TXB20</w:t>
      </w:r>
      <w:r>
        <w:rPr>
          <w:rFonts w:ascii="Times New Roman" w:hAnsi="Times New Roman" w:cs="Times New Roman"/>
          <w:sz w:val="21"/>
          <w:szCs w:val="21"/>
        </w:rPr>
        <w:t xml:space="preserve"> and five their targeted genes (</w:t>
      </w:r>
      <w:r>
        <w:rPr>
          <w:rFonts w:ascii="Times New Roman" w:hAnsi="Times New Roman" w:cs="Times New Roman"/>
          <w:i/>
          <w:sz w:val="21"/>
          <w:szCs w:val="21"/>
        </w:rPr>
        <w:t>FOXP1, MEIS1, COL9A1, CPAMD8,</w:t>
      </w:r>
      <w:r>
        <w:rPr>
          <w:rFonts w:ascii="Times New Roman" w:hAnsi="Times New Roman" w:cs="Times New Roman"/>
          <w:sz w:val="21"/>
          <w:szCs w:val="21"/>
        </w:rPr>
        <w:t xml:space="preserve"> and </w:t>
      </w:r>
      <w:r>
        <w:rPr>
          <w:rFonts w:ascii="Times New Roman" w:hAnsi="Times New Roman" w:cs="Times New Roman"/>
          <w:i/>
          <w:sz w:val="21"/>
          <w:szCs w:val="21"/>
        </w:rPr>
        <w:t>RELN</w:t>
      </w:r>
      <w:r>
        <w:rPr>
          <w:rFonts w:ascii="Times New Roman" w:hAnsi="Times New Roman" w:cs="Times New Roman"/>
          <w:sz w:val="21"/>
          <w:szCs w:val="21"/>
        </w:rPr>
        <w:t xml:space="preserve">) ranked by the pesudotimes of cells in both fetal retina (left panel) and hROs regeneration (right panel).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Characterization of </w:t>
      </w:r>
      <w:r>
        <w:rPr>
          <w:rFonts w:ascii="Times New Roman" w:hAnsi="Times New Roman" w:cs="Times New Roman"/>
          <w:i/>
          <w:sz w:val="21"/>
          <w:szCs w:val="21"/>
        </w:rPr>
        <w:t>MECOM</w:t>
      </w:r>
      <w:r>
        <w:rPr>
          <w:rFonts w:ascii="Times New Roman" w:hAnsi="Times New Roman" w:cs="Times New Roman"/>
          <w:sz w:val="21"/>
          <w:szCs w:val="21"/>
        </w:rPr>
        <w:t>-targeted genes based on hROs regeneration s</w:t>
      </w:r>
      <w:r>
        <w:rPr>
          <w:rFonts w:ascii="Times New Roman" w:hAnsi="Times New Roman" w:cs="Times New Roman" w:hint="eastAsia"/>
          <w:sz w:val="21"/>
          <w:szCs w:val="21"/>
        </w:rPr>
        <w:t>n</w:t>
      </w:r>
      <w:r>
        <w:rPr>
          <w:rFonts w:ascii="Times New Roman" w:hAnsi="Times New Roman" w:cs="Times New Roman"/>
          <w:sz w:val="21"/>
          <w:szCs w:val="21"/>
        </w:rPr>
        <w:t xml:space="preserve">RNA-seq data. d1: UMAP visualization of cells in hROs colored by </w:t>
      </w:r>
      <w:r>
        <w:rPr>
          <w:rFonts w:ascii="Times New Roman" w:hAnsi="Times New Roman" w:cs="Times New Roman"/>
          <w:i/>
          <w:sz w:val="21"/>
          <w:szCs w:val="21"/>
        </w:rPr>
        <w:t>MECOM</w:t>
      </w:r>
      <w:r>
        <w:rPr>
          <w:rFonts w:ascii="Times New Roman" w:hAnsi="Times New Roman" w:cs="Times New Roman"/>
          <w:sz w:val="21"/>
          <w:szCs w:val="21"/>
        </w:rPr>
        <w:t xml:space="preserve">-targeted gene scores. There were 13 genes, including </w:t>
      </w:r>
      <w:r>
        <w:rPr>
          <w:rFonts w:ascii="Times New Roman" w:hAnsi="Times New Roman" w:cs="Times New Roman"/>
          <w:i/>
          <w:sz w:val="21"/>
          <w:szCs w:val="21"/>
        </w:rPr>
        <w:t>COL9A1, RELN, FBN1, ROR1, PLCH1, CACNB4, CPLX4, CPAMD8, UTRN, PLD1, SDK1, COLEC12</w:t>
      </w:r>
      <w:r>
        <w:rPr>
          <w:rFonts w:ascii="Times New Roman" w:hAnsi="Times New Roman" w:cs="Times New Roman"/>
          <w:sz w:val="21"/>
          <w:szCs w:val="21"/>
        </w:rPr>
        <w:t xml:space="preserve">, and </w:t>
      </w:r>
      <w:r>
        <w:rPr>
          <w:rFonts w:ascii="Times New Roman" w:hAnsi="Times New Roman" w:cs="Times New Roman"/>
          <w:i/>
          <w:sz w:val="21"/>
          <w:szCs w:val="21"/>
        </w:rPr>
        <w:t>HSD17B2</w:t>
      </w:r>
      <w:r>
        <w:rPr>
          <w:rFonts w:ascii="Times New Roman" w:hAnsi="Times New Roman" w:cs="Times New Roman"/>
          <w:sz w:val="21"/>
          <w:szCs w:val="21"/>
        </w:rPr>
        <w:t xml:space="preserve">, targeted by </w:t>
      </w:r>
      <w:r>
        <w:rPr>
          <w:rFonts w:ascii="Times New Roman" w:hAnsi="Times New Roman" w:cs="Times New Roman"/>
          <w:i/>
          <w:sz w:val="21"/>
          <w:szCs w:val="21"/>
        </w:rPr>
        <w:t>MECOM</w:t>
      </w:r>
      <w:r>
        <w:rPr>
          <w:rFonts w:ascii="Times New Roman" w:hAnsi="Times New Roman" w:cs="Times New Roman"/>
          <w:sz w:val="21"/>
          <w:szCs w:val="21"/>
        </w:rPr>
        <w:t xml:space="preserve"> based on the Pando-inferred TF-gene regulatory network. The </w:t>
      </w:r>
      <w:r>
        <w:rPr>
          <w:rFonts w:ascii="Times New Roman" w:hAnsi="Times New Roman" w:cs="Times New Roman"/>
          <w:i/>
          <w:sz w:val="21"/>
          <w:szCs w:val="21"/>
        </w:rPr>
        <w:t>MECOM</w:t>
      </w:r>
      <w:r>
        <w:rPr>
          <w:rFonts w:ascii="Times New Roman" w:hAnsi="Times New Roman" w:cs="Times New Roman"/>
          <w:sz w:val="21"/>
          <w:szCs w:val="21"/>
        </w:rPr>
        <w:t xml:space="preserve">-targeted gene scores were calculated by using </w:t>
      </w:r>
      <w:r>
        <w:rPr>
          <w:rFonts w:ascii="Times New Roman" w:hAnsi="Times New Roman" w:cs="Times New Roman"/>
          <w:i/>
          <w:sz w:val="21"/>
          <w:szCs w:val="21"/>
        </w:rPr>
        <w:t>AddModuleScore</w:t>
      </w:r>
      <w:r>
        <w:rPr>
          <w:rFonts w:ascii="Times New Roman" w:hAnsi="Times New Roman" w:cs="Times New Roman"/>
          <w:sz w:val="21"/>
          <w:szCs w:val="21"/>
        </w:rPr>
        <w:t xml:space="preserve"> function in Seurat. d2: Boxplot demonstrating the </w:t>
      </w:r>
      <w:r>
        <w:rPr>
          <w:rFonts w:ascii="Times New Roman" w:hAnsi="Times New Roman" w:cs="Times New Roman"/>
          <w:i/>
          <w:sz w:val="21"/>
          <w:szCs w:val="21"/>
        </w:rPr>
        <w:t>MECOM</w:t>
      </w:r>
      <w:r>
        <w:rPr>
          <w:rFonts w:ascii="Times New Roman" w:hAnsi="Times New Roman" w:cs="Times New Roman"/>
          <w:sz w:val="21"/>
          <w:szCs w:val="21"/>
        </w:rPr>
        <w:t xml:space="preserve">-targeted gene scores of cells in 10 cell types across five time points of </w:t>
      </w:r>
      <w:r>
        <w:rPr>
          <w:rFonts w:ascii="Times New Roman" w:hAnsi="Times New Roman" w:cs="Times New Roman" w:hint="eastAsia"/>
          <w:sz w:val="21"/>
          <w:szCs w:val="21"/>
        </w:rPr>
        <w:t>hRO</w:t>
      </w:r>
      <w:r>
        <w:rPr>
          <w:rFonts w:ascii="Times New Roman" w:hAnsi="Times New Roman" w:cs="Times New Roman"/>
          <w:sz w:val="21"/>
          <w:szCs w:val="21"/>
        </w:rPr>
        <w:t xml:space="preserve"> regeneration. d3: Network visualization of GO-term biological process enrichments by using </w:t>
      </w:r>
      <w:r>
        <w:rPr>
          <w:rFonts w:ascii="Times New Roman" w:hAnsi="Times New Roman" w:cs="Times New Roman"/>
          <w:i/>
          <w:sz w:val="21"/>
          <w:szCs w:val="21"/>
        </w:rPr>
        <w:t>MECOM</w:t>
      </w:r>
      <w:r>
        <w:rPr>
          <w:rFonts w:ascii="Times New Roman" w:hAnsi="Times New Roman" w:cs="Times New Roman"/>
          <w:sz w:val="21"/>
          <w:szCs w:val="21"/>
        </w:rPr>
        <w:t>-targeted genes. GO-term biological process enrichment analysis is performed by using the Metascape.</w:t>
      </w:r>
    </w:p>
    <w:p w14:paraId="55A47500"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21296242" w14:textId="77777777" w:rsidR="00ED2568" w:rsidRDefault="00000000">
      <w:pPr>
        <w:autoSpaceDE w:val="0"/>
        <w:autoSpaceDN w:val="0"/>
        <w:adjustRightInd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13</w:t>
      </w:r>
    </w:p>
    <w:p w14:paraId="4BAB4EF9" w14:textId="77777777" w:rsidR="00ED2568" w:rsidRDefault="00000000">
      <w:pPr>
        <w:autoSpaceDE w:val="0"/>
        <w:autoSpaceDN w:val="0"/>
        <w:adjustRightInd w:val="0"/>
        <w:spacing w:beforeLines="50" w:before="156" w:afterLines="50" w:after="156" w:line="480" w:lineRule="auto"/>
        <w:jc w:val="center"/>
        <w:rPr>
          <w:rFonts w:ascii="Times New Roman" w:hAnsi="Times New Roman" w:cs="Times New Roman"/>
          <w:b/>
          <w:bCs/>
          <w:color w:val="A53E42"/>
        </w:rPr>
      </w:pPr>
      <w:r>
        <w:rPr>
          <w:noProof/>
        </w:rPr>
        <w:drawing>
          <wp:inline distT="0" distB="0" distL="0" distR="0" wp14:anchorId="5CB11F57" wp14:editId="120C3B34">
            <wp:extent cx="6265545" cy="3098800"/>
            <wp:effectExtent l="0" t="0" r="1905" b="6350"/>
            <wp:docPr id="54995367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953677" name="图片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6265545" cy="3098800"/>
                    </a:xfrm>
                    <a:prstGeom prst="rect">
                      <a:avLst/>
                    </a:prstGeom>
                    <a:noFill/>
                    <a:ln>
                      <a:noFill/>
                    </a:ln>
                  </pic:spPr>
                </pic:pic>
              </a:graphicData>
            </a:graphic>
          </wp:inline>
        </w:drawing>
      </w:r>
    </w:p>
    <w:p w14:paraId="06018DDD"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Extended Data Fig. 13 | The loss of MECOM function affects retinal regeneration.</w:t>
      </w:r>
    </w:p>
    <w:p w14:paraId="04ABFDE1" w14:textId="77777777" w:rsidR="00ED2568" w:rsidRDefault="00000000">
      <w:pPr>
        <w:widowControl w:val="0"/>
        <w:spacing w:beforeLines="50" w:before="156" w:afterLines="50" w:after="156" w:line="480" w:lineRule="auto"/>
        <w:jc w:val="both"/>
        <w:rPr>
          <w:rFonts w:ascii="Times New Roman" w:eastAsiaTheme="minorEastAsia" w:hAnsi="Times New Roman" w:cs="Times New Roman"/>
          <w:kern w:val="2"/>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w:t>
      </w:r>
      <w:r>
        <w:rPr>
          <w:sz w:val="21"/>
          <w:szCs w:val="21"/>
        </w:rPr>
        <w:t xml:space="preserve"> </w:t>
      </w:r>
      <w:r>
        <w:rPr>
          <w:rFonts w:ascii="Times New Roman" w:hAnsi="Times New Roman" w:cs="Times New Roman"/>
          <w:sz w:val="21"/>
          <w:szCs w:val="21"/>
        </w:rPr>
        <w:t xml:space="preserve">Immunoﬂuorescence </w:t>
      </w:r>
      <w:r>
        <w:rPr>
          <w:rFonts w:ascii="Times New Roman" w:hAnsi="Times New Roman" w:cs="Times New Roman" w:hint="eastAsia"/>
          <w:sz w:val="21"/>
          <w:szCs w:val="21"/>
        </w:rPr>
        <w:t>s</w:t>
      </w:r>
      <w:r>
        <w:rPr>
          <w:rFonts w:ascii="Times New Roman" w:hAnsi="Times New Roman" w:cs="Times New Roman"/>
          <w:sz w:val="21"/>
          <w:szCs w:val="21"/>
        </w:rPr>
        <w:t xml:space="preserve">taining </w:t>
      </w:r>
      <w:r>
        <w:rPr>
          <w:rFonts w:ascii="Times New Roman" w:hAnsi="Times New Roman" w:cs="Times New Roman" w:hint="eastAsia"/>
          <w:sz w:val="21"/>
          <w:szCs w:val="21"/>
        </w:rPr>
        <w:t>a</w:t>
      </w:r>
      <w:r>
        <w:rPr>
          <w:rFonts w:ascii="Times New Roman" w:hAnsi="Times New Roman" w:cs="Times New Roman"/>
          <w:sz w:val="21"/>
          <w:szCs w:val="21"/>
        </w:rPr>
        <w:t xml:space="preserve">nalysis to </w:t>
      </w:r>
      <w:r>
        <w:rPr>
          <w:rFonts w:ascii="Times New Roman" w:hAnsi="Times New Roman" w:cs="Times New Roman" w:hint="eastAsia"/>
          <w:sz w:val="21"/>
          <w:szCs w:val="21"/>
        </w:rPr>
        <w:t>e</w:t>
      </w:r>
      <w:r>
        <w:rPr>
          <w:rFonts w:ascii="Times New Roman" w:hAnsi="Times New Roman" w:cs="Times New Roman"/>
          <w:sz w:val="21"/>
          <w:szCs w:val="21"/>
        </w:rPr>
        <w:t xml:space="preserve">valuate the </w:t>
      </w:r>
      <w:r>
        <w:rPr>
          <w:rFonts w:ascii="Times New Roman" w:eastAsiaTheme="minorEastAsia" w:hAnsi="Times New Roman" w:cs="Times New Roman" w:hint="eastAsia"/>
          <w:color w:val="000000" w:themeColor="text1"/>
          <w:kern w:val="2"/>
          <w:sz w:val="21"/>
          <w:szCs w:val="21"/>
        </w:rPr>
        <w:t>k</w:t>
      </w:r>
      <w:r>
        <w:rPr>
          <w:rFonts w:ascii="Times New Roman" w:eastAsiaTheme="minorEastAsia" w:hAnsi="Times New Roman" w:cs="Times New Roman"/>
          <w:color w:val="000000" w:themeColor="text1"/>
          <w:kern w:val="2"/>
          <w:sz w:val="21"/>
          <w:szCs w:val="21"/>
        </w:rPr>
        <w:t>nockdown</w:t>
      </w:r>
      <w:r>
        <w:rPr>
          <w:rFonts w:ascii="Times New Roman" w:hAnsi="Times New Roman" w:cs="Times New Roman"/>
          <w:sz w:val="21"/>
          <w:szCs w:val="21"/>
        </w:rPr>
        <w:t xml:space="preserve"> </w:t>
      </w:r>
      <w:r>
        <w:rPr>
          <w:rFonts w:ascii="Times New Roman" w:hAnsi="Times New Roman" w:cs="Times New Roman" w:hint="eastAsia"/>
          <w:sz w:val="21"/>
          <w:szCs w:val="21"/>
        </w:rPr>
        <w:t>e</w:t>
      </w:r>
      <w:r>
        <w:rPr>
          <w:rFonts w:ascii="Times New Roman" w:hAnsi="Times New Roman" w:cs="Times New Roman"/>
          <w:sz w:val="21"/>
          <w:szCs w:val="21"/>
        </w:rPr>
        <w:t xml:space="preserve">fficacy of the MECOM </w:t>
      </w:r>
      <w:r>
        <w:rPr>
          <w:rFonts w:ascii="Times New Roman" w:hAnsi="Times New Roman" w:cs="Times New Roman" w:hint="eastAsia"/>
          <w:sz w:val="21"/>
          <w:szCs w:val="21"/>
        </w:rPr>
        <w:t>g</w:t>
      </w:r>
      <w:r>
        <w:rPr>
          <w:rFonts w:ascii="Times New Roman" w:hAnsi="Times New Roman" w:cs="Times New Roman"/>
          <w:sz w:val="21"/>
          <w:szCs w:val="21"/>
        </w:rPr>
        <w:t>ene in 20-</w:t>
      </w:r>
      <w:r>
        <w:rPr>
          <w:rFonts w:ascii="Times New Roman" w:hAnsi="Times New Roman" w:cs="Times New Roman" w:hint="eastAsia"/>
          <w:sz w:val="21"/>
          <w:szCs w:val="21"/>
        </w:rPr>
        <w:t>d</w:t>
      </w:r>
      <w:r>
        <w:rPr>
          <w:rFonts w:ascii="Times New Roman" w:hAnsi="Times New Roman" w:cs="Times New Roman"/>
          <w:sz w:val="21"/>
          <w:szCs w:val="21"/>
        </w:rPr>
        <w:t>ay-</w:t>
      </w:r>
      <w:r>
        <w:rPr>
          <w:rFonts w:ascii="Times New Roman" w:hAnsi="Times New Roman" w:cs="Times New Roman" w:hint="eastAsia"/>
          <w:sz w:val="21"/>
          <w:szCs w:val="21"/>
        </w:rPr>
        <w:t>r</w:t>
      </w:r>
      <w:r>
        <w:rPr>
          <w:rFonts w:ascii="Times New Roman" w:hAnsi="Times New Roman" w:cs="Times New Roman"/>
          <w:sz w:val="21"/>
          <w:szCs w:val="21"/>
        </w:rPr>
        <w:t xml:space="preserve">egenerated </w:t>
      </w:r>
      <w:r>
        <w:rPr>
          <w:rFonts w:ascii="Times New Roman" w:hAnsi="Times New Roman" w:cs="Times New Roman" w:hint="eastAsia"/>
          <w:sz w:val="21"/>
          <w:szCs w:val="21"/>
        </w:rPr>
        <w:t>hRO</w:t>
      </w:r>
      <w:r>
        <w:rPr>
          <w:rFonts w:ascii="Times New Roman" w:hAnsi="Times New Roman" w:cs="Times New Roman"/>
          <w:sz w:val="21"/>
          <w:szCs w:val="21"/>
        </w:rPr>
        <w:t xml:space="preserve">s.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sz w:val="21"/>
          <w:szCs w:val="21"/>
        </w:rPr>
        <w:t xml:space="preserve"> </w:t>
      </w:r>
      <w:r>
        <w:rPr>
          <w:rFonts w:ascii="Times New Roman" w:eastAsiaTheme="minorEastAsia" w:hAnsi="Times New Roman" w:cs="Times New Roman"/>
          <w:color w:val="000000" w:themeColor="text1"/>
          <w:kern w:val="2"/>
          <w:sz w:val="21"/>
          <w:szCs w:val="21"/>
        </w:rPr>
        <w:t>Immunofluorescence</w:t>
      </w:r>
      <w:r>
        <w:rPr>
          <w:rFonts w:ascii="Times New Roman" w:hAnsi="Times New Roman" w:cs="Times New Roman"/>
          <w:sz w:val="21"/>
          <w:szCs w:val="21"/>
        </w:rPr>
        <w:t xml:space="preserve"> </w:t>
      </w:r>
      <w:r>
        <w:rPr>
          <w:rFonts w:ascii="Times New Roman" w:hAnsi="Times New Roman" w:cs="Times New Roman" w:hint="eastAsia"/>
          <w:sz w:val="21"/>
          <w:szCs w:val="21"/>
        </w:rPr>
        <w:t>s</w:t>
      </w:r>
      <w:r>
        <w:rPr>
          <w:rFonts w:ascii="Times New Roman" w:hAnsi="Times New Roman" w:cs="Times New Roman"/>
          <w:sz w:val="21"/>
          <w:szCs w:val="21"/>
        </w:rPr>
        <w:t xml:space="preserve">taining </w:t>
      </w:r>
      <w:r>
        <w:rPr>
          <w:rFonts w:ascii="Times New Roman" w:hAnsi="Times New Roman" w:cs="Times New Roman" w:hint="eastAsia"/>
          <w:sz w:val="21"/>
          <w:szCs w:val="21"/>
        </w:rPr>
        <w:t>a</w:t>
      </w:r>
      <w:r>
        <w:rPr>
          <w:rFonts w:ascii="Times New Roman" w:hAnsi="Times New Roman" w:cs="Times New Roman"/>
          <w:sz w:val="21"/>
          <w:szCs w:val="21"/>
        </w:rPr>
        <w:t xml:space="preserve">nalysis of the </w:t>
      </w:r>
      <w:r>
        <w:rPr>
          <w:rFonts w:ascii="Times New Roman" w:hAnsi="Times New Roman" w:cs="Times New Roman" w:hint="eastAsia"/>
          <w:sz w:val="21"/>
          <w:szCs w:val="21"/>
        </w:rPr>
        <w:t>e</w:t>
      </w:r>
      <w:r>
        <w:rPr>
          <w:rFonts w:ascii="Times New Roman" w:hAnsi="Times New Roman" w:cs="Times New Roman"/>
          <w:sz w:val="21"/>
          <w:szCs w:val="21"/>
        </w:rPr>
        <w:t xml:space="preserve">ffects of MECOM </w:t>
      </w:r>
      <w:r>
        <w:rPr>
          <w:rFonts w:ascii="Times New Roman" w:hAnsi="Times New Roman" w:cs="Times New Roman" w:hint="eastAsia"/>
          <w:sz w:val="21"/>
          <w:szCs w:val="21"/>
        </w:rPr>
        <w:t>k</w:t>
      </w:r>
      <w:r>
        <w:rPr>
          <w:rFonts w:ascii="Times New Roman" w:hAnsi="Times New Roman" w:cs="Times New Roman"/>
          <w:sz w:val="21"/>
          <w:szCs w:val="21"/>
        </w:rPr>
        <w:t xml:space="preserve">nockdown on </w:t>
      </w:r>
      <w:r>
        <w:rPr>
          <w:rFonts w:ascii="Times New Roman" w:hAnsi="Times New Roman" w:cs="Times New Roman" w:hint="eastAsia"/>
          <w:sz w:val="21"/>
          <w:szCs w:val="21"/>
        </w:rPr>
        <w:t>v</w:t>
      </w:r>
      <w:r>
        <w:rPr>
          <w:rFonts w:ascii="Times New Roman" w:hAnsi="Times New Roman" w:cs="Times New Roman"/>
          <w:sz w:val="21"/>
          <w:szCs w:val="21"/>
        </w:rPr>
        <w:t xml:space="preserve">arious </w:t>
      </w:r>
      <w:r>
        <w:rPr>
          <w:rFonts w:ascii="Times New Roman" w:hAnsi="Times New Roman" w:cs="Times New Roman" w:hint="eastAsia"/>
          <w:sz w:val="21"/>
          <w:szCs w:val="21"/>
        </w:rPr>
        <w:t>r</w:t>
      </w:r>
      <w:r>
        <w:rPr>
          <w:rFonts w:ascii="Times New Roman" w:hAnsi="Times New Roman" w:cs="Times New Roman"/>
          <w:sz w:val="21"/>
          <w:szCs w:val="21"/>
        </w:rPr>
        <w:t xml:space="preserve">etinal </w:t>
      </w:r>
      <w:r>
        <w:rPr>
          <w:rFonts w:ascii="Times New Roman" w:hAnsi="Times New Roman" w:cs="Times New Roman" w:hint="eastAsia"/>
          <w:sz w:val="21"/>
          <w:szCs w:val="21"/>
        </w:rPr>
        <w:t>c</w:t>
      </w:r>
      <w:r>
        <w:rPr>
          <w:rFonts w:ascii="Times New Roman" w:hAnsi="Times New Roman" w:cs="Times New Roman"/>
          <w:sz w:val="21"/>
          <w:szCs w:val="21"/>
        </w:rPr>
        <w:t xml:space="preserve">ell </w:t>
      </w:r>
      <w:r>
        <w:rPr>
          <w:rFonts w:ascii="Times New Roman" w:hAnsi="Times New Roman" w:cs="Times New Roman" w:hint="eastAsia"/>
          <w:sz w:val="21"/>
          <w:szCs w:val="21"/>
        </w:rPr>
        <w:t>t</w:t>
      </w:r>
      <w:r>
        <w:rPr>
          <w:rFonts w:ascii="Times New Roman" w:hAnsi="Times New Roman" w:cs="Times New Roman"/>
          <w:sz w:val="21"/>
          <w:szCs w:val="21"/>
        </w:rPr>
        <w:t xml:space="preserve">ypes in </w:t>
      </w:r>
      <w:r>
        <w:rPr>
          <w:rFonts w:ascii="Times New Roman" w:hAnsi="Times New Roman" w:cs="Times New Roman" w:hint="eastAsia"/>
          <w:sz w:val="21"/>
          <w:szCs w:val="21"/>
        </w:rPr>
        <w:t>4</w:t>
      </w:r>
      <w:r>
        <w:rPr>
          <w:rFonts w:ascii="Times New Roman" w:hAnsi="Times New Roman" w:cs="Times New Roman"/>
          <w:sz w:val="21"/>
          <w:szCs w:val="21"/>
        </w:rPr>
        <w:t>0-</w:t>
      </w:r>
      <w:r>
        <w:rPr>
          <w:rFonts w:ascii="Times New Roman" w:hAnsi="Times New Roman" w:cs="Times New Roman" w:hint="eastAsia"/>
          <w:sz w:val="21"/>
          <w:szCs w:val="21"/>
        </w:rPr>
        <w:t>d</w:t>
      </w:r>
      <w:r>
        <w:rPr>
          <w:rFonts w:ascii="Times New Roman" w:hAnsi="Times New Roman" w:cs="Times New Roman"/>
          <w:sz w:val="21"/>
          <w:szCs w:val="21"/>
        </w:rPr>
        <w:t>ay-</w:t>
      </w:r>
      <w:r>
        <w:rPr>
          <w:rFonts w:ascii="Times New Roman" w:hAnsi="Times New Roman" w:cs="Times New Roman" w:hint="eastAsia"/>
          <w:sz w:val="21"/>
          <w:szCs w:val="21"/>
        </w:rPr>
        <w:t>r</w:t>
      </w:r>
      <w:r>
        <w:rPr>
          <w:rFonts w:ascii="Times New Roman" w:hAnsi="Times New Roman" w:cs="Times New Roman"/>
          <w:sz w:val="21"/>
          <w:szCs w:val="21"/>
        </w:rPr>
        <w:t xml:space="preserve">egenerated </w:t>
      </w:r>
      <w:r>
        <w:rPr>
          <w:rFonts w:ascii="Times New Roman" w:hAnsi="Times New Roman" w:cs="Times New Roman" w:hint="eastAsia"/>
          <w:sz w:val="21"/>
          <w:szCs w:val="21"/>
        </w:rPr>
        <w:t>hROs</w:t>
      </w:r>
      <w:r>
        <w:rPr>
          <w:rFonts w:ascii="Times New Roman" w:hAnsi="Times New Roman" w:cs="Times New Roman"/>
          <w:sz w:val="21"/>
          <w:szCs w:val="21"/>
        </w:rPr>
        <w:t>.</w:t>
      </w:r>
      <w:r>
        <w:rPr>
          <w:rFonts w:ascii="Times New Roman" w:hAnsi="Times New Roman" w:cs="Times New Roman"/>
          <w:kern w:val="2"/>
          <w:sz w:val="21"/>
          <w:szCs w:val="21"/>
        </w:rPr>
        <w:t xml:space="preserve"> All representative examples of the data from at least three independent experiments are shown.</w:t>
      </w:r>
    </w:p>
    <w:p w14:paraId="553742C1" w14:textId="77777777" w:rsidR="00ED2568" w:rsidRDefault="00ED2568">
      <w:pPr>
        <w:autoSpaceDE w:val="0"/>
        <w:autoSpaceDN w:val="0"/>
        <w:adjustRightInd w:val="0"/>
        <w:spacing w:beforeLines="50" w:before="156" w:afterLines="50" w:after="156" w:line="480" w:lineRule="auto"/>
        <w:rPr>
          <w:rFonts w:ascii="Times New Roman" w:hAnsi="Times New Roman" w:cs="Times New Roman"/>
          <w:b/>
          <w:bCs/>
          <w:color w:val="A53E42"/>
        </w:rPr>
      </w:pPr>
    </w:p>
    <w:p w14:paraId="4408D1C9" w14:textId="77777777" w:rsidR="00ED2568" w:rsidRDefault="00000000">
      <w:pPr>
        <w:rPr>
          <w:rFonts w:ascii="Times New Roman" w:hAnsi="Times New Roman" w:cs="Times New Roman"/>
          <w:b/>
          <w:kern w:val="2"/>
        </w:rPr>
      </w:pPr>
      <w:r>
        <w:rPr>
          <w:rFonts w:ascii="Times New Roman" w:hAnsi="Times New Roman" w:cs="Times New Roman"/>
          <w:b/>
          <w:kern w:val="2"/>
        </w:rPr>
        <w:br w:type="page"/>
      </w:r>
    </w:p>
    <w:p w14:paraId="2164E689"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lastRenderedPageBreak/>
        <w:t>Extended Data Fig. 14</w:t>
      </w:r>
    </w:p>
    <w:p w14:paraId="36ECD96E" w14:textId="2B2210FA" w:rsidR="00ED2568" w:rsidRDefault="00FA47DD">
      <w:pPr>
        <w:widowControl w:val="0"/>
        <w:spacing w:beforeLines="50" w:before="156" w:afterLines="50" w:after="156" w:line="480" w:lineRule="auto"/>
        <w:jc w:val="center"/>
        <w:rPr>
          <w:rFonts w:ascii="Times New Roman" w:hAnsi="Times New Roman" w:cs="Times New Roman"/>
          <w:b/>
          <w:kern w:val="2"/>
        </w:rPr>
      </w:pPr>
      <w:r>
        <w:rPr>
          <w:noProof/>
        </w:rPr>
        <w:drawing>
          <wp:inline distT="0" distB="0" distL="0" distR="0" wp14:anchorId="2AB27ED4" wp14:editId="1A90F4C7">
            <wp:extent cx="6589262" cy="5021249"/>
            <wp:effectExtent l="0" t="0" r="2540" b="8255"/>
            <wp:docPr id="19631162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595218" cy="5025788"/>
                    </a:xfrm>
                    <a:prstGeom prst="rect">
                      <a:avLst/>
                    </a:prstGeom>
                    <a:noFill/>
                    <a:ln>
                      <a:noFill/>
                    </a:ln>
                  </pic:spPr>
                </pic:pic>
              </a:graphicData>
            </a:graphic>
          </wp:inline>
        </w:drawing>
      </w:r>
    </w:p>
    <w:p w14:paraId="375E2BA0" w14:textId="77777777" w:rsidR="00ED2568" w:rsidRDefault="00000000">
      <w:pPr>
        <w:widowControl w:val="0"/>
        <w:spacing w:beforeLines="50" w:before="156" w:afterLines="50" w:after="156" w:line="480" w:lineRule="auto"/>
        <w:rPr>
          <w:rFonts w:ascii="Times New Roman" w:hAnsi="Times New Roman" w:cs="Times New Roman"/>
          <w:b/>
          <w:kern w:val="2"/>
        </w:rPr>
      </w:pPr>
      <w:r>
        <w:rPr>
          <w:rFonts w:ascii="Times New Roman" w:hAnsi="Times New Roman" w:cs="Times New Roman"/>
          <w:b/>
          <w:kern w:val="2"/>
        </w:rPr>
        <w:t>Extended Data Fig. 14 | hRO-derived h</w:t>
      </w:r>
      <w:r>
        <w:rPr>
          <w:rFonts w:ascii="Times New Roman" w:hAnsi="Times New Roman" w:cs="Times New Roman" w:hint="eastAsia"/>
          <w:b/>
          <w:kern w:val="2"/>
        </w:rPr>
        <w:t>N</w:t>
      </w:r>
      <w:r>
        <w:rPr>
          <w:rFonts w:ascii="Times New Roman" w:hAnsi="Times New Roman" w:cs="Times New Roman"/>
          <w:b/>
          <w:kern w:val="2"/>
        </w:rPr>
        <w:t>RSC transplantation restores vision in r</w:t>
      </w:r>
      <w:r>
        <w:rPr>
          <w:rFonts w:ascii="Times New Roman" w:hAnsi="Times New Roman" w:cs="Times New Roman" w:hint="eastAsia"/>
          <w:b/>
          <w:kern w:val="2"/>
        </w:rPr>
        <w:t>d10</w:t>
      </w:r>
      <w:r>
        <w:rPr>
          <w:rFonts w:ascii="Times New Roman" w:hAnsi="Times New Roman" w:cs="Times New Roman"/>
          <w:b/>
          <w:kern w:val="2"/>
        </w:rPr>
        <w:t xml:space="preserve"> m</w:t>
      </w:r>
      <w:r>
        <w:rPr>
          <w:rFonts w:ascii="Times New Roman" w:hAnsi="Times New Roman" w:cs="Times New Roman" w:hint="eastAsia"/>
          <w:b/>
          <w:kern w:val="2"/>
        </w:rPr>
        <w:t>ice</w:t>
      </w:r>
      <w:r>
        <w:rPr>
          <w:rFonts w:ascii="Times New Roman" w:hAnsi="Times New Roman" w:cs="Times New Roman"/>
          <w:b/>
          <w:kern w:val="2"/>
        </w:rPr>
        <w:t>.</w:t>
      </w:r>
    </w:p>
    <w:p w14:paraId="32BC6AB9" w14:textId="22A9EB32" w:rsidR="00ED2568" w:rsidRDefault="00000000">
      <w:pPr>
        <w:spacing w:before="50" w:afterLines="50" w:after="156" w:line="480" w:lineRule="auto"/>
        <w:jc w:val="both"/>
        <w:rPr>
          <w:rFonts w:ascii="Times New Roman" w:hAnsi="Times New Roman" w:cs="Times New Roman"/>
          <w:b/>
          <w:color w:val="A53E42"/>
          <w:sz w:val="21"/>
          <w:szCs w:val="21"/>
        </w:rPr>
      </w:pPr>
      <w:r>
        <w:rPr>
          <w:rFonts w:ascii="Times New Roman" w:eastAsiaTheme="minorEastAsia" w:hAnsi="Times New Roman" w:cs="Times New Roman" w:hint="eastAsia"/>
          <w:b/>
          <w:bCs/>
          <w:color w:val="000000" w:themeColor="text1"/>
          <w:kern w:val="2"/>
        </w:rPr>
        <w:t>a</w:t>
      </w:r>
      <w:r>
        <w:rPr>
          <w:rFonts w:ascii="Times New Roman" w:eastAsiaTheme="minorEastAsia" w:hAnsi="Times New Roman" w:cs="Times New Roman"/>
          <w:color w:val="000000" w:themeColor="text1"/>
          <w:kern w:val="2"/>
          <w:sz w:val="21"/>
          <w:szCs w:val="21"/>
        </w:rPr>
        <w:t xml:space="preserve">, </w:t>
      </w:r>
      <w:r>
        <w:rPr>
          <w:rFonts w:ascii="Times New Roman" w:hAnsi="Times New Roman" w:cs="Times New Roman"/>
          <w:sz w:val="21"/>
          <w:szCs w:val="21"/>
        </w:rPr>
        <w:t xml:space="preserve">Representative bright field and fluorescence images of ESRG (hPSC marker)-tdTomato reporter hESC line. </w:t>
      </w:r>
      <w:r>
        <w:rPr>
          <w:rFonts w:ascii="Times New Roman" w:eastAsiaTheme="minorEastAsia" w:hAnsi="Times New Roman" w:cs="Times New Roman"/>
          <w:b/>
          <w:bCs/>
          <w:color w:val="000000" w:themeColor="text1"/>
          <w:kern w:val="2"/>
        </w:rPr>
        <w:t>b</w:t>
      </w:r>
      <w:r>
        <w:rPr>
          <w:rFonts w:ascii="Times New Roman" w:eastAsiaTheme="minorEastAsia" w:hAnsi="Times New Roman" w:cs="Times New Roman"/>
          <w:color w:val="000000" w:themeColor="text1"/>
          <w:kern w:val="2"/>
          <w:sz w:val="21"/>
          <w:szCs w:val="21"/>
        </w:rPr>
        <w:t>,</w:t>
      </w:r>
      <w:r>
        <w:rPr>
          <w:sz w:val="21"/>
          <w:szCs w:val="21"/>
        </w:rPr>
        <w:t xml:space="preserve"> </w:t>
      </w:r>
      <w:r>
        <w:rPr>
          <w:rFonts w:ascii="Times New Roman" w:hAnsi="Times New Roman" w:cs="Times New Roman"/>
          <w:sz w:val="21"/>
          <w:szCs w:val="21"/>
        </w:rPr>
        <w:t xml:space="preserve">Representative image of 75-day-old hROs drived from ESRG-tdTomato reporter hESC line. </w:t>
      </w:r>
      <w:r>
        <w:rPr>
          <w:rFonts w:ascii="Times New Roman" w:eastAsiaTheme="minorEastAsia" w:hAnsi="Times New Roman" w:cs="Times New Roman"/>
          <w:b/>
          <w:bCs/>
          <w:color w:val="000000" w:themeColor="text1"/>
          <w:kern w:val="2"/>
        </w:rPr>
        <w:t>c</w:t>
      </w:r>
      <w:r>
        <w:rPr>
          <w:rFonts w:ascii="Times New Roman" w:eastAsiaTheme="minorEastAsia" w:hAnsi="Times New Roman" w:cs="Times New Roman"/>
          <w:color w:val="000000" w:themeColor="text1"/>
          <w:kern w:val="2"/>
          <w:sz w:val="21"/>
          <w:szCs w:val="21"/>
        </w:rPr>
        <w:t>,</w:t>
      </w:r>
      <w:r>
        <w:rPr>
          <w:sz w:val="21"/>
          <w:szCs w:val="21"/>
        </w:rPr>
        <w:t xml:space="preserve"> </w:t>
      </w:r>
      <w:r>
        <w:rPr>
          <w:rFonts w:ascii="Times New Roman" w:hAnsi="Times New Roman" w:cs="Times New Roman" w:hint="eastAsia"/>
          <w:sz w:val="21"/>
          <w:szCs w:val="21"/>
        </w:rPr>
        <w:t>F</w:t>
      </w:r>
      <w:r>
        <w:rPr>
          <w:rFonts w:ascii="Times New Roman" w:hAnsi="Times New Roman" w:cs="Times New Roman"/>
          <w:sz w:val="21"/>
          <w:szCs w:val="21"/>
        </w:rPr>
        <w:t xml:space="preserve">low </w:t>
      </w:r>
      <w:r>
        <w:rPr>
          <w:rFonts w:ascii="Times New Roman" w:hAnsi="Times New Roman" w:cs="Times New Roman" w:hint="eastAsia"/>
          <w:sz w:val="21"/>
          <w:szCs w:val="21"/>
        </w:rPr>
        <w:t>c</w:t>
      </w:r>
      <w:r>
        <w:rPr>
          <w:rFonts w:ascii="Times New Roman" w:hAnsi="Times New Roman" w:cs="Times New Roman"/>
          <w:sz w:val="21"/>
          <w:szCs w:val="21"/>
        </w:rPr>
        <w:t xml:space="preserve">ytometry </w:t>
      </w:r>
      <w:r>
        <w:rPr>
          <w:rFonts w:ascii="Times New Roman" w:hAnsi="Times New Roman" w:cs="Times New Roman" w:hint="eastAsia"/>
          <w:sz w:val="21"/>
          <w:szCs w:val="21"/>
        </w:rPr>
        <w:t>a</w:t>
      </w:r>
      <w:r>
        <w:rPr>
          <w:rFonts w:ascii="Times New Roman" w:hAnsi="Times New Roman" w:cs="Times New Roman"/>
          <w:sz w:val="21"/>
          <w:szCs w:val="21"/>
        </w:rPr>
        <w:t>nalysis of ESRG-</w:t>
      </w:r>
      <w:r>
        <w:rPr>
          <w:rFonts w:ascii="Times New Roman" w:hAnsi="Times New Roman" w:cs="Times New Roman" w:hint="eastAsia"/>
          <w:sz w:val="21"/>
          <w:szCs w:val="21"/>
        </w:rPr>
        <w:t>p</w:t>
      </w:r>
      <w:r>
        <w:rPr>
          <w:rFonts w:ascii="Times New Roman" w:hAnsi="Times New Roman" w:cs="Times New Roman"/>
          <w:sz w:val="21"/>
          <w:szCs w:val="21"/>
        </w:rPr>
        <w:t>ositive h</w:t>
      </w:r>
      <w:r>
        <w:rPr>
          <w:rFonts w:ascii="Times New Roman" w:hAnsi="Times New Roman" w:cs="Times New Roman" w:hint="eastAsia"/>
          <w:sz w:val="21"/>
          <w:szCs w:val="21"/>
        </w:rPr>
        <w:t>ESCs</w:t>
      </w:r>
      <w:r>
        <w:rPr>
          <w:rFonts w:ascii="Times New Roman" w:hAnsi="Times New Roman" w:cs="Times New Roman"/>
          <w:sz w:val="21"/>
          <w:szCs w:val="21"/>
        </w:rPr>
        <w:t xml:space="preserve"> in the CMZ of</w:t>
      </w:r>
      <w:r>
        <w:rPr>
          <w:sz w:val="21"/>
          <w:szCs w:val="21"/>
        </w:rPr>
        <w:t xml:space="preserve"> </w:t>
      </w:r>
      <w:r>
        <w:rPr>
          <w:rFonts w:ascii="Times New Roman" w:hAnsi="Times New Roman" w:cs="Times New Roman" w:hint="eastAsia"/>
          <w:sz w:val="21"/>
          <w:szCs w:val="21"/>
        </w:rPr>
        <w:t>hRO</w:t>
      </w:r>
      <w:r>
        <w:rPr>
          <w:rFonts w:ascii="Times New Roman" w:hAnsi="Times New Roman" w:cs="Times New Roman"/>
          <w:sz w:val="21"/>
          <w:szCs w:val="21"/>
        </w:rPr>
        <w:t>s at</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regenerative stage day 5. </w:t>
      </w:r>
      <w:r>
        <w:rPr>
          <w:rFonts w:ascii="Times New Roman" w:eastAsiaTheme="minorEastAsia" w:hAnsi="Times New Roman" w:cs="Times New Roman"/>
          <w:b/>
          <w:bCs/>
          <w:color w:val="000000" w:themeColor="text1"/>
          <w:kern w:val="2"/>
        </w:rPr>
        <w:t>d</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Flow cytometry analysis of </w:t>
      </w:r>
      <w:r>
        <w:rPr>
          <w:rFonts w:ascii="Times New Roman" w:hAnsi="Times New Roman" w:cs="Times New Roman" w:hint="eastAsia"/>
          <w:sz w:val="21"/>
          <w:szCs w:val="21"/>
        </w:rPr>
        <w:t>CPAMD8</w:t>
      </w:r>
      <w:r>
        <w:rPr>
          <w:rFonts w:ascii="Times New Roman" w:hAnsi="Times New Roman" w:cs="Times New Roman"/>
          <w:sz w:val="21"/>
          <w:szCs w:val="21"/>
        </w:rPr>
        <w:t>-positive hNRSC in the CMZ of hROs</w:t>
      </w:r>
      <w:r>
        <w:rPr>
          <w:sz w:val="21"/>
          <w:szCs w:val="21"/>
        </w:rPr>
        <w:t xml:space="preserve"> </w:t>
      </w:r>
      <w:r>
        <w:rPr>
          <w:rFonts w:ascii="Times New Roman" w:hAnsi="Times New Roman" w:cs="Times New Roman"/>
          <w:sz w:val="21"/>
          <w:szCs w:val="21"/>
        </w:rPr>
        <w:t>at regenerative stage day 5.</w:t>
      </w:r>
      <w:r w:rsidR="00123266">
        <w:rPr>
          <w:sz w:val="21"/>
          <w:szCs w:val="21"/>
        </w:rPr>
        <w:t xml:space="preserve"> </w:t>
      </w:r>
      <w:r w:rsidR="00123266">
        <w:rPr>
          <w:rFonts w:ascii="Times New Roman" w:eastAsiaTheme="minorEastAsia" w:hAnsi="Times New Roman" w:cs="Times New Roman"/>
          <w:b/>
          <w:bCs/>
          <w:color w:val="000000" w:themeColor="text1"/>
          <w:kern w:val="2"/>
        </w:rPr>
        <w:t>e</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w:t>
      </w:r>
      <w:r w:rsidR="00123266" w:rsidRPr="00123266">
        <w:rPr>
          <w:rFonts w:ascii="Times New Roman" w:eastAsiaTheme="minorEastAsia" w:hAnsi="Times New Roman" w:cs="Times New Roman"/>
          <w:color w:val="000000" w:themeColor="text1"/>
          <w:kern w:val="2"/>
          <w:sz w:val="21"/>
          <w:szCs w:val="21"/>
        </w:rPr>
        <w:t>Immunostaining</w:t>
      </w:r>
      <w:r>
        <w:rPr>
          <w:rFonts w:ascii="Times New Roman" w:hAnsi="Times New Roman" w:cs="Times New Roman"/>
          <w:sz w:val="21"/>
          <w:szCs w:val="21"/>
        </w:rPr>
        <w:t xml:space="preserve"> </w:t>
      </w:r>
      <w:r>
        <w:rPr>
          <w:rFonts w:ascii="Times New Roman" w:hAnsi="Times New Roman" w:cs="Times New Roman" w:hint="eastAsia"/>
          <w:sz w:val="21"/>
          <w:szCs w:val="21"/>
        </w:rPr>
        <w:t>a</w:t>
      </w:r>
      <w:r>
        <w:rPr>
          <w:rFonts w:ascii="Times New Roman" w:hAnsi="Times New Roman" w:cs="Times New Roman"/>
          <w:sz w:val="21"/>
          <w:szCs w:val="21"/>
        </w:rPr>
        <w:t xml:space="preserve">nalysis </w:t>
      </w:r>
      <w:r>
        <w:rPr>
          <w:rFonts w:ascii="Times New Roman" w:hAnsi="Times New Roman" w:cs="Times New Roman" w:hint="eastAsia"/>
          <w:sz w:val="21"/>
          <w:szCs w:val="21"/>
        </w:rPr>
        <w:t>r</w:t>
      </w:r>
      <w:r>
        <w:rPr>
          <w:rFonts w:ascii="Times New Roman" w:hAnsi="Times New Roman" w:cs="Times New Roman"/>
          <w:sz w:val="21"/>
          <w:szCs w:val="21"/>
        </w:rPr>
        <w:t xml:space="preserve">eveals the </w:t>
      </w:r>
      <w:r>
        <w:rPr>
          <w:rFonts w:ascii="Times New Roman" w:hAnsi="Times New Roman" w:cs="Times New Roman" w:hint="eastAsia"/>
          <w:sz w:val="21"/>
          <w:szCs w:val="21"/>
        </w:rPr>
        <w:t>e</w:t>
      </w:r>
      <w:r>
        <w:rPr>
          <w:rFonts w:ascii="Times New Roman" w:hAnsi="Times New Roman" w:cs="Times New Roman"/>
          <w:sz w:val="21"/>
          <w:szCs w:val="21"/>
        </w:rPr>
        <w:t xml:space="preserve">xpression of </w:t>
      </w:r>
      <w:r>
        <w:rPr>
          <w:rFonts w:ascii="Times New Roman" w:hAnsi="Times New Roman" w:cs="Times New Roman" w:hint="eastAsia"/>
          <w:sz w:val="21"/>
          <w:szCs w:val="21"/>
        </w:rPr>
        <w:t>h</w:t>
      </w:r>
      <w:r>
        <w:rPr>
          <w:rFonts w:ascii="Times New Roman" w:hAnsi="Times New Roman" w:cs="Times New Roman"/>
          <w:sz w:val="21"/>
          <w:szCs w:val="21"/>
        </w:rPr>
        <w:t>uman-</w:t>
      </w:r>
      <w:r>
        <w:rPr>
          <w:rFonts w:ascii="Times New Roman" w:hAnsi="Times New Roman" w:cs="Times New Roman" w:hint="eastAsia"/>
          <w:sz w:val="21"/>
          <w:szCs w:val="21"/>
        </w:rPr>
        <w:t>s</w:t>
      </w:r>
      <w:r>
        <w:rPr>
          <w:rFonts w:ascii="Times New Roman" w:hAnsi="Times New Roman" w:cs="Times New Roman"/>
          <w:sz w:val="21"/>
          <w:szCs w:val="21"/>
        </w:rPr>
        <w:t xml:space="preserve">pecific </w:t>
      </w:r>
      <w:r>
        <w:rPr>
          <w:rFonts w:ascii="Times New Roman" w:hAnsi="Times New Roman" w:cs="Times New Roman" w:hint="eastAsia"/>
          <w:sz w:val="21"/>
          <w:szCs w:val="21"/>
        </w:rPr>
        <w:t>m</w:t>
      </w:r>
      <w:r>
        <w:rPr>
          <w:rFonts w:ascii="Times New Roman" w:hAnsi="Times New Roman" w:cs="Times New Roman"/>
          <w:sz w:val="21"/>
          <w:szCs w:val="21"/>
        </w:rPr>
        <w:t xml:space="preserve">arker </w:t>
      </w:r>
      <w:r>
        <w:rPr>
          <w:rFonts w:ascii="Times New Roman" w:hAnsi="Times New Roman" w:cs="Times New Roman" w:hint="eastAsia"/>
          <w:sz w:val="21"/>
          <w:szCs w:val="21"/>
        </w:rPr>
        <w:t>Ku</w:t>
      </w:r>
      <w:r>
        <w:rPr>
          <w:rFonts w:ascii="Times New Roman" w:hAnsi="Times New Roman" w:cs="Times New Roman"/>
          <w:sz w:val="21"/>
          <w:szCs w:val="21"/>
        </w:rPr>
        <w:t xml:space="preserve">80 in </w:t>
      </w:r>
      <w:r>
        <w:rPr>
          <w:rFonts w:ascii="Times New Roman" w:hAnsi="Times New Roman" w:cs="Times New Roman" w:hint="eastAsia"/>
          <w:sz w:val="21"/>
          <w:szCs w:val="21"/>
        </w:rPr>
        <w:t>s</w:t>
      </w:r>
      <w:r>
        <w:rPr>
          <w:rFonts w:ascii="Times New Roman" w:hAnsi="Times New Roman" w:cs="Times New Roman"/>
          <w:sz w:val="21"/>
          <w:szCs w:val="21"/>
        </w:rPr>
        <w:t>ubretinal hNRSC</w:t>
      </w:r>
      <w:r>
        <w:rPr>
          <w:rFonts w:ascii="Times New Roman" w:hAnsi="Times New Roman" w:cs="Times New Roman" w:hint="eastAsia"/>
          <w:sz w:val="21"/>
          <w:szCs w:val="21"/>
        </w:rPr>
        <w:t xml:space="preserve"> t</w:t>
      </w:r>
      <w:r>
        <w:rPr>
          <w:rFonts w:ascii="Times New Roman" w:hAnsi="Times New Roman" w:cs="Times New Roman"/>
          <w:sz w:val="21"/>
          <w:szCs w:val="21"/>
        </w:rPr>
        <w:t>ransplants in retinal degeneration mice.</w:t>
      </w:r>
      <w:r>
        <w:rPr>
          <w:sz w:val="21"/>
          <w:szCs w:val="21"/>
        </w:rPr>
        <w:t xml:space="preserve"> </w:t>
      </w:r>
      <w:r w:rsidR="00123266">
        <w:rPr>
          <w:rFonts w:ascii="Times New Roman" w:eastAsiaTheme="minorEastAsia" w:hAnsi="Times New Roman" w:cs="Times New Roman"/>
          <w:b/>
          <w:bCs/>
          <w:color w:val="000000" w:themeColor="text1"/>
          <w:kern w:val="2"/>
        </w:rPr>
        <w:t>f</w:t>
      </w:r>
      <w:r w:rsidR="00123266">
        <w:rPr>
          <w:rFonts w:ascii="Times New Roman" w:eastAsiaTheme="minorEastAsia" w:hAnsi="Times New Roman" w:cs="Times New Roman"/>
          <w:color w:val="000000" w:themeColor="text1"/>
          <w:kern w:val="2"/>
          <w:sz w:val="21"/>
          <w:szCs w:val="21"/>
        </w:rPr>
        <w:t>,</w:t>
      </w:r>
      <w:r w:rsidR="00123266">
        <w:rPr>
          <w:rFonts w:ascii="Times New Roman" w:hAnsi="Times New Roman" w:cs="Times New Roman"/>
          <w:sz w:val="21"/>
          <w:szCs w:val="21"/>
        </w:rPr>
        <w:t xml:space="preserve"> </w:t>
      </w:r>
      <w:r w:rsidR="00123266" w:rsidRPr="00123266">
        <w:rPr>
          <w:rFonts w:ascii="Times New Roman" w:hAnsi="Times New Roman" w:cs="Times New Roman"/>
          <w:sz w:val="21"/>
          <w:szCs w:val="21"/>
        </w:rPr>
        <w:t xml:space="preserve">Immunostaining analysis reveals the expression of </w:t>
      </w:r>
      <w:r w:rsidR="00123266">
        <w:rPr>
          <w:rFonts w:ascii="Times New Roman" w:hAnsi="Times New Roman" w:cs="Times New Roman"/>
          <w:sz w:val="21"/>
          <w:szCs w:val="21"/>
        </w:rPr>
        <w:t>rod</w:t>
      </w:r>
      <w:r w:rsidR="00123266" w:rsidRPr="00123266">
        <w:rPr>
          <w:rFonts w:ascii="Times New Roman" w:hAnsi="Times New Roman" w:cs="Times New Roman"/>
          <w:sz w:val="21"/>
          <w:szCs w:val="21"/>
        </w:rPr>
        <w:t xml:space="preserve"> photoreceptor marker</w:t>
      </w:r>
      <w:r w:rsidR="000170CF">
        <w:rPr>
          <w:rFonts w:ascii="Times New Roman" w:hAnsi="Times New Roman" w:cs="Times New Roman"/>
          <w:sz w:val="21"/>
          <w:szCs w:val="21"/>
        </w:rPr>
        <w:t>s</w:t>
      </w:r>
      <w:r w:rsidR="00123266" w:rsidRPr="00123266">
        <w:rPr>
          <w:rFonts w:ascii="Times New Roman" w:hAnsi="Times New Roman" w:cs="Times New Roman"/>
          <w:sz w:val="21"/>
          <w:szCs w:val="21"/>
        </w:rPr>
        <w:t xml:space="preserve"> </w:t>
      </w:r>
      <w:r w:rsidR="00123266">
        <w:rPr>
          <w:rFonts w:ascii="Times New Roman" w:hAnsi="Times New Roman" w:cs="Times New Roman"/>
          <w:sz w:val="21"/>
          <w:szCs w:val="21"/>
        </w:rPr>
        <w:t>NRL</w:t>
      </w:r>
      <w:r w:rsidR="00123266" w:rsidRPr="00123266">
        <w:rPr>
          <w:rFonts w:ascii="Times New Roman" w:hAnsi="Times New Roman" w:cs="Times New Roman"/>
          <w:sz w:val="21"/>
          <w:szCs w:val="21"/>
        </w:rPr>
        <w:t xml:space="preserve"> </w:t>
      </w:r>
      <w:r w:rsidR="000170CF">
        <w:rPr>
          <w:rFonts w:ascii="Times New Roman" w:hAnsi="Times New Roman" w:cs="Times New Roman"/>
          <w:sz w:val="21"/>
          <w:szCs w:val="21"/>
        </w:rPr>
        <w:t>and Rhodopsin (</w:t>
      </w:r>
      <w:r w:rsidR="000170CF">
        <w:rPr>
          <w:rFonts w:ascii="Times New Roman" w:eastAsiaTheme="minorEastAsia" w:hAnsi="Times New Roman" w:cs="Times New Roman"/>
          <w:b/>
          <w:bCs/>
          <w:color w:val="000000" w:themeColor="text1"/>
          <w:kern w:val="2"/>
        </w:rPr>
        <w:t>g</w:t>
      </w:r>
      <w:r w:rsidR="000170CF">
        <w:rPr>
          <w:rFonts w:ascii="Times New Roman" w:hAnsi="Times New Roman" w:cs="Times New Roman"/>
          <w:sz w:val="21"/>
          <w:szCs w:val="21"/>
        </w:rPr>
        <w:t xml:space="preserve">) </w:t>
      </w:r>
      <w:r w:rsidR="00123266" w:rsidRPr="00123266">
        <w:rPr>
          <w:rFonts w:ascii="Times New Roman" w:hAnsi="Times New Roman" w:cs="Times New Roman"/>
          <w:sz w:val="21"/>
          <w:szCs w:val="21"/>
        </w:rPr>
        <w:t>in subretinal hNRSC transplants in retinal degeneration mice 20 weeks post-transplantation, and these cells are all co-stained with Ku80. Magnified views of the boxed regions are shown in the corresponding panel on the right.</w:t>
      </w:r>
      <w:r w:rsidR="00123266">
        <w:rPr>
          <w:rFonts w:ascii="Times New Roman" w:hAnsi="Times New Roman" w:cs="Times New Roman"/>
          <w:sz w:val="21"/>
          <w:szCs w:val="21"/>
        </w:rPr>
        <w:t xml:space="preserve"> </w:t>
      </w:r>
      <w:r w:rsidR="000170CF">
        <w:rPr>
          <w:rFonts w:ascii="Times New Roman" w:eastAsiaTheme="minorEastAsia" w:hAnsi="Times New Roman" w:cs="Times New Roman"/>
          <w:b/>
          <w:bCs/>
          <w:color w:val="000000" w:themeColor="text1"/>
          <w:kern w:val="2"/>
        </w:rPr>
        <w:t>h</w:t>
      </w:r>
      <w:r>
        <w:rPr>
          <w:rFonts w:ascii="Times New Roman" w:eastAsiaTheme="minorEastAsia" w:hAnsi="Times New Roman" w:cs="Times New Roman"/>
          <w:color w:val="000000" w:themeColor="text1"/>
          <w:kern w:val="2"/>
          <w:sz w:val="21"/>
          <w:szCs w:val="21"/>
        </w:rPr>
        <w:t>,</w:t>
      </w:r>
      <w:r>
        <w:rPr>
          <w:rFonts w:ascii="Times New Roman" w:hAnsi="Times New Roman" w:cs="Times New Roman"/>
          <w:sz w:val="21"/>
          <w:szCs w:val="21"/>
        </w:rPr>
        <w:t xml:space="preserve"> </w:t>
      </w:r>
      <w:r w:rsidR="000170CF" w:rsidRPr="000170CF">
        <w:rPr>
          <w:rFonts w:ascii="Times New Roman" w:hAnsi="Times New Roman" w:cs="Times New Roman"/>
          <w:sz w:val="21"/>
          <w:szCs w:val="21"/>
        </w:rPr>
        <w:t xml:space="preserve">Statistical analysis of retinal thickness 20 weeks after hNRSC transplantation, </w:t>
      </w:r>
      <w:r w:rsidR="000170CF" w:rsidRPr="000170CF">
        <w:rPr>
          <w:rFonts w:ascii="Times New Roman" w:hAnsi="Times New Roman" w:cs="Times New Roman"/>
          <w:sz w:val="21"/>
          <w:szCs w:val="21"/>
        </w:rPr>
        <w:lastRenderedPageBreak/>
        <w:t>with untransplanted regions as controls.</w:t>
      </w:r>
      <w:r>
        <w:rPr>
          <w:rFonts w:ascii="Times New Roman" w:hAnsi="Times New Roman" w:cs="Times New Roman" w:hint="eastAsia"/>
          <w:sz w:val="21"/>
          <w:szCs w:val="21"/>
        </w:rPr>
        <w:t xml:space="preserve"> </w:t>
      </w:r>
      <w:r w:rsidR="000170CF">
        <w:rPr>
          <w:rFonts w:ascii="Times New Roman" w:eastAsiaTheme="minorEastAsia" w:hAnsi="Times New Roman" w:cs="Times New Roman"/>
          <w:b/>
          <w:bCs/>
          <w:color w:val="000000" w:themeColor="text1"/>
          <w:kern w:val="2"/>
        </w:rPr>
        <w:t>i</w:t>
      </w:r>
      <w:r>
        <w:rPr>
          <w:rFonts w:ascii="Times New Roman" w:eastAsiaTheme="minorEastAsia" w:hAnsi="Times New Roman" w:cs="Times New Roman"/>
          <w:color w:val="000000" w:themeColor="text1"/>
          <w:kern w:val="2"/>
          <w:sz w:val="21"/>
          <w:szCs w:val="21"/>
        </w:rPr>
        <w:t>,</w:t>
      </w:r>
      <w:r>
        <w:rPr>
          <w:rFonts w:ascii="Times New Roman" w:hAnsi="Times New Roman" w:cs="Times New Roman" w:hint="eastAsia"/>
          <w:sz w:val="21"/>
          <w:szCs w:val="21"/>
        </w:rPr>
        <w:t xml:space="preserve"> </w:t>
      </w:r>
      <w:r w:rsidR="00123266" w:rsidRPr="00123266">
        <w:rPr>
          <w:rFonts w:ascii="Times New Roman" w:hAnsi="Times New Roman" w:cs="Times New Roman"/>
          <w:sz w:val="21"/>
          <w:szCs w:val="21"/>
        </w:rPr>
        <w:t>Immunostaining</w:t>
      </w:r>
      <w:r>
        <w:rPr>
          <w:rFonts w:ascii="Times New Roman" w:hAnsi="Times New Roman" w:cs="Times New Roman"/>
          <w:sz w:val="21"/>
          <w:szCs w:val="21"/>
        </w:rPr>
        <w:t xml:space="preserve"> analysis reveals the distribution of Ku80-positive cells surviving after 24 weeks of hNRSC transplantation in r</w:t>
      </w:r>
      <w:r>
        <w:rPr>
          <w:rFonts w:ascii="Times New Roman" w:hAnsi="Times New Roman" w:cs="Times New Roman" w:hint="eastAsia"/>
          <w:sz w:val="21"/>
          <w:szCs w:val="21"/>
        </w:rPr>
        <w:t>d</w:t>
      </w:r>
      <w:r>
        <w:rPr>
          <w:rFonts w:ascii="Times New Roman" w:hAnsi="Times New Roman" w:cs="Times New Roman"/>
          <w:sz w:val="21"/>
          <w:szCs w:val="21"/>
        </w:rPr>
        <w:t>10 mice.</w:t>
      </w:r>
      <w:r>
        <w:rPr>
          <w:rFonts w:ascii="Times New Roman" w:hAnsi="Times New Roman" w:cs="Times New Roman"/>
          <w:kern w:val="2"/>
          <w:sz w:val="21"/>
          <w:szCs w:val="21"/>
        </w:rPr>
        <w:t xml:space="preserve"> All representative examples of the data from at least three independent experiments are shown. Data are mean ± SD; ***</w:t>
      </w:r>
      <w:r>
        <w:rPr>
          <w:rFonts w:ascii="Times New Roman" w:hAnsi="Times New Roman" w:cs="Times New Roman"/>
          <w:i/>
          <w:kern w:val="2"/>
          <w:sz w:val="21"/>
          <w:szCs w:val="21"/>
        </w:rPr>
        <w:t xml:space="preserve">P </w:t>
      </w:r>
      <w:r>
        <w:rPr>
          <w:rFonts w:ascii="Times New Roman" w:hAnsi="Times New Roman" w:cs="Times New Roman"/>
          <w:kern w:val="2"/>
          <w:sz w:val="21"/>
          <w:szCs w:val="21"/>
        </w:rPr>
        <w:t>&lt; 0.0</w:t>
      </w:r>
      <w:r>
        <w:rPr>
          <w:rFonts w:ascii="Times New Roman" w:hAnsi="Times New Roman" w:cs="Times New Roman" w:hint="eastAsia"/>
          <w:kern w:val="2"/>
          <w:sz w:val="21"/>
          <w:szCs w:val="21"/>
        </w:rPr>
        <w:t>0</w:t>
      </w:r>
      <w:r>
        <w:rPr>
          <w:rFonts w:ascii="Times New Roman" w:hAnsi="Times New Roman" w:cs="Times New Roman"/>
          <w:kern w:val="2"/>
          <w:sz w:val="21"/>
          <w:szCs w:val="21"/>
        </w:rPr>
        <w:t>1.</w:t>
      </w:r>
    </w:p>
    <w:sectPr w:rsidR="00ED2568">
      <w:footerReference w:type="default" r:id="rId21"/>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C8F89" w14:textId="77777777" w:rsidR="007801F2" w:rsidRDefault="007801F2">
      <w:r>
        <w:separator/>
      </w:r>
    </w:p>
  </w:endnote>
  <w:endnote w:type="continuationSeparator" w:id="0">
    <w:p w14:paraId="68122631" w14:textId="77777777" w:rsidR="007801F2" w:rsidRDefault="00780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434643053"/>
    </w:sdtPr>
    <w:sdtContent>
      <w:p w14:paraId="27BD5963" w14:textId="77777777" w:rsidR="00ED2568" w:rsidRDefault="00000000">
        <w:pPr>
          <w:pStyle w:val="Foote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47</w:t>
        </w:r>
        <w:r>
          <w:rPr>
            <w:rFonts w:ascii="Times New Roman" w:hAnsi="Times New Roman" w:cs="Times New Roman"/>
          </w:rPr>
          <w:fldChar w:fldCharType="end"/>
        </w:r>
      </w:p>
    </w:sdtContent>
  </w:sdt>
  <w:p w14:paraId="261AF7C5" w14:textId="77777777" w:rsidR="00ED2568" w:rsidRDefault="00ED25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407D89" w14:textId="77777777" w:rsidR="007801F2" w:rsidRDefault="007801F2">
      <w:r>
        <w:separator/>
      </w:r>
    </w:p>
  </w:footnote>
  <w:footnote w:type="continuationSeparator" w:id="0">
    <w:p w14:paraId="169B3F95" w14:textId="77777777" w:rsidR="007801F2" w:rsidRDefault="007801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U3MmJmYTA1ODNhNjViOTE0NGZiYmY5ODM2NzFkMmYifQ=="/>
    <w:docVar w:name="EN.InstantFormat" w:val="&lt;ENInstantFormat&gt;&lt;Enabled&gt;1&lt;/Enabled&gt;&lt;ScanUnformatted&gt;1&lt;/ScanUnformatted&gt;&lt;ScanChanges&gt;1&lt;/ScanChanges&gt;&lt;Suspended&gt;1&lt;/Suspended&gt;&lt;/ENInstantFormat&gt;"/>
    <w:docVar w:name="EN.Layout" w:val="&lt;ENLayout&gt;&lt;Style&gt;Cell Stem Cell Copy1&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v9xrassv9e2atepdevvd0dkv2psw9r22vfz&quot;&gt;干细胞与视网膜再生-Converted&lt;record-ids&gt;&lt;item&gt;4&lt;/item&gt;&lt;item&gt;5&lt;/item&gt;&lt;item&gt;6&lt;/item&gt;&lt;item&gt;80&lt;/item&gt;&lt;item&gt;102&lt;/item&gt;&lt;item&gt;104&lt;/item&gt;&lt;item&gt;105&lt;/item&gt;&lt;item&gt;134&lt;/item&gt;&lt;item&gt;174&lt;/item&gt;&lt;item&gt;410&lt;/item&gt;&lt;item&gt;475&lt;/item&gt;&lt;item&gt;485&lt;/item&gt;&lt;item&gt;486&lt;/item&gt;&lt;item&gt;595&lt;/item&gt;&lt;item&gt;610&lt;/item&gt;&lt;item&gt;654&lt;/item&gt;&lt;item&gt;661&lt;/item&gt;&lt;item&gt;693&lt;/item&gt;&lt;item&gt;703&lt;/item&gt;&lt;item&gt;706&lt;/item&gt;&lt;item&gt;857&lt;/item&gt;&lt;item&gt;860&lt;/item&gt;&lt;item&gt;882&lt;/item&gt;&lt;item&gt;978&lt;/item&gt;&lt;item&gt;986&lt;/item&gt;&lt;item&gt;993&lt;/item&gt;&lt;item&gt;997&lt;/item&gt;&lt;item&gt;999&lt;/item&gt;&lt;item&gt;2087&lt;/item&gt;&lt;item&gt;2091&lt;/item&gt;&lt;item&gt;2125&lt;/item&gt;&lt;item&gt;2884&lt;/item&gt;&lt;item&gt;9407&lt;/item&gt;&lt;item&gt;10944&lt;/item&gt;&lt;item&gt;14971&lt;/item&gt;&lt;item&gt;28783&lt;/item&gt;&lt;item&gt;28785&lt;/item&gt;&lt;item&gt;35234&lt;/item&gt;&lt;item&gt;43248&lt;/item&gt;&lt;item&gt;46416&lt;/item&gt;&lt;item&gt;49095&lt;/item&gt;&lt;item&gt;49103&lt;/item&gt;&lt;item&gt;49105&lt;/item&gt;&lt;item&gt;49109&lt;/item&gt;&lt;item&gt;49409&lt;/item&gt;&lt;item&gt;52089&lt;/item&gt;&lt;item&gt;53431&lt;/item&gt;&lt;item&gt;54391&lt;/item&gt;&lt;item&gt;54392&lt;/item&gt;&lt;item&gt;55046&lt;/item&gt;&lt;item&gt;55058&lt;/item&gt;&lt;item&gt;55060&lt;/item&gt;&lt;item&gt;55061&lt;/item&gt;&lt;item&gt;55062&lt;/item&gt;&lt;item&gt;55064&lt;/item&gt;&lt;item&gt;55065&lt;/item&gt;&lt;item&gt;55066&lt;/item&gt;&lt;item&gt;55067&lt;/item&gt;&lt;item&gt;55068&lt;/item&gt;&lt;item&gt;55070&lt;/item&gt;&lt;item&gt;55072&lt;/item&gt;&lt;item&gt;55073&lt;/item&gt;&lt;item&gt;55074&lt;/item&gt;&lt;item&gt;55075&lt;/item&gt;&lt;item&gt;55077&lt;/item&gt;&lt;item&gt;55078&lt;/item&gt;&lt;item&gt;55079&lt;/item&gt;&lt;item&gt;55080&lt;/item&gt;&lt;item&gt;55081&lt;/item&gt;&lt;item&gt;55084&lt;/item&gt;&lt;item&gt;55085&lt;/item&gt;&lt;item&gt;55086&lt;/item&gt;&lt;item&gt;55087&lt;/item&gt;&lt;item&gt;55088&lt;/item&gt;&lt;/record-ids&gt;&lt;/item&gt;&lt;/Libraries&gt;"/>
  </w:docVars>
  <w:rsids>
    <w:rsidRoot w:val="00D15C59"/>
    <w:rsid w:val="00000F6E"/>
    <w:rsid w:val="00005056"/>
    <w:rsid w:val="00014E1B"/>
    <w:rsid w:val="000170CF"/>
    <w:rsid w:val="000213A9"/>
    <w:rsid w:val="00022C97"/>
    <w:rsid w:val="00025715"/>
    <w:rsid w:val="00025CF2"/>
    <w:rsid w:val="00027AB4"/>
    <w:rsid w:val="00030983"/>
    <w:rsid w:val="0003156F"/>
    <w:rsid w:val="0003274E"/>
    <w:rsid w:val="000336EA"/>
    <w:rsid w:val="000341D1"/>
    <w:rsid w:val="00034901"/>
    <w:rsid w:val="00034BB8"/>
    <w:rsid w:val="000407EA"/>
    <w:rsid w:val="00040DE2"/>
    <w:rsid w:val="00050711"/>
    <w:rsid w:val="00050FA8"/>
    <w:rsid w:val="00053B4D"/>
    <w:rsid w:val="00054B85"/>
    <w:rsid w:val="000630BD"/>
    <w:rsid w:val="0006391C"/>
    <w:rsid w:val="0006491C"/>
    <w:rsid w:val="00065602"/>
    <w:rsid w:val="00067651"/>
    <w:rsid w:val="00072C8C"/>
    <w:rsid w:val="000738E9"/>
    <w:rsid w:val="00074B40"/>
    <w:rsid w:val="00074F9A"/>
    <w:rsid w:val="00075CC5"/>
    <w:rsid w:val="000831AA"/>
    <w:rsid w:val="000902CA"/>
    <w:rsid w:val="000965FC"/>
    <w:rsid w:val="000A1548"/>
    <w:rsid w:val="000A3934"/>
    <w:rsid w:val="000A5192"/>
    <w:rsid w:val="000A5E84"/>
    <w:rsid w:val="000B05E9"/>
    <w:rsid w:val="000B2E51"/>
    <w:rsid w:val="000B300F"/>
    <w:rsid w:val="000B35D8"/>
    <w:rsid w:val="000B5C73"/>
    <w:rsid w:val="000B72AE"/>
    <w:rsid w:val="000B7480"/>
    <w:rsid w:val="000C10BF"/>
    <w:rsid w:val="000C38B6"/>
    <w:rsid w:val="000C4D92"/>
    <w:rsid w:val="000C77DC"/>
    <w:rsid w:val="000E0509"/>
    <w:rsid w:val="000E16D7"/>
    <w:rsid w:val="000E40E5"/>
    <w:rsid w:val="000E5417"/>
    <w:rsid w:val="000E65D5"/>
    <w:rsid w:val="000F1677"/>
    <w:rsid w:val="000F7A03"/>
    <w:rsid w:val="00100AE5"/>
    <w:rsid w:val="001032F4"/>
    <w:rsid w:val="001036AC"/>
    <w:rsid w:val="00105A7D"/>
    <w:rsid w:val="0011021F"/>
    <w:rsid w:val="001124F4"/>
    <w:rsid w:val="001131B2"/>
    <w:rsid w:val="001161BE"/>
    <w:rsid w:val="00117592"/>
    <w:rsid w:val="00123266"/>
    <w:rsid w:val="0012432C"/>
    <w:rsid w:val="001253F5"/>
    <w:rsid w:val="001261F4"/>
    <w:rsid w:val="00126C89"/>
    <w:rsid w:val="001271F5"/>
    <w:rsid w:val="00127DFC"/>
    <w:rsid w:val="00127ED2"/>
    <w:rsid w:val="001343CD"/>
    <w:rsid w:val="001400A7"/>
    <w:rsid w:val="00141D03"/>
    <w:rsid w:val="00143567"/>
    <w:rsid w:val="00145BCC"/>
    <w:rsid w:val="00146157"/>
    <w:rsid w:val="0015003C"/>
    <w:rsid w:val="001504BA"/>
    <w:rsid w:val="001506B7"/>
    <w:rsid w:val="00151635"/>
    <w:rsid w:val="0015226D"/>
    <w:rsid w:val="0015449C"/>
    <w:rsid w:val="00155FC5"/>
    <w:rsid w:val="0016480A"/>
    <w:rsid w:val="00164D63"/>
    <w:rsid w:val="00165FE7"/>
    <w:rsid w:val="00166DDA"/>
    <w:rsid w:val="001671DD"/>
    <w:rsid w:val="001713D4"/>
    <w:rsid w:val="0017279F"/>
    <w:rsid w:val="00172B34"/>
    <w:rsid w:val="00174238"/>
    <w:rsid w:val="00174336"/>
    <w:rsid w:val="00175B5D"/>
    <w:rsid w:val="001821FA"/>
    <w:rsid w:val="0018440C"/>
    <w:rsid w:val="00184EF2"/>
    <w:rsid w:val="00185AE5"/>
    <w:rsid w:val="00191148"/>
    <w:rsid w:val="00191A6F"/>
    <w:rsid w:val="00193024"/>
    <w:rsid w:val="00194765"/>
    <w:rsid w:val="00195403"/>
    <w:rsid w:val="001967F4"/>
    <w:rsid w:val="00196F2F"/>
    <w:rsid w:val="00197818"/>
    <w:rsid w:val="001A05A7"/>
    <w:rsid w:val="001A0842"/>
    <w:rsid w:val="001A1B47"/>
    <w:rsid w:val="001A61D0"/>
    <w:rsid w:val="001A6B48"/>
    <w:rsid w:val="001A796A"/>
    <w:rsid w:val="001A7FBE"/>
    <w:rsid w:val="001B2065"/>
    <w:rsid w:val="001B31A1"/>
    <w:rsid w:val="001B3260"/>
    <w:rsid w:val="001B4337"/>
    <w:rsid w:val="001C3E7B"/>
    <w:rsid w:val="001C5636"/>
    <w:rsid w:val="001C788A"/>
    <w:rsid w:val="001D0A5B"/>
    <w:rsid w:val="001D44DB"/>
    <w:rsid w:val="001D4A3D"/>
    <w:rsid w:val="001D513F"/>
    <w:rsid w:val="001D5278"/>
    <w:rsid w:val="001D7A42"/>
    <w:rsid w:val="001E4CF5"/>
    <w:rsid w:val="001E7C38"/>
    <w:rsid w:val="001F0887"/>
    <w:rsid w:val="001F29CA"/>
    <w:rsid w:val="001F2DCF"/>
    <w:rsid w:val="001F7755"/>
    <w:rsid w:val="001F7AF3"/>
    <w:rsid w:val="00202783"/>
    <w:rsid w:val="0020335C"/>
    <w:rsid w:val="00205787"/>
    <w:rsid w:val="00210A7D"/>
    <w:rsid w:val="00217C9C"/>
    <w:rsid w:val="002214BD"/>
    <w:rsid w:val="00221851"/>
    <w:rsid w:val="00221EFA"/>
    <w:rsid w:val="002223DB"/>
    <w:rsid w:val="00223789"/>
    <w:rsid w:val="00224059"/>
    <w:rsid w:val="00224AAF"/>
    <w:rsid w:val="00226AEC"/>
    <w:rsid w:val="00226F29"/>
    <w:rsid w:val="00227AA8"/>
    <w:rsid w:val="00233A85"/>
    <w:rsid w:val="00233F5F"/>
    <w:rsid w:val="00234E20"/>
    <w:rsid w:val="00242516"/>
    <w:rsid w:val="0024626B"/>
    <w:rsid w:val="002466A3"/>
    <w:rsid w:val="00246DEB"/>
    <w:rsid w:val="00247808"/>
    <w:rsid w:val="00250CE2"/>
    <w:rsid w:val="00251494"/>
    <w:rsid w:val="0025654B"/>
    <w:rsid w:val="00257E73"/>
    <w:rsid w:val="002606D7"/>
    <w:rsid w:val="0026130B"/>
    <w:rsid w:val="0026586D"/>
    <w:rsid w:val="002701E4"/>
    <w:rsid w:val="0027423A"/>
    <w:rsid w:val="00274B58"/>
    <w:rsid w:val="00274FCE"/>
    <w:rsid w:val="002761B4"/>
    <w:rsid w:val="00276AD1"/>
    <w:rsid w:val="00277659"/>
    <w:rsid w:val="00280947"/>
    <w:rsid w:val="002809B9"/>
    <w:rsid w:val="00281CE1"/>
    <w:rsid w:val="00282C94"/>
    <w:rsid w:val="0028310F"/>
    <w:rsid w:val="00286C46"/>
    <w:rsid w:val="002870B4"/>
    <w:rsid w:val="002872AD"/>
    <w:rsid w:val="0029064C"/>
    <w:rsid w:val="00293BDA"/>
    <w:rsid w:val="00293D18"/>
    <w:rsid w:val="0029458F"/>
    <w:rsid w:val="002954FD"/>
    <w:rsid w:val="00296620"/>
    <w:rsid w:val="00297FB0"/>
    <w:rsid w:val="002A25A8"/>
    <w:rsid w:val="002A3DB8"/>
    <w:rsid w:val="002A4355"/>
    <w:rsid w:val="002A49BF"/>
    <w:rsid w:val="002B5329"/>
    <w:rsid w:val="002B7C3D"/>
    <w:rsid w:val="002C047C"/>
    <w:rsid w:val="002C2414"/>
    <w:rsid w:val="002C30FA"/>
    <w:rsid w:val="002D06D1"/>
    <w:rsid w:val="002D281A"/>
    <w:rsid w:val="002E24BF"/>
    <w:rsid w:val="002E3261"/>
    <w:rsid w:val="002E3D8E"/>
    <w:rsid w:val="002E69E3"/>
    <w:rsid w:val="002E6F99"/>
    <w:rsid w:val="002F0A61"/>
    <w:rsid w:val="002F46CB"/>
    <w:rsid w:val="002F5B2C"/>
    <w:rsid w:val="002F6864"/>
    <w:rsid w:val="00306A78"/>
    <w:rsid w:val="003079CD"/>
    <w:rsid w:val="003118BE"/>
    <w:rsid w:val="00315F04"/>
    <w:rsid w:val="0031634D"/>
    <w:rsid w:val="00322861"/>
    <w:rsid w:val="00331767"/>
    <w:rsid w:val="00335BC6"/>
    <w:rsid w:val="00336AC7"/>
    <w:rsid w:val="00337700"/>
    <w:rsid w:val="00337FA2"/>
    <w:rsid w:val="00340C37"/>
    <w:rsid w:val="003418A6"/>
    <w:rsid w:val="00342AA3"/>
    <w:rsid w:val="00350032"/>
    <w:rsid w:val="003500AF"/>
    <w:rsid w:val="00350395"/>
    <w:rsid w:val="00351BF8"/>
    <w:rsid w:val="003529CD"/>
    <w:rsid w:val="00353F83"/>
    <w:rsid w:val="003558AA"/>
    <w:rsid w:val="0036264C"/>
    <w:rsid w:val="00364124"/>
    <w:rsid w:val="003661AA"/>
    <w:rsid w:val="0036666C"/>
    <w:rsid w:val="0037030B"/>
    <w:rsid w:val="00371051"/>
    <w:rsid w:val="00374B28"/>
    <w:rsid w:val="00382511"/>
    <w:rsid w:val="00386023"/>
    <w:rsid w:val="003878F3"/>
    <w:rsid w:val="00390382"/>
    <w:rsid w:val="0039306C"/>
    <w:rsid w:val="00396030"/>
    <w:rsid w:val="003A193D"/>
    <w:rsid w:val="003A2D67"/>
    <w:rsid w:val="003A2F5A"/>
    <w:rsid w:val="003A4783"/>
    <w:rsid w:val="003A4DA5"/>
    <w:rsid w:val="003A4F4E"/>
    <w:rsid w:val="003B1C24"/>
    <w:rsid w:val="003B53F8"/>
    <w:rsid w:val="003B6954"/>
    <w:rsid w:val="003C3EB0"/>
    <w:rsid w:val="003C6687"/>
    <w:rsid w:val="003C6A12"/>
    <w:rsid w:val="003C6B83"/>
    <w:rsid w:val="003D064A"/>
    <w:rsid w:val="003D0C5B"/>
    <w:rsid w:val="003D1604"/>
    <w:rsid w:val="003D163D"/>
    <w:rsid w:val="003D20EE"/>
    <w:rsid w:val="003D21F2"/>
    <w:rsid w:val="003D5027"/>
    <w:rsid w:val="003D6921"/>
    <w:rsid w:val="003D71FD"/>
    <w:rsid w:val="003E2679"/>
    <w:rsid w:val="003E51CC"/>
    <w:rsid w:val="003F07BD"/>
    <w:rsid w:val="003F2B7D"/>
    <w:rsid w:val="003F33ED"/>
    <w:rsid w:val="0040065D"/>
    <w:rsid w:val="004018FE"/>
    <w:rsid w:val="004058BF"/>
    <w:rsid w:val="00405F0A"/>
    <w:rsid w:val="00413162"/>
    <w:rsid w:val="00414F45"/>
    <w:rsid w:val="00416042"/>
    <w:rsid w:val="004208B8"/>
    <w:rsid w:val="004235DD"/>
    <w:rsid w:val="004245C1"/>
    <w:rsid w:val="00424E63"/>
    <w:rsid w:val="0042615C"/>
    <w:rsid w:val="00427201"/>
    <w:rsid w:val="004311E5"/>
    <w:rsid w:val="004314EE"/>
    <w:rsid w:val="00431EB6"/>
    <w:rsid w:val="004333BB"/>
    <w:rsid w:val="00433C33"/>
    <w:rsid w:val="00433D8F"/>
    <w:rsid w:val="00440F35"/>
    <w:rsid w:val="00442750"/>
    <w:rsid w:val="004445A7"/>
    <w:rsid w:val="0044612C"/>
    <w:rsid w:val="004461ED"/>
    <w:rsid w:val="00446B92"/>
    <w:rsid w:val="004473C6"/>
    <w:rsid w:val="00453FDD"/>
    <w:rsid w:val="00455E0F"/>
    <w:rsid w:val="00464CE6"/>
    <w:rsid w:val="00464F24"/>
    <w:rsid w:val="004654A4"/>
    <w:rsid w:val="004666C5"/>
    <w:rsid w:val="00467F3B"/>
    <w:rsid w:val="00470F89"/>
    <w:rsid w:val="0047162B"/>
    <w:rsid w:val="00482F91"/>
    <w:rsid w:val="00483CBD"/>
    <w:rsid w:val="00484EC9"/>
    <w:rsid w:val="00486C1D"/>
    <w:rsid w:val="0049372D"/>
    <w:rsid w:val="00493B9D"/>
    <w:rsid w:val="00494EA9"/>
    <w:rsid w:val="00495E01"/>
    <w:rsid w:val="004974D5"/>
    <w:rsid w:val="004A03CB"/>
    <w:rsid w:val="004A1714"/>
    <w:rsid w:val="004A34C6"/>
    <w:rsid w:val="004A412D"/>
    <w:rsid w:val="004A4763"/>
    <w:rsid w:val="004A5984"/>
    <w:rsid w:val="004A5E5E"/>
    <w:rsid w:val="004B1ABA"/>
    <w:rsid w:val="004B4415"/>
    <w:rsid w:val="004B5B52"/>
    <w:rsid w:val="004B5D47"/>
    <w:rsid w:val="004B7494"/>
    <w:rsid w:val="004C2DEC"/>
    <w:rsid w:val="004C4397"/>
    <w:rsid w:val="004C4548"/>
    <w:rsid w:val="004C6400"/>
    <w:rsid w:val="004C674C"/>
    <w:rsid w:val="004C781E"/>
    <w:rsid w:val="004D0C4C"/>
    <w:rsid w:val="004D18E2"/>
    <w:rsid w:val="004E18E3"/>
    <w:rsid w:val="004E3C1E"/>
    <w:rsid w:val="004E3D42"/>
    <w:rsid w:val="004E4A03"/>
    <w:rsid w:val="004E7B8B"/>
    <w:rsid w:val="004F0284"/>
    <w:rsid w:val="004F0649"/>
    <w:rsid w:val="004F0D06"/>
    <w:rsid w:val="004F488A"/>
    <w:rsid w:val="004F5444"/>
    <w:rsid w:val="004F5FC3"/>
    <w:rsid w:val="005008F4"/>
    <w:rsid w:val="00500BCE"/>
    <w:rsid w:val="00502DC2"/>
    <w:rsid w:val="00503F4A"/>
    <w:rsid w:val="00514525"/>
    <w:rsid w:val="0051650E"/>
    <w:rsid w:val="00521A97"/>
    <w:rsid w:val="00521F3F"/>
    <w:rsid w:val="00522A77"/>
    <w:rsid w:val="00524268"/>
    <w:rsid w:val="005254A0"/>
    <w:rsid w:val="005301CA"/>
    <w:rsid w:val="0053359C"/>
    <w:rsid w:val="005361EA"/>
    <w:rsid w:val="0053738C"/>
    <w:rsid w:val="005403AB"/>
    <w:rsid w:val="00543E20"/>
    <w:rsid w:val="00544F7A"/>
    <w:rsid w:val="005466AF"/>
    <w:rsid w:val="00550551"/>
    <w:rsid w:val="00557647"/>
    <w:rsid w:val="0055777C"/>
    <w:rsid w:val="00561B70"/>
    <w:rsid w:val="00561B7F"/>
    <w:rsid w:val="00561D2F"/>
    <w:rsid w:val="00563AE1"/>
    <w:rsid w:val="00565D16"/>
    <w:rsid w:val="00566147"/>
    <w:rsid w:val="00571B48"/>
    <w:rsid w:val="005748CD"/>
    <w:rsid w:val="00575EE4"/>
    <w:rsid w:val="005762F3"/>
    <w:rsid w:val="00576A67"/>
    <w:rsid w:val="005779BE"/>
    <w:rsid w:val="00580317"/>
    <w:rsid w:val="00584153"/>
    <w:rsid w:val="00591C97"/>
    <w:rsid w:val="0059252D"/>
    <w:rsid w:val="00594A14"/>
    <w:rsid w:val="005A109B"/>
    <w:rsid w:val="005A3708"/>
    <w:rsid w:val="005A5E9D"/>
    <w:rsid w:val="005A6143"/>
    <w:rsid w:val="005B3669"/>
    <w:rsid w:val="005B704F"/>
    <w:rsid w:val="005C697F"/>
    <w:rsid w:val="005D06AD"/>
    <w:rsid w:val="005D1D6B"/>
    <w:rsid w:val="005D3350"/>
    <w:rsid w:val="005D37D4"/>
    <w:rsid w:val="005E1AB9"/>
    <w:rsid w:val="005E3CDB"/>
    <w:rsid w:val="005E5065"/>
    <w:rsid w:val="005F3F3C"/>
    <w:rsid w:val="005F4917"/>
    <w:rsid w:val="005F537D"/>
    <w:rsid w:val="005F74D8"/>
    <w:rsid w:val="005F7710"/>
    <w:rsid w:val="005F7736"/>
    <w:rsid w:val="00603ED2"/>
    <w:rsid w:val="0061094E"/>
    <w:rsid w:val="00611D92"/>
    <w:rsid w:val="00613FA5"/>
    <w:rsid w:val="00615B7E"/>
    <w:rsid w:val="00620F31"/>
    <w:rsid w:val="00623A25"/>
    <w:rsid w:val="00624C62"/>
    <w:rsid w:val="006265F9"/>
    <w:rsid w:val="00626E05"/>
    <w:rsid w:val="00627FAD"/>
    <w:rsid w:val="00636B5F"/>
    <w:rsid w:val="00642600"/>
    <w:rsid w:val="0064588C"/>
    <w:rsid w:val="00645C42"/>
    <w:rsid w:val="00652103"/>
    <w:rsid w:val="00653B68"/>
    <w:rsid w:val="00653DF0"/>
    <w:rsid w:val="006549C2"/>
    <w:rsid w:val="006555A5"/>
    <w:rsid w:val="006558E3"/>
    <w:rsid w:val="0065772C"/>
    <w:rsid w:val="00660440"/>
    <w:rsid w:val="006611A7"/>
    <w:rsid w:val="00663AB1"/>
    <w:rsid w:val="006717F2"/>
    <w:rsid w:val="0067238A"/>
    <w:rsid w:val="006723E6"/>
    <w:rsid w:val="00673C76"/>
    <w:rsid w:val="00673DEE"/>
    <w:rsid w:val="006746AC"/>
    <w:rsid w:val="006771A7"/>
    <w:rsid w:val="00680C7A"/>
    <w:rsid w:val="00685443"/>
    <w:rsid w:val="006911B8"/>
    <w:rsid w:val="006916B6"/>
    <w:rsid w:val="00693458"/>
    <w:rsid w:val="0069769E"/>
    <w:rsid w:val="006A1114"/>
    <w:rsid w:val="006A13D9"/>
    <w:rsid w:val="006A3660"/>
    <w:rsid w:val="006A436E"/>
    <w:rsid w:val="006A45C4"/>
    <w:rsid w:val="006A5BF4"/>
    <w:rsid w:val="006A7217"/>
    <w:rsid w:val="006B0CC1"/>
    <w:rsid w:val="006B2F8E"/>
    <w:rsid w:val="006B3C39"/>
    <w:rsid w:val="006B682B"/>
    <w:rsid w:val="006B6BDA"/>
    <w:rsid w:val="006C1BFC"/>
    <w:rsid w:val="006C239B"/>
    <w:rsid w:val="006C2659"/>
    <w:rsid w:val="006C321A"/>
    <w:rsid w:val="006C3BF1"/>
    <w:rsid w:val="006C4576"/>
    <w:rsid w:val="006D6DF4"/>
    <w:rsid w:val="006E08E5"/>
    <w:rsid w:val="006E0B11"/>
    <w:rsid w:val="006F2E40"/>
    <w:rsid w:val="006F3E27"/>
    <w:rsid w:val="006F70F9"/>
    <w:rsid w:val="00702F73"/>
    <w:rsid w:val="00703B6B"/>
    <w:rsid w:val="0070633A"/>
    <w:rsid w:val="007140B4"/>
    <w:rsid w:val="00717E8B"/>
    <w:rsid w:val="00721F84"/>
    <w:rsid w:val="00723037"/>
    <w:rsid w:val="00726B05"/>
    <w:rsid w:val="00731FB5"/>
    <w:rsid w:val="00733301"/>
    <w:rsid w:val="007421E5"/>
    <w:rsid w:val="00743173"/>
    <w:rsid w:val="00743B03"/>
    <w:rsid w:val="007545C5"/>
    <w:rsid w:val="00755C40"/>
    <w:rsid w:val="007608CE"/>
    <w:rsid w:val="007652B4"/>
    <w:rsid w:val="007747ED"/>
    <w:rsid w:val="00777430"/>
    <w:rsid w:val="007801F2"/>
    <w:rsid w:val="007832EC"/>
    <w:rsid w:val="0078510E"/>
    <w:rsid w:val="007923CD"/>
    <w:rsid w:val="00794058"/>
    <w:rsid w:val="00795ED7"/>
    <w:rsid w:val="00795F64"/>
    <w:rsid w:val="00797E72"/>
    <w:rsid w:val="007A0EDE"/>
    <w:rsid w:val="007A2052"/>
    <w:rsid w:val="007A49B6"/>
    <w:rsid w:val="007A7D2D"/>
    <w:rsid w:val="007B6B79"/>
    <w:rsid w:val="007C0287"/>
    <w:rsid w:val="007C32E6"/>
    <w:rsid w:val="007C33A1"/>
    <w:rsid w:val="007C55FA"/>
    <w:rsid w:val="007D2716"/>
    <w:rsid w:val="007D388F"/>
    <w:rsid w:val="007D6B19"/>
    <w:rsid w:val="007D7DC6"/>
    <w:rsid w:val="007E1A5E"/>
    <w:rsid w:val="007E1C6D"/>
    <w:rsid w:val="007E2107"/>
    <w:rsid w:val="007E23DE"/>
    <w:rsid w:val="007E78DE"/>
    <w:rsid w:val="007F1861"/>
    <w:rsid w:val="007F1C22"/>
    <w:rsid w:val="007F2233"/>
    <w:rsid w:val="007F5304"/>
    <w:rsid w:val="007F7E63"/>
    <w:rsid w:val="00800075"/>
    <w:rsid w:val="00801F4C"/>
    <w:rsid w:val="00802513"/>
    <w:rsid w:val="00802DED"/>
    <w:rsid w:val="00803223"/>
    <w:rsid w:val="0080511D"/>
    <w:rsid w:val="00806AEE"/>
    <w:rsid w:val="00810851"/>
    <w:rsid w:val="00813ACB"/>
    <w:rsid w:val="008148B4"/>
    <w:rsid w:val="00822AAA"/>
    <w:rsid w:val="00824C9E"/>
    <w:rsid w:val="00831A20"/>
    <w:rsid w:val="00833022"/>
    <w:rsid w:val="00834CEF"/>
    <w:rsid w:val="00836621"/>
    <w:rsid w:val="00840B03"/>
    <w:rsid w:val="0085362B"/>
    <w:rsid w:val="00854F0E"/>
    <w:rsid w:val="0085542E"/>
    <w:rsid w:val="008563A6"/>
    <w:rsid w:val="00861E4F"/>
    <w:rsid w:val="008661BF"/>
    <w:rsid w:val="00866D3E"/>
    <w:rsid w:val="0086723D"/>
    <w:rsid w:val="0086775B"/>
    <w:rsid w:val="008717FA"/>
    <w:rsid w:val="00872053"/>
    <w:rsid w:val="00872361"/>
    <w:rsid w:val="008739EA"/>
    <w:rsid w:val="00874F93"/>
    <w:rsid w:val="00876BD2"/>
    <w:rsid w:val="008801DA"/>
    <w:rsid w:val="008803FF"/>
    <w:rsid w:val="00881C2B"/>
    <w:rsid w:val="008824B1"/>
    <w:rsid w:val="008824C7"/>
    <w:rsid w:val="00883294"/>
    <w:rsid w:val="00883646"/>
    <w:rsid w:val="008854ED"/>
    <w:rsid w:val="008912A5"/>
    <w:rsid w:val="00892720"/>
    <w:rsid w:val="008932DF"/>
    <w:rsid w:val="008A0003"/>
    <w:rsid w:val="008A05D6"/>
    <w:rsid w:val="008A5675"/>
    <w:rsid w:val="008A5B5A"/>
    <w:rsid w:val="008A607D"/>
    <w:rsid w:val="008B220A"/>
    <w:rsid w:val="008B23FD"/>
    <w:rsid w:val="008B3AF6"/>
    <w:rsid w:val="008B4C42"/>
    <w:rsid w:val="008B7AF4"/>
    <w:rsid w:val="008B7CA6"/>
    <w:rsid w:val="008C1620"/>
    <w:rsid w:val="008C1CDF"/>
    <w:rsid w:val="008C50C0"/>
    <w:rsid w:val="008C6383"/>
    <w:rsid w:val="008C7250"/>
    <w:rsid w:val="008D48B0"/>
    <w:rsid w:val="008D4E2F"/>
    <w:rsid w:val="008E1927"/>
    <w:rsid w:val="008E4403"/>
    <w:rsid w:val="008E48B9"/>
    <w:rsid w:val="008E600C"/>
    <w:rsid w:val="008E627E"/>
    <w:rsid w:val="008F13A7"/>
    <w:rsid w:val="008F1E7B"/>
    <w:rsid w:val="008F7323"/>
    <w:rsid w:val="008F7374"/>
    <w:rsid w:val="00901221"/>
    <w:rsid w:val="009028F4"/>
    <w:rsid w:val="00904C5E"/>
    <w:rsid w:val="00906E2E"/>
    <w:rsid w:val="00911F3E"/>
    <w:rsid w:val="00912081"/>
    <w:rsid w:val="00913D9B"/>
    <w:rsid w:val="00915784"/>
    <w:rsid w:val="009157A1"/>
    <w:rsid w:val="009164BB"/>
    <w:rsid w:val="00917886"/>
    <w:rsid w:val="00921523"/>
    <w:rsid w:val="00921A54"/>
    <w:rsid w:val="009225CE"/>
    <w:rsid w:val="009238F6"/>
    <w:rsid w:val="0092614C"/>
    <w:rsid w:val="00926A80"/>
    <w:rsid w:val="009277CD"/>
    <w:rsid w:val="00927DEF"/>
    <w:rsid w:val="009309D6"/>
    <w:rsid w:val="00943CD6"/>
    <w:rsid w:val="00950328"/>
    <w:rsid w:val="00953007"/>
    <w:rsid w:val="009534B9"/>
    <w:rsid w:val="00954CA7"/>
    <w:rsid w:val="00956AA1"/>
    <w:rsid w:val="00965DA0"/>
    <w:rsid w:val="0097355F"/>
    <w:rsid w:val="00975A65"/>
    <w:rsid w:val="0098005C"/>
    <w:rsid w:val="00987B75"/>
    <w:rsid w:val="00991F95"/>
    <w:rsid w:val="00995EB1"/>
    <w:rsid w:val="009966CE"/>
    <w:rsid w:val="009A072A"/>
    <w:rsid w:val="009A3B81"/>
    <w:rsid w:val="009A71B9"/>
    <w:rsid w:val="009B4591"/>
    <w:rsid w:val="009B6D1D"/>
    <w:rsid w:val="009B6F4D"/>
    <w:rsid w:val="009C0851"/>
    <w:rsid w:val="009C15A2"/>
    <w:rsid w:val="009C4A09"/>
    <w:rsid w:val="009C5291"/>
    <w:rsid w:val="009C63C8"/>
    <w:rsid w:val="009C74A2"/>
    <w:rsid w:val="009D0F1B"/>
    <w:rsid w:val="009E0BDD"/>
    <w:rsid w:val="009E22F1"/>
    <w:rsid w:val="009E3465"/>
    <w:rsid w:val="009E4A37"/>
    <w:rsid w:val="009E4B41"/>
    <w:rsid w:val="009E57C2"/>
    <w:rsid w:val="009E5C9B"/>
    <w:rsid w:val="009F1406"/>
    <w:rsid w:val="009F1865"/>
    <w:rsid w:val="009F4808"/>
    <w:rsid w:val="009F7798"/>
    <w:rsid w:val="00A0035F"/>
    <w:rsid w:val="00A0206F"/>
    <w:rsid w:val="00A059E9"/>
    <w:rsid w:val="00A05BF0"/>
    <w:rsid w:val="00A07328"/>
    <w:rsid w:val="00A150FA"/>
    <w:rsid w:val="00A157BE"/>
    <w:rsid w:val="00A16821"/>
    <w:rsid w:val="00A1781D"/>
    <w:rsid w:val="00A2011D"/>
    <w:rsid w:val="00A22DBF"/>
    <w:rsid w:val="00A30D49"/>
    <w:rsid w:val="00A31CA9"/>
    <w:rsid w:val="00A359A6"/>
    <w:rsid w:val="00A36A6A"/>
    <w:rsid w:val="00A4064D"/>
    <w:rsid w:val="00A444CA"/>
    <w:rsid w:val="00A50D1F"/>
    <w:rsid w:val="00A5138A"/>
    <w:rsid w:val="00A5205C"/>
    <w:rsid w:val="00A52F15"/>
    <w:rsid w:val="00A579C6"/>
    <w:rsid w:val="00A57A13"/>
    <w:rsid w:val="00A60205"/>
    <w:rsid w:val="00A6126C"/>
    <w:rsid w:val="00A62979"/>
    <w:rsid w:val="00A64C99"/>
    <w:rsid w:val="00A70503"/>
    <w:rsid w:val="00A720E6"/>
    <w:rsid w:val="00A73BBE"/>
    <w:rsid w:val="00A73C33"/>
    <w:rsid w:val="00A76A54"/>
    <w:rsid w:val="00A77615"/>
    <w:rsid w:val="00A81FBF"/>
    <w:rsid w:val="00A85D0C"/>
    <w:rsid w:val="00A8612D"/>
    <w:rsid w:val="00A92A2F"/>
    <w:rsid w:val="00A95029"/>
    <w:rsid w:val="00A957FE"/>
    <w:rsid w:val="00A97AF9"/>
    <w:rsid w:val="00AA0765"/>
    <w:rsid w:val="00AA1F9D"/>
    <w:rsid w:val="00AA3E86"/>
    <w:rsid w:val="00AA6D66"/>
    <w:rsid w:val="00AB094B"/>
    <w:rsid w:val="00AB0E2A"/>
    <w:rsid w:val="00AB0F68"/>
    <w:rsid w:val="00AB1045"/>
    <w:rsid w:val="00AB2728"/>
    <w:rsid w:val="00AB3557"/>
    <w:rsid w:val="00AB361A"/>
    <w:rsid w:val="00AB3C33"/>
    <w:rsid w:val="00AB3D84"/>
    <w:rsid w:val="00AB3EF8"/>
    <w:rsid w:val="00AB55E5"/>
    <w:rsid w:val="00AC11A0"/>
    <w:rsid w:val="00AC2A23"/>
    <w:rsid w:val="00AC540C"/>
    <w:rsid w:val="00AC7A8E"/>
    <w:rsid w:val="00AD0951"/>
    <w:rsid w:val="00AD1A50"/>
    <w:rsid w:val="00AD1F45"/>
    <w:rsid w:val="00AD3C0B"/>
    <w:rsid w:val="00AD5FE5"/>
    <w:rsid w:val="00AD64E5"/>
    <w:rsid w:val="00AD7B2C"/>
    <w:rsid w:val="00AE3902"/>
    <w:rsid w:val="00AE4AD4"/>
    <w:rsid w:val="00AE5D6C"/>
    <w:rsid w:val="00AE6FAE"/>
    <w:rsid w:val="00AF21B8"/>
    <w:rsid w:val="00AF2ECD"/>
    <w:rsid w:val="00AF4DAB"/>
    <w:rsid w:val="00AF4ED7"/>
    <w:rsid w:val="00AF65F9"/>
    <w:rsid w:val="00B00389"/>
    <w:rsid w:val="00B02ECF"/>
    <w:rsid w:val="00B0499E"/>
    <w:rsid w:val="00B072B0"/>
    <w:rsid w:val="00B102F5"/>
    <w:rsid w:val="00B126AE"/>
    <w:rsid w:val="00B14F58"/>
    <w:rsid w:val="00B15664"/>
    <w:rsid w:val="00B15C92"/>
    <w:rsid w:val="00B20E0C"/>
    <w:rsid w:val="00B2283B"/>
    <w:rsid w:val="00B23710"/>
    <w:rsid w:val="00B2491A"/>
    <w:rsid w:val="00B26837"/>
    <w:rsid w:val="00B275FF"/>
    <w:rsid w:val="00B27E49"/>
    <w:rsid w:val="00B3188E"/>
    <w:rsid w:val="00B336FE"/>
    <w:rsid w:val="00B343BE"/>
    <w:rsid w:val="00B34A86"/>
    <w:rsid w:val="00B35E93"/>
    <w:rsid w:val="00B3702E"/>
    <w:rsid w:val="00B3742D"/>
    <w:rsid w:val="00B44C1B"/>
    <w:rsid w:val="00B4593A"/>
    <w:rsid w:val="00B4616A"/>
    <w:rsid w:val="00B50976"/>
    <w:rsid w:val="00B52B54"/>
    <w:rsid w:val="00B536BF"/>
    <w:rsid w:val="00B5427C"/>
    <w:rsid w:val="00B6368C"/>
    <w:rsid w:val="00B71210"/>
    <w:rsid w:val="00B71386"/>
    <w:rsid w:val="00B713F8"/>
    <w:rsid w:val="00B74C0E"/>
    <w:rsid w:val="00B74FF9"/>
    <w:rsid w:val="00B76B47"/>
    <w:rsid w:val="00B8005A"/>
    <w:rsid w:val="00B82F99"/>
    <w:rsid w:val="00B83D86"/>
    <w:rsid w:val="00B83F63"/>
    <w:rsid w:val="00B846D0"/>
    <w:rsid w:val="00B90483"/>
    <w:rsid w:val="00B9206C"/>
    <w:rsid w:val="00B92BA5"/>
    <w:rsid w:val="00BA215A"/>
    <w:rsid w:val="00BA2C09"/>
    <w:rsid w:val="00BA2C29"/>
    <w:rsid w:val="00BA4F37"/>
    <w:rsid w:val="00BA7618"/>
    <w:rsid w:val="00BB64B4"/>
    <w:rsid w:val="00BB64F6"/>
    <w:rsid w:val="00BB6E87"/>
    <w:rsid w:val="00BC50BA"/>
    <w:rsid w:val="00BC5CBF"/>
    <w:rsid w:val="00BD36F4"/>
    <w:rsid w:val="00BD4571"/>
    <w:rsid w:val="00BD5977"/>
    <w:rsid w:val="00BD74CE"/>
    <w:rsid w:val="00BD7DBE"/>
    <w:rsid w:val="00BE3B92"/>
    <w:rsid w:val="00BE6900"/>
    <w:rsid w:val="00BE6BF7"/>
    <w:rsid w:val="00BE72D2"/>
    <w:rsid w:val="00BF0201"/>
    <w:rsid w:val="00BF19C3"/>
    <w:rsid w:val="00BF1C39"/>
    <w:rsid w:val="00BF4E20"/>
    <w:rsid w:val="00C01205"/>
    <w:rsid w:val="00C01937"/>
    <w:rsid w:val="00C07509"/>
    <w:rsid w:val="00C0794F"/>
    <w:rsid w:val="00C11F46"/>
    <w:rsid w:val="00C1250B"/>
    <w:rsid w:val="00C12E73"/>
    <w:rsid w:val="00C1428E"/>
    <w:rsid w:val="00C15A5D"/>
    <w:rsid w:val="00C1792E"/>
    <w:rsid w:val="00C200CF"/>
    <w:rsid w:val="00C2208D"/>
    <w:rsid w:val="00C231E9"/>
    <w:rsid w:val="00C30524"/>
    <w:rsid w:val="00C3106D"/>
    <w:rsid w:val="00C31268"/>
    <w:rsid w:val="00C319ED"/>
    <w:rsid w:val="00C328FB"/>
    <w:rsid w:val="00C32CAD"/>
    <w:rsid w:val="00C35653"/>
    <w:rsid w:val="00C43764"/>
    <w:rsid w:val="00C47DDF"/>
    <w:rsid w:val="00C51CD6"/>
    <w:rsid w:val="00C52DA6"/>
    <w:rsid w:val="00C6372D"/>
    <w:rsid w:val="00C64A7A"/>
    <w:rsid w:val="00C65C7D"/>
    <w:rsid w:val="00C67168"/>
    <w:rsid w:val="00C70F42"/>
    <w:rsid w:val="00C7309E"/>
    <w:rsid w:val="00C734AA"/>
    <w:rsid w:val="00C756D1"/>
    <w:rsid w:val="00C76EE3"/>
    <w:rsid w:val="00C80E1C"/>
    <w:rsid w:val="00C86A2E"/>
    <w:rsid w:val="00C90815"/>
    <w:rsid w:val="00C9156D"/>
    <w:rsid w:val="00C91B6B"/>
    <w:rsid w:val="00C91F6F"/>
    <w:rsid w:val="00CA0252"/>
    <w:rsid w:val="00CA06CB"/>
    <w:rsid w:val="00CA1CAB"/>
    <w:rsid w:val="00CA60D2"/>
    <w:rsid w:val="00CA762F"/>
    <w:rsid w:val="00CB065A"/>
    <w:rsid w:val="00CB5462"/>
    <w:rsid w:val="00CB55BB"/>
    <w:rsid w:val="00CC09A2"/>
    <w:rsid w:val="00CC3BFE"/>
    <w:rsid w:val="00CC4BB4"/>
    <w:rsid w:val="00CD30AF"/>
    <w:rsid w:val="00CD5F5A"/>
    <w:rsid w:val="00CD6DFA"/>
    <w:rsid w:val="00CD79BE"/>
    <w:rsid w:val="00CE1965"/>
    <w:rsid w:val="00CE2BCF"/>
    <w:rsid w:val="00CE4879"/>
    <w:rsid w:val="00CE5F13"/>
    <w:rsid w:val="00CE695D"/>
    <w:rsid w:val="00CE71BC"/>
    <w:rsid w:val="00CF171C"/>
    <w:rsid w:val="00CF2378"/>
    <w:rsid w:val="00CF30A2"/>
    <w:rsid w:val="00CF317E"/>
    <w:rsid w:val="00CF5F87"/>
    <w:rsid w:val="00CF79C9"/>
    <w:rsid w:val="00D015DC"/>
    <w:rsid w:val="00D05DCA"/>
    <w:rsid w:val="00D0643F"/>
    <w:rsid w:val="00D10065"/>
    <w:rsid w:val="00D104E3"/>
    <w:rsid w:val="00D12689"/>
    <w:rsid w:val="00D1290A"/>
    <w:rsid w:val="00D13A32"/>
    <w:rsid w:val="00D141FD"/>
    <w:rsid w:val="00D15C59"/>
    <w:rsid w:val="00D20B97"/>
    <w:rsid w:val="00D221CD"/>
    <w:rsid w:val="00D223EB"/>
    <w:rsid w:val="00D24F52"/>
    <w:rsid w:val="00D26E7A"/>
    <w:rsid w:val="00D27990"/>
    <w:rsid w:val="00D30107"/>
    <w:rsid w:val="00D313BF"/>
    <w:rsid w:val="00D31D77"/>
    <w:rsid w:val="00D32D00"/>
    <w:rsid w:val="00D34C5F"/>
    <w:rsid w:val="00D35F80"/>
    <w:rsid w:val="00D3614D"/>
    <w:rsid w:val="00D362EB"/>
    <w:rsid w:val="00D3704B"/>
    <w:rsid w:val="00D40907"/>
    <w:rsid w:val="00D418C5"/>
    <w:rsid w:val="00D42A57"/>
    <w:rsid w:val="00D43BAA"/>
    <w:rsid w:val="00D45760"/>
    <w:rsid w:val="00D45D1B"/>
    <w:rsid w:val="00D45EBA"/>
    <w:rsid w:val="00D50E06"/>
    <w:rsid w:val="00D53108"/>
    <w:rsid w:val="00D55B55"/>
    <w:rsid w:val="00D56F86"/>
    <w:rsid w:val="00D573FA"/>
    <w:rsid w:val="00D620F0"/>
    <w:rsid w:val="00D63726"/>
    <w:rsid w:val="00D64503"/>
    <w:rsid w:val="00D656C6"/>
    <w:rsid w:val="00D70CED"/>
    <w:rsid w:val="00D71936"/>
    <w:rsid w:val="00D74FAD"/>
    <w:rsid w:val="00D75A46"/>
    <w:rsid w:val="00D762F5"/>
    <w:rsid w:val="00D81441"/>
    <w:rsid w:val="00D82924"/>
    <w:rsid w:val="00D83193"/>
    <w:rsid w:val="00D84B82"/>
    <w:rsid w:val="00D86158"/>
    <w:rsid w:val="00D865AF"/>
    <w:rsid w:val="00D87F1B"/>
    <w:rsid w:val="00D90764"/>
    <w:rsid w:val="00D91A33"/>
    <w:rsid w:val="00D97D0F"/>
    <w:rsid w:val="00DA11A6"/>
    <w:rsid w:val="00DA18C6"/>
    <w:rsid w:val="00DA30EA"/>
    <w:rsid w:val="00DA4E43"/>
    <w:rsid w:val="00DA6C82"/>
    <w:rsid w:val="00DA6D3C"/>
    <w:rsid w:val="00DA78D0"/>
    <w:rsid w:val="00DB3E17"/>
    <w:rsid w:val="00DB4395"/>
    <w:rsid w:val="00DB48E4"/>
    <w:rsid w:val="00DB5D33"/>
    <w:rsid w:val="00DC0E7D"/>
    <w:rsid w:val="00DC30FC"/>
    <w:rsid w:val="00DC3B61"/>
    <w:rsid w:val="00DC40F9"/>
    <w:rsid w:val="00DC61DA"/>
    <w:rsid w:val="00DD37B8"/>
    <w:rsid w:val="00DD6BE6"/>
    <w:rsid w:val="00DD70A5"/>
    <w:rsid w:val="00DD7279"/>
    <w:rsid w:val="00DD7955"/>
    <w:rsid w:val="00DE07B2"/>
    <w:rsid w:val="00DE1067"/>
    <w:rsid w:val="00DE5A42"/>
    <w:rsid w:val="00DE5B6A"/>
    <w:rsid w:val="00DE5EF1"/>
    <w:rsid w:val="00DF0778"/>
    <w:rsid w:val="00DF2786"/>
    <w:rsid w:val="00DF3165"/>
    <w:rsid w:val="00DF472E"/>
    <w:rsid w:val="00DF79EC"/>
    <w:rsid w:val="00E00BA7"/>
    <w:rsid w:val="00E00D5A"/>
    <w:rsid w:val="00E07BA7"/>
    <w:rsid w:val="00E104B1"/>
    <w:rsid w:val="00E119AB"/>
    <w:rsid w:val="00E12942"/>
    <w:rsid w:val="00E152B0"/>
    <w:rsid w:val="00E1647E"/>
    <w:rsid w:val="00E2080A"/>
    <w:rsid w:val="00E25F31"/>
    <w:rsid w:val="00E27F9E"/>
    <w:rsid w:val="00E3052E"/>
    <w:rsid w:val="00E404C2"/>
    <w:rsid w:val="00E40B99"/>
    <w:rsid w:val="00E41D98"/>
    <w:rsid w:val="00E41EED"/>
    <w:rsid w:val="00E42633"/>
    <w:rsid w:val="00E439E1"/>
    <w:rsid w:val="00E50945"/>
    <w:rsid w:val="00E51786"/>
    <w:rsid w:val="00E53D73"/>
    <w:rsid w:val="00E56600"/>
    <w:rsid w:val="00E60330"/>
    <w:rsid w:val="00E619AD"/>
    <w:rsid w:val="00E61FAB"/>
    <w:rsid w:val="00E624C1"/>
    <w:rsid w:val="00E66FE5"/>
    <w:rsid w:val="00E71D3A"/>
    <w:rsid w:val="00E71FED"/>
    <w:rsid w:val="00E7221F"/>
    <w:rsid w:val="00E72C79"/>
    <w:rsid w:val="00E72D8B"/>
    <w:rsid w:val="00E745DA"/>
    <w:rsid w:val="00E77156"/>
    <w:rsid w:val="00E775A1"/>
    <w:rsid w:val="00E77CE3"/>
    <w:rsid w:val="00E87F99"/>
    <w:rsid w:val="00E9387B"/>
    <w:rsid w:val="00E93AF1"/>
    <w:rsid w:val="00E93C17"/>
    <w:rsid w:val="00E9446F"/>
    <w:rsid w:val="00E96BE3"/>
    <w:rsid w:val="00EA4C55"/>
    <w:rsid w:val="00EA5664"/>
    <w:rsid w:val="00EA6C67"/>
    <w:rsid w:val="00EB3AA3"/>
    <w:rsid w:val="00EB58DB"/>
    <w:rsid w:val="00EB5D47"/>
    <w:rsid w:val="00EB64B6"/>
    <w:rsid w:val="00EB7B68"/>
    <w:rsid w:val="00EB7DD2"/>
    <w:rsid w:val="00EC02DA"/>
    <w:rsid w:val="00EC73EA"/>
    <w:rsid w:val="00ED03B4"/>
    <w:rsid w:val="00ED1177"/>
    <w:rsid w:val="00ED2568"/>
    <w:rsid w:val="00ED308A"/>
    <w:rsid w:val="00ED3E9B"/>
    <w:rsid w:val="00ED5B43"/>
    <w:rsid w:val="00ED79AC"/>
    <w:rsid w:val="00EE4C03"/>
    <w:rsid w:val="00EE4FDA"/>
    <w:rsid w:val="00EE50CD"/>
    <w:rsid w:val="00EE6CB9"/>
    <w:rsid w:val="00EF17AC"/>
    <w:rsid w:val="00EF467F"/>
    <w:rsid w:val="00EF53D3"/>
    <w:rsid w:val="00EF5B13"/>
    <w:rsid w:val="00EF6C5E"/>
    <w:rsid w:val="00EF6E57"/>
    <w:rsid w:val="00EF74DD"/>
    <w:rsid w:val="00F03625"/>
    <w:rsid w:val="00F05028"/>
    <w:rsid w:val="00F05A1F"/>
    <w:rsid w:val="00F1138F"/>
    <w:rsid w:val="00F1150D"/>
    <w:rsid w:val="00F11C53"/>
    <w:rsid w:val="00F128D7"/>
    <w:rsid w:val="00F12A94"/>
    <w:rsid w:val="00F14149"/>
    <w:rsid w:val="00F2094F"/>
    <w:rsid w:val="00F21DF7"/>
    <w:rsid w:val="00F226B1"/>
    <w:rsid w:val="00F2308B"/>
    <w:rsid w:val="00F23E75"/>
    <w:rsid w:val="00F24512"/>
    <w:rsid w:val="00F2514E"/>
    <w:rsid w:val="00F34F80"/>
    <w:rsid w:val="00F3672B"/>
    <w:rsid w:val="00F42E21"/>
    <w:rsid w:val="00F44D34"/>
    <w:rsid w:val="00F45A33"/>
    <w:rsid w:val="00F46F52"/>
    <w:rsid w:val="00F544EC"/>
    <w:rsid w:val="00F54CF7"/>
    <w:rsid w:val="00F616B6"/>
    <w:rsid w:val="00F62AA9"/>
    <w:rsid w:val="00F6336F"/>
    <w:rsid w:val="00F63A56"/>
    <w:rsid w:val="00F642A5"/>
    <w:rsid w:val="00F66A71"/>
    <w:rsid w:val="00F66C06"/>
    <w:rsid w:val="00F66F83"/>
    <w:rsid w:val="00F6775C"/>
    <w:rsid w:val="00F67AA2"/>
    <w:rsid w:val="00F70066"/>
    <w:rsid w:val="00F717CA"/>
    <w:rsid w:val="00F730B8"/>
    <w:rsid w:val="00F7470D"/>
    <w:rsid w:val="00F7639B"/>
    <w:rsid w:val="00F768C5"/>
    <w:rsid w:val="00F8007B"/>
    <w:rsid w:val="00F8007C"/>
    <w:rsid w:val="00F8456C"/>
    <w:rsid w:val="00F84C90"/>
    <w:rsid w:val="00F85E4B"/>
    <w:rsid w:val="00F86FEC"/>
    <w:rsid w:val="00F906E6"/>
    <w:rsid w:val="00F93229"/>
    <w:rsid w:val="00F940A1"/>
    <w:rsid w:val="00F9450F"/>
    <w:rsid w:val="00FA47DD"/>
    <w:rsid w:val="00FA6198"/>
    <w:rsid w:val="00FA6AB7"/>
    <w:rsid w:val="00FB1188"/>
    <w:rsid w:val="00FB4E1E"/>
    <w:rsid w:val="00FB53FB"/>
    <w:rsid w:val="00FB7EC6"/>
    <w:rsid w:val="00FC1A69"/>
    <w:rsid w:val="00FC1D0F"/>
    <w:rsid w:val="00FC63DF"/>
    <w:rsid w:val="00FC7825"/>
    <w:rsid w:val="00FD0B30"/>
    <w:rsid w:val="00FD1DEE"/>
    <w:rsid w:val="00FD53C2"/>
    <w:rsid w:val="00FD7015"/>
    <w:rsid w:val="00FE3646"/>
    <w:rsid w:val="00FE4050"/>
    <w:rsid w:val="00FE446F"/>
    <w:rsid w:val="00FE4FEA"/>
    <w:rsid w:val="00FE66FB"/>
    <w:rsid w:val="00FE680D"/>
    <w:rsid w:val="00FF0480"/>
    <w:rsid w:val="00FF235D"/>
    <w:rsid w:val="00FF6CBF"/>
    <w:rsid w:val="00FF7CAF"/>
    <w:rsid w:val="5DC2068E"/>
    <w:rsid w:val="622652F7"/>
    <w:rsid w:val="63F06D02"/>
    <w:rsid w:val="646C6519"/>
    <w:rsid w:val="69030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29A8A"/>
  <w15:docId w15:val="{338361C2-3803-407B-9984-5846D444F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SimSun" w:eastAsia="SimSun" w:hAnsi="SimSun" w:cs="SimSu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qFormat/>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pPr>
    <w:rPr>
      <w:sz w:val="18"/>
      <w:szCs w:val="18"/>
    </w:rPr>
  </w:style>
  <w:style w:type="paragraph" w:styleId="Header">
    <w:name w:val="header"/>
    <w:basedOn w:val="Normal"/>
    <w:link w:val="HeaderChar"/>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paragraph" w:styleId="ListParagraph">
    <w:name w:val="List Paragraph"/>
    <w:basedOn w:val="Normal"/>
    <w:uiPriority w:val="34"/>
    <w:unhideWhenUsed/>
    <w:qFormat/>
    <w:pPr>
      <w:widowControl w:val="0"/>
      <w:ind w:firstLineChars="200" w:firstLine="420"/>
      <w:jc w:val="both"/>
    </w:pPr>
    <w:rPr>
      <w:rFonts w:asciiTheme="minorHAnsi" w:eastAsiaTheme="minorEastAsia" w:hAnsiTheme="minorHAnsi" w:cstheme="minorBidi"/>
      <w:kern w:val="2"/>
      <w:sz w:val="21"/>
      <w:szCs w:val="22"/>
    </w:rPr>
  </w:style>
  <w:style w:type="paragraph" w:customStyle="1" w:styleId="EndNoteBibliographyTitle">
    <w:name w:val="EndNote Bibliography Title"/>
    <w:basedOn w:val="Normal"/>
    <w:link w:val="EndNoteBibliographyTitleChar"/>
    <w:qFormat/>
    <w:pPr>
      <w:jc w:val="center"/>
    </w:pPr>
  </w:style>
  <w:style w:type="character" w:customStyle="1" w:styleId="EndNoteBibliographyTitleChar">
    <w:name w:val="EndNote Bibliography Title Char"/>
    <w:basedOn w:val="DefaultParagraphFont"/>
    <w:link w:val="EndNoteBibliographyTitle"/>
    <w:qFormat/>
    <w:rPr>
      <w:rFonts w:ascii="SimSun" w:eastAsia="SimSun" w:hAnsi="SimSun" w:cs="SimSun"/>
      <w:kern w:val="0"/>
      <w:sz w:val="24"/>
      <w:szCs w:val="24"/>
    </w:rPr>
  </w:style>
  <w:style w:type="paragraph" w:customStyle="1" w:styleId="EndNoteBibliography">
    <w:name w:val="EndNote Bibliography"/>
    <w:basedOn w:val="Normal"/>
    <w:link w:val="EndNoteBibliographyChar"/>
    <w:qFormat/>
    <w:pPr>
      <w:jc w:val="both"/>
    </w:pPr>
  </w:style>
  <w:style w:type="character" w:customStyle="1" w:styleId="EndNoteBibliographyChar">
    <w:name w:val="EndNote Bibliography Char"/>
    <w:basedOn w:val="DefaultParagraphFont"/>
    <w:link w:val="EndNoteBibliography"/>
    <w:qFormat/>
    <w:rPr>
      <w:rFonts w:ascii="SimSun" w:eastAsia="SimSun" w:hAnsi="SimSun" w:cs="SimSun"/>
      <w:kern w:val="0"/>
      <w:sz w:val="24"/>
      <w:szCs w:val="24"/>
    </w:rPr>
  </w:style>
  <w:style w:type="character" w:customStyle="1" w:styleId="BalloonTextChar">
    <w:name w:val="Balloon Text Char"/>
    <w:basedOn w:val="DefaultParagraphFont"/>
    <w:link w:val="BalloonText"/>
    <w:uiPriority w:val="99"/>
    <w:semiHidden/>
    <w:qFormat/>
    <w:rPr>
      <w:rFonts w:ascii="SimSun" w:eastAsia="SimSun" w:hAnsi="SimSun" w:cs="SimSun"/>
      <w:kern w:val="0"/>
      <w:sz w:val="18"/>
      <w:szCs w:val="18"/>
    </w:rPr>
  </w:style>
  <w:style w:type="paragraph" w:customStyle="1" w:styleId="1">
    <w:name w:val="修订1"/>
    <w:hidden/>
    <w:uiPriority w:val="99"/>
    <w:semiHidden/>
    <w:qFormat/>
    <w:rPr>
      <w:rFonts w:ascii="SimSun" w:eastAsia="SimSun" w:hAnsi="SimSun" w:cs="SimSun"/>
      <w:sz w:val="24"/>
      <w:szCs w:val="24"/>
    </w:rPr>
  </w:style>
  <w:style w:type="character" w:customStyle="1" w:styleId="CommentTextChar">
    <w:name w:val="Comment Text Char"/>
    <w:basedOn w:val="DefaultParagraphFont"/>
    <w:link w:val="CommentText"/>
    <w:uiPriority w:val="99"/>
    <w:qFormat/>
    <w:rPr>
      <w:rFonts w:ascii="SimSun" w:eastAsia="SimSun" w:hAnsi="SimSun" w:cs="SimSun"/>
      <w:kern w:val="0"/>
      <w:sz w:val="24"/>
      <w:szCs w:val="24"/>
    </w:rPr>
  </w:style>
  <w:style w:type="character" w:customStyle="1" w:styleId="CommentSubjectChar">
    <w:name w:val="Comment Subject Char"/>
    <w:basedOn w:val="CommentTextChar"/>
    <w:link w:val="CommentSubject"/>
    <w:uiPriority w:val="99"/>
    <w:semiHidden/>
    <w:qFormat/>
    <w:rPr>
      <w:rFonts w:ascii="SimSun" w:eastAsia="SimSun" w:hAnsi="SimSun" w:cs="SimSun"/>
      <w:b/>
      <w:bCs/>
      <w:kern w:val="0"/>
      <w:sz w:val="24"/>
      <w:szCs w:val="24"/>
    </w:rPr>
  </w:style>
  <w:style w:type="paragraph" w:customStyle="1" w:styleId="QQuery">
    <w:name w:val="Q_Query"/>
    <w:basedOn w:val="Normal"/>
    <w:link w:val="QQueryChar"/>
    <w:qFormat/>
    <w:pPr>
      <w:spacing w:after="120"/>
    </w:pPr>
    <w:rPr>
      <w:rFonts w:ascii="Helvetica" w:eastAsia="Times New Roman" w:hAnsi="Helvetica" w:cs="Times New Roman"/>
      <w:sz w:val="20"/>
      <w:szCs w:val="20"/>
      <w:lang w:eastAsia="en-US"/>
    </w:rPr>
  </w:style>
  <w:style w:type="character" w:customStyle="1" w:styleId="QQueryChar">
    <w:name w:val="Q_Query Char"/>
    <w:basedOn w:val="DefaultParagraphFont"/>
    <w:link w:val="QQuery"/>
    <w:qFormat/>
    <w:rPr>
      <w:rFonts w:ascii="Helvetica" w:eastAsia="Times New Roman" w:hAnsi="Helvetica" w:cs="Times New Roman"/>
      <w:kern w:val="0"/>
      <w:sz w:val="20"/>
      <w:szCs w:val="20"/>
      <w:lang w:eastAsia="en-US"/>
    </w:rPr>
  </w:style>
  <w:style w:type="paragraph" w:customStyle="1" w:styleId="QQuotedText">
    <w:name w:val="Q_QuotedText"/>
    <w:basedOn w:val="Normal"/>
    <w:link w:val="QQuotedTextChar"/>
    <w:qFormat/>
    <w:pPr>
      <w:spacing w:after="120"/>
      <w:ind w:left="720"/>
    </w:pPr>
    <w:rPr>
      <w:rFonts w:ascii="Times New Roman" w:eastAsia="Times New Roman" w:hAnsi="Times New Roman" w:cs="Times New Roman"/>
      <w:sz w:val="20"/>
      <w:szCs w:val="20"/>
      <w:lang w:eastAsia="en-US"/>
    </w:rPr>
  </w:style>
  <w:style w:type="character" w:customStyle="1" w:styleId="QQuotedTextChar">
    <w:name w:val="Q_QuotedText Char"/>
    <w:basedOn w:val="DefaultParagraphFont"/>
    <w:link w:val="QQuotedText"/>
    <w:qFormat/>
    <w:rPr>
      <w:rFonts w:ascii="Times New Roman" w:eastAsia="Times New Roman" w:hAnsi="Times New Roman" w:cs="Times New Roman"/>
      <w:kern w:val="0"/>
      <w:sz w:val="20"/>
      <w:szCs w:val="20"/>
      <w:lang w:eastAsia="en-US"/>
    </w:rPr>
  </w:style>
  <w:style w:type="paragraph" w:styleId="Revision">
    <w:name w:val="Revision"/>
    <w:hidden/>
    <w:uiPriority w:val="99"/>
    <w:unhideWhenUsed/>
    <w:rsid w:val="008661BF"/>
    <w:rPr>
      <w:rFonts w:ascii="SimSun" w:eastAsia="SimSun" w:hAnsi="SimSun" w:cs="SimSu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59280E-7F7E-49E6-AE27-9FD7356E0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385</TotalTime>
  <Pages>22</Pages>
  <Words>2087</Words>
  <Characters>11900</Characters>
  <Application>Microsoft Office Word</Application>
  <DocSecurity>0</DocSecurity>
  <Lines>99</Lines>
  <Paragraphs>27</Paragraphs>
  <ScaleCrop>false</ScaleCrop>
  <Company/>
  <LinksUpToDate>false</LinksUpToDate>
  <CharactersWithSpaces>13960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Reviewer #1</dc:creator>
  <cp:lastModifiedBy>Poonam Mutha</cp:lastModifiedBy>
  <cp:revision>11</cp:revision>
  <cp:lastPrinted>2023-09-01T03:45:00Z</cp:lastPrinted>
  <dcterms:created xsi:type="dcterms:W3CDTF">2023-12-04T18:34:00Z</dcterms:created>
  <dcterms:modified xsi:type="dcterms:W3CDTF">2023-12-15T07:50:00Z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0ECF6D055B3D4C908F30FA1C406C2BAF_13</vt:lpwstr>
  </property>
</Properties>
</file>