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C12B4D" w14:textId="77777777" w:rsidR="002E4E5B" w:rsidRPr="00724710" w:rsidRDefault="002E4E5B" w:rsidP="002E4E5B">
      <w:pPr>
        <w:spacing w:line="360" w:lineRule="auto"/>
        <w:rPr>
          <w:rFonts w:ascii="Times New Roman" w:hAnsi="Times New Roman" w:cs="Times New Roman"/>
          <w:b/>
          <w:sz w:val="28"/>
          <w:szCs w:val="28"/>
        </w:rPr>
      </w:pPr>
      <w:r>
        <w:rPr>
          <w:rFonts w:ascii="Times New Roman" w:hAnsi="Times New Roman" w:cs="Times New Roman"/>
        </w:rPr>
        <w:t>Table S1. The information of antibodies.</w:t>
      </w:r>
    </w:p>
    <w:tbl>
      <w:tblPr>
        <w:tblStyle w:val="TableGrid"/>
        <w:tblW w:w="8500" w:type="dxa"/>
        <w:tblInd w:w="0" w:type="dxa"/>
        <w:tblLook w:val="04A0" w:firstRow="1" w:lastRow="0" w:firstColumn="1" w:lastColumn="0" w:noHBand="0" w:noVBand="1"/>
      </w:tblPr>
      <w:tblGrid>
        <w:gridCol w:w="5524"/>
        <w:gridCol w:w="1701"/>
        <w:gridCol w:w="1275"/>
      </w:tblGrid>
      <w:tr w:rsidR="002E4E5B" w14:paraId="335AA113"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2FA6E7FD"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Antibody name</w:t>
            </w:r>
          </w:p>
        </w:tc>
        <w:tc>
          <w:tcPr>
            <w:tcW w:w="1701" w:type="dxa"/>
            <w:tcBorders>
              <w:top w:val="single" w:sz="4" w:space="0" w:color="auto"/>
              <w:left w:val="single" w:sz="4" w:space="0" w:color="auto"/>
              <w:bottom w:val="single" w:sz="4" w:space="0" w:color="auto"/>
              <w:right w:val="single" w:sz="4" w:space="0" w:color="auto"/>
            </w:tcBorders>
            <w:hideMark/>
          </w:tcPr>
          <w:p w14:paraId="311EA589"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Brand</w:t>
            </w:r>
          </w:p>
        </w:tc>
        <w:tc>
          <w:tcPr>
            <w:tcW w:w="1275" w:type="dxa"/>
            <w:tcBorders>
              <w:top w:val="single" w:sz="4" w:space="0" w:color="auto"/>
              <w:left w:val="single" w:sz="4" w:space="0" w:color="auto"/>
              <w:bottom w:val="single" w:sz="4" w:space="0" w:color="auto"/>
              <w:right w:val="single" w:sz="4" w:space="0" w:color="auto"/>
            </w:tcBorders>
            <w:hideMark/>
          </w:tcPr>
          <w:p w14:paraId="7FC13D53"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Cat#</w:t>
            </w:r>
          </w:p>
        </w:tc>
      </w:tr>
      <w:tr w:rsidR="002E4E5B" w14:paraId="132E6668"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36E21C90"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PerCP-Cy5.5 Anti-Mouse CD45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1B6E7ECE"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79036B0A"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103132</w:t>
            </w:r>
          </w:p>
        </w:tc>
      </w:tr>
      <w:tr w:rsidR="002E4E5B" w14:paraId="64928D6B"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761B5C59"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FITC Anti- Mouse/Human CD11b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12B2C7DB" w14:textId="77777777" w:rsidR="002E4E5B" w:rsidRDefault="002E4E5B" w:rsidP="003D63FE">
            <w:pPr>
              <w:widowControl/>
              <w:spacing w:line="360" w:lineRule="auto"/>
              <w:jc w:val="center"/>
              <w:rPr>
                <w:rFonts w:ascii="Times New Roman" w:hAnsi="Times New Roman" w:cs="Times New Roman"/>
              </w:rPr>
            </w:pPr>
            <w:r>
              <w:rPr>
                <w:rFonts w:ascii="Times New Roman" w:hAnsi="Times New Roman" w:cs="Times New Roman"/>
              </w:rPr>
              <w:t>BD Biosciences</w:t>
            </w:r>
          </w:p>
        </w:tc>
        <w:tc>
          <w:tcPr>
            <w:tcW w:w="1275" w:type="dxa"/>
            <w:tcBorders>
              <w:top w:val="single" w:sz="4" w:space="0" w:color="auto"/>
              <w:left w:val="single" w:sz="4" w:space="0" w:color="auto"/>
              <w:bottom w:val="single" w:sz="4" w:space="0" w:color="auto"/>
              <w:right w:val="single" w:sz="4" w:space="0" w:color="auto"/>
            </w:tcBorders>
            <w:hideMark/>
          </w:tcPr>
          <w:p w14:paraId="6FA9EA68"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553310</w:t>
            </w:r>
          </w:p>
        </w:tc>
      </w:tr>
      <w:tr w:rsidR="002E4E5B" w14:paraId="34AAC8CF"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6548229A"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BV711 Anti- Mouse Ly-6G (Flow cytometry)</w:t>
            </w:r>
          </w:p>
        </w:tc>
        <w:tc>
          <w:tcPr>
            <w:tcW w:w="1701" w:type="dxa"/>
            <w:tcBorders>
              <w:top w:val="single" w:sz="4" w:space="0" w:color="auto"/>
              <w:left w:val="single" w:sz="4" w:space="0" w:color="auto"/>
              <w:bottom w:val="single" w:sz="4" w:space="0" w:color="auto"/>
              <w:right w:val="single" w:sz="4" w:space="0" w:color="auto"/>
            </w:tcBorders>
            <w:hideMark/>
          </w:tcPr>
          <w:p w14:paraId="1B645AE5"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BD Biosciences</w:t>
            </w:r>
          </w:p>
        </w:tc>
        <w:tc>
          <w:tcPr>
            <w:tcW w:w="1275" w:type="dxa"/>
            <w:tcBorders>
              <w:top w:val="single" w:sz="4" w:space="0" w:color="auto"/>
              <w:left w:val="single" w:sz="4" w:space="0" w:color="auto"/>
              <w:bottom w:val="single" w:sz="4" w:space="0" w:color="auto"/>
              <w:right w:val="single" w:sz="4" w:space="0" w:color="auto"/>
            </w:tcBorders>
            <w:hideMark/>
          </w:tcPr>
          <w:p w14:paraId="73FFBAB6"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563979</w:t>
            </w:r>
          </w:p>
        </w:tc>
      </w:tr>
      <w:tr w:rsidR="002E4E5B" w14:paraId="6409C242"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16E68E3C"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PE Anti- Mouse Ly-6C (Flow cytometry)</w:t>
            </w:r>
          </w:p>
        </w:tc>
        <w:tc>
          <w:tcPr>
            <w:tcW w:w="1701" w:type="dxa"/>
            <w:tcBorders>
              <w:top w:val="single" w:sz="4" w:space="0" w:color="auto"/>
              <w:left w:val="single" w:sz="4" w:space="0" w:color="auto"/>
              <w:bottom w:val="single" w:sz="4" w:space="0" w:color="auto"/>
              <w:right w:val="single" w:sz="4" w:space="0" w:color="auto"/>
            </w:tcBorders>
            <w:hideMark/>
          </w:tcPr>
          <w:p w14:paraId="25EB4FE4"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BD Biosciences</w:t>
            </w:r>
          </w:p>
        </w:tc>
        <w:tc>
          <w:tcPr>
            <w:tcW w:w="1275" w:type="dxa"/>
            <w:tcBorders>
              <w:top w:val="single" w:sz="4" w:space="0" w:color="auto"/>
              <w:left w:val="single" w:sz="4" w:space="0" w:color="auto"/>
              <w:bottom w:val="single" w:sz="4" w:space="0" w:color="auto"/>
              <w:right w:val="single" w:sz="4" w:space="0" w:color="auto"/>
            </w:tcBorders>
            <w:hideMark/>
          </w:tcPr>
          <w:p w14:paraId="4F64AB3A"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560592</w:t>
            </w:r>
          </w:p>
        </w:tc>
      </w:tr>
      <w:tr w:rsidR="002E4E5B" w14:paraId="23662FD9"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656E5749"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FITC Anti-Mouse CD11c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55176848"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BD Biosciences</w:t>
            </w:r>
          </w:p>
        </w:tc>
        <w:tc>
          <w:tcPr>
            <w:tcW w:w="1275" w:type="dxa"/>
            <w:tcBorders>
              <w:top w:val="single" w:sz="4" w:space="0" w:color="auto"/>
              <w:left w:val="single" w:sz="4" w:space="0" w:color="auto"/>
              <w:bottom w:val="single" w:sz="4" w:space="0" w:color="auto"/>
              <w:right w:val="single" w:sz="4" w:space="0" w:color="auto"/>
            </w:tcBorders>
            <w:hideMark/>
          </w:tcPr>
          <w:p w14:paraId="7E08670C"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553801</w:t>
            </w:r>
          </w:p>
        </w:tc>
      </w:tr>
      <w:tr w:rsidR="002E4E5B" w14:paraId="366BF454"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22464E4F"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PE Anti-Mouse CD206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7E36E232"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1A908C88"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141706</w:t>
            </w:r>
          </w:p>
        </w:tc>
      </w:tr>
      <w:tr w:rsidR="002E4E5B" w14:paraId="6A85982D"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668919D3"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APC Anti-Mouse F4/80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34B08F4A"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7475E957"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157306</w:t>
            </w:r>
          </w:p>
        </w:tc>
      </w:tr>
      <w:tr w:rsidR="002E4E5B" w14:paraId="3BBB8D76"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222BF401"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PerCP-Cy5.5 Anti-Mouse CD3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0B3C954C"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2E382A4D"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100218</w:t>
            </w:r>
          </w:p>
        </w:tc>
      </w:tr>
      <w:tr w:rsidR="002E4E5B" w14:paraId="1C0BF297"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252EB844"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APC Anti-Mouse CD4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0C5FDEB9"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54F026C3"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100412</w:t>
            </w:r>
          </w:p>
        </w:tc>
      </w:tr>
      <w:tr w:rsidR="002E4E5B" w14:paraId="3A55CFF1"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116645FA"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BV421 Anti-Mouse CD8a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1B97475D"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15996F76"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100737</w:t>
            </w:r>
          </w:p>
        </w:tc>
      </w:tr>
      <w:tr w:rsidR="002E4E5B" w14:paraId="044E6B8A"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091734BC"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PE Anti-Mouse CD69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5A4EBE27"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19E1BE4E"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104508</w:t>
            </w:r>
          </w:p>
        </w:tc>
      </w:tr>
      <w:tr w:rsidR="002E4E5B" w14:paraId="6B5EBAFF"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4F803F42"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BV510 Anti-Mouse//Human CD44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0607B4AD"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70AB0153"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103043</w:t>
            </w:r>
          </w:p>
        </w:tc>
      </w:tr>
      <w:tr w:rsidR="002E4E5B" w14:paraId="6B2A7FE1"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2C38AD91"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FITC Anti-Mouse CD62L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156760EE"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39FE485A"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104406</w:t>
            </w:r>
          </w:p>
        </w:tc>
      </w:tr>
      <w:tr w:rsidR="002E4E5B" w14:paraId="1BDDE031"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5878DD1D"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PE Anti-Mouse IFN-gamma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2FC77D79"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13255FEE"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505808</w:t>
            </w:r>
          </w:p>
        </w:tc>
      </w:tr>
      <w:tr w:rsidR="002E4E5B" w14:paraId="79B118F1"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29EE6A27"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AF647 Anti-Mouse Granzyme B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3A6B3668"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3E12FE43"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515406</w:t>
            </w:r>
          </w:p>
        </w:tc>
      </w:tr>
      <w:tr w:rsidR="002E4E5B" w14:paraId="7A2EC188"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1A16D621"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 xml:space="preserve">BV711 Anti-Mouse MHC </w:t>
            </w:r>
            <w:bookmarkStart w:id="0" w:name="OLE_LINK342"/>
            <w:bookmarkStart w:id="1" w:name="OLE_LINK343"/>
            <w:r>
              <w:rPr>
                <w:rFonts w:ascii="Times New Roman" w:hAnsi="Times New Roman" w:cs="Times New Roman"/>
              </w:rPr>
              <w:t>Ⅱ</w:t>
            </w:r>
            <w:bookmarkEnd w:id="0"/>
            <w:bookmarkEnd w:id="1"/>
            <w:r>
              <w:rPr>
                <w:rFonts w:ascii="Times New Roman" w:hAnsi="Times New Roman" w:cs="Times New Roman"/>
              </w:rPr>
              <w:t xml:space="preserve">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79217E23"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14F0EFDE"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107643</w:t>
            </w:r>
          </w:p>
        </w:tc>
      </w:tr>
      <w:tr w:rsidR="002E4E5B" w14:paraId="3466083F"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6EC36CD9"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BV510 Anti-Mouse CD11c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5A33B724"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BD Biosciences</w:t>
            </w:r>
          </w:p>
        </w:tc>
        <w:tc>
          <w:tcPr>
            <w:tcW w:w="1275" w:type="dxa"/>
            <w:tcBorders>
              <w:top w:val="single" w:sz="4" w:space="0" w:color="auto"/>
              <w:left w:val="single" w:sz="4" w:space="0" w:color="auto"/>
              <w:bottom w:val="single" w:sz="4" w:space="0" w:color="auto"/>
              <w:right w:val="single" w:sz="4" w:space="0" w:color="auto"/>
            </w:tcBorders>
            <w:hideMark/>
          </w:tcPr>
          <w:p w14:paraId="0D05D917"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562949</w:t>
            </w:r>
          </w:p>
        </w:tc>
      </w:tr>
      <w:tr w:rsidR="002E4E5B" w14:paraId="4F1860A4"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495717E7"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APC Anti-Mouse CD40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2D3CC98B"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BD Biosciences</w:t>
            </w:r>
          </w:p>
        </w:tc>
        <w:tc>
          <w:tcPr>
            <w:tcW w:w="1275" w:type="dxa"/>
            <w:tcBorders>
              <w:top w:val="single" w:sz="4" w:space="0" w:color="auto"/>
              <w:left w:val="single" w:sz="4" w:space="0" w:color="auto"/>
              <w:bottom w:val="single" w:sz="4" w:space="0" w:color="auto"/>
              <w:right w:val="single" w:sz="4" w:space="0" w:color="auto"/>
            </w:tcBorders>
            <w:hideMark/>
          </w:tcPr>
          <w:p w14:paraId="100C9E0F"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558695</w:t>
            </w:r>
          </w:p>
        </w:tc>
      </w:tr>
      <w:tr w:rsidR="002E4E5B" w14:paraId="75D2EA31"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75406072"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FITC Anti-Mouse CD80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41C0F2B2"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BD Biosciences</w:t>
            </w:r>
          </w:p>
        </w:tc>
        <w:tc>
          <w:tcPr>
            <w:tcW w:w="1275" w:type="dxa"/>
            <w:tcBorders>
              <w:top w:val="single" w:sz="4" w:space="0" w:color="auto"/>
              <w:left w:val="single" w:sz="4" w:space="0" w:color="auto"/>
              <w:bottom w:val="single" w:sz="4" w:space="0" w:color="auto"/>
              <w:right w:val="single" w:sz="4" w:space="0" w:color="auto"/>
            </w:tcBorders>
            <w:hideMark/>
          </w:tcPr>
          <w:p w14:paraId="222B651E"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553768</w:t>
            </w:r>
          </w:p>
        </w:tc>
      </w:tr>
      <w:tr w:rsidR="002E4E5B" w14:paraId="106E888C"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376F3FC7"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PE Anti-Mouse CD86 antibody (Flow cytometry)</w:t>
            </w:r>
          </w:p>
        </w:tc>
        <w:tc>
          <w:tcPr>
            <w:tcW w:w="1701" w:type="dxa"/>
            <w:tcBorders>
              <w:top w:val="single" w:sz="4" w:space="0" w:color="auto"/>
              <w:left w:val="single" w:sz="4" w:space="0" w:color="auto"/>
              <w:bottom w:val="single" w:sz="4" w:space="0" w:color="auto"/>
              <w:right w:val="single" w:sz="4" w:space="0" w:color="auto"/>
            </w:tcBorders>
            <w:hideMark/>
          </w:tcPr>
          <w:p w14:paraId="41EE9760"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BD Biosciences</w:t>
            </w:r>
          </w:p>
        </w:tc>
        <w:tc>
          <w:tcPr>
            <w:tcW w:w="1275" w:type="dxa"/>
            <w:tcBorders>
              <w:top w:val="single" w:sz="4" w:space="0" w:color="auto"/>
              <w:left w:val="single" w:sz="4" w:space="0" w:color="auto"/>
              <w:bottom w:val="single" w:sz="4" w:space="0" w:color="auto"/>
              <w:right w:val="single" w:sz="4" w:space="0" w:color="auto"/>
            </w:tcBorders>
            <w:hideMark/>
          </w:tcPr>
          <w:p w14:paraId="79320ECB"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561963</w:t>
            </w:r>
          </w:p>
        </w:tc>
      </w:tr>
      <w:tr w:rsidR="002E4E5B" w14:paraId="4B514393"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7B790DA4"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Anti-8-OHdG antibody (Flow cytometry and IF)</w:t>
            </w:r>
          </w:p>
        </w:tc>
        <w:tc>
          <w:tcPr>
            <w:tcW w:w="1701" w:type="dxa"/>
            <w:tcBorders>
              <w:top w:val="single" w:sz="4" w:space="0" w:color="auto"/>
              <w:left w:val="single" w:sz="4" w:space="0" w:color="auto"/>
              <w:bottom w:val="single" w:sz="4" w:space="0" w:color="auto"/>
              <w:right w:val="single" w:sz="4" w:space="0" w:color="auto"/>
            </w:tcBorders>
            <w:hideMark/>
          </w:tcPr>
          <w:p w14:paraId="6E0D41EA"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Abcam</w:t>
            </w:r>
          </w:p>
        </w:tc>
        <w:tc>
          <w:tcPr>
            <w:tcW w:w="1275" w:type="dxa"/>
            <w:tcBorders>
              <w:top w:val="single" w:sz="4" w:space="0" w:color="auto"/>
              <w:left w:val="single" w:sz="4" w:space="0" w:color="auto"/>
              <w:bottom w:val="single" w:sz="4" w:space="0" w:color="auto"/>
              <w:right w:val="single" w:sz="4" w:space="0" w:color="auto"/>
            </w:tcBorders>
            <w:hideMark/>
          </w:tcPr>
          <w:p w14:paraId="0DA6993C"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10802</w:t>
            </w:r>
          </w:p>
        </w:tc>
      </w:tr>
      <w:tr w:rsidR="002E4E5B" w14:paraId="5E168E90"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079A41C3"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 xml:space="preserve">MitoTracker® Red CMXRos </w:t>
            </w:r>
          </w:p>
        </w:tc>
        <w:tc>
          <w:tcPr>
            <w:tcW w:w="1701" w:type="dxa"/>
            <w:tcBorders>
              <w:top w:val="single" w:sz="4" w:space="0" w:color="auto"/>
              <w:left w:val="single" w:sz="4" w:space="0" w:color="auto"/>
              <w:bottom w:val="single" w:sz="4" w:space="0" w:color="auto"/>
              <w:right w:val="single" w:sz="4" w:space="0" w:color="auto"/>
            </w:tcBorders>
            <w:hideMark/>
          </w:tcPr>
          <w:p w14:paraId="43D983C5"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Invitrogen</w:t>
            </w:r>
          </w:p>
        </w:tc>
        <w:tc>
          <w:tcPr>
            <w:tcW w:w="1275" w:type="dxa"/>
            <w:tcBorders>
              <w:top w:val="single" w:sz="4" w:space="0" w:color="auto"/>
              <w:left w:val="single" w:sz="4" w:space="0" w:color="auto"/>
              <w:bottom w:val="single" w:sz="4" w:space="0" w:color="auto"/>
              <w:right w:val="single" w:sz="4" w:space="0" w:color="auto"/>
            </w:tcBorders>
            <w:hideMark/>
          </w:tcPr>
          <w:p w14:paraId="0AA103AC"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M7512</w:t>
            </w:r>
          </w:p>
        </w:tc>
      </w:tr>
      <w:tr w:rsidR="002E4E5B" w14:paraId="5AB8B5B9"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2268032E"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Anti-CD11c antibody (IF)</w:t>
            </w:r>
          </w:p>
        </w:tc>
        <w:tc>
          <w:tcPr>
            <w:tcW w:w="1701" w:type="dxa"/>
            <w:tcBorders>
              <w:top w:val="single" w:sz="4" w:space="0" w:color="auto"/>
              <w:left w:val="single" w:sz="4" w:space="0" w:color="auto"/>
              <w:bottom w:val="single" w:sz="4" w:space="0" w:color="auto"/>
              <w:right w:val="single" w:sz="4" w:space="0" w:color="auto"/>
            </w:tcBorders>
            <w:hideMark/>
          </w:tcPr>
          <w:p w14:paraId="0B4EBF86"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Biolegend</w:t>
            </w:r>
          </w:p>
        </w:tc>
        <w:tc>
          <w:tcPr>
            <w:tcW w:w="1275" w:type="dxa"/>
            <w:tcBorders>
              <w:top w:val="single" w:sz="4" w:space="0" w:color="auto"/>
              <w:left w:val="single" w:sz="4" w:space="0" w:color="auto"/>
              <w:bottom w:val="single" w:sz="4" w:space="0" w:color="auto"/>
              <w:right w:val="single" w:sz="4" w:space="0" w:color="auto"/>
            </w:tcBorders>
            <w:hideMark/>
          </w:tcPr>
          <w:p w14:paraId="671639EA"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117301</w:t>
            </w:r>
          </w:p>
        </w:tc>
      </w:tr>
      <w:tr w:rsidR="002E4E5B" w14:paraId="4877A57A"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7B2073BD"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Anti-Caspase1</w:t>
            </w:r>
            <w:r>
              <w:rPr>
                <w:rFonts w:hint="eastAsia"/>
              </w:rPr>
              <w:t xml:space="preserve"> </w:t>
            </w:r>
            <w:r>
              <w:rPr>
                <w:rFonts w:ascii="Times New Roman" w:hAnsi="Times New Roman" w:cs="Times New Roman"/>
              </w:rPr>
              <w:t>/p20/p10 antibody (Western and IF)</w:t>
            </w:r>
          </w:p>
        </w:tc>
        <w:tc>
          <w:tcPr>
            <w:tcW w:w="1701" w:type="dxa"/>
            <w:tcBorders>
              <w:top w:val="single" w:sz="4" w:space="0" w:color="auto"/>
              <w:left w:val="single" w:sz="4" w:space="0" w:color="auto"/>
              <w:bottom w:val="single" w:sz="4" w:space="0" w:color="auto"/>
              <w:right w:val="single" w:sz="4" w:space="0" w:color="auto"/>
            </w:tcBorders>
            <w:hideMark/>
          </w:tcPr>
          <w:p w14:paraId="27050B54"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Proteintech</w:t>
            </w:r>
          </w:p>
        </w:tc>
        <w:tc>
          <w:tcPr>
            <w:tcW w:w="1275" w:type="dxa"/>
            <w:tcBorders>
              <w:top w:val="single" w:sz="4" w:space="0" w:color="auto"/>
              <w:left w:val="single" w:sz="4" w:space="0" w:color="auto"/>
              <w:bottom w:val="single" w:sz="4" w:space="0" w:color="auto"/>
              <w:right w:val="single" w:sz="4" w:space="0" w:color="auto"/>
            </w:tcBorders>
            <w:hideMark/>
          </w:tcPr>
          <w:p w14:paraId="07905E20"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22915-1-AP</w:t>
            </w:r>
          </w:p>
        </w:tc>
      </w:tr>
      <w:tr w:rsidR="002E4E5B" w14:paraId="2ED3C3C5" w14:textId="77777777" w:rsidTr="003D63FE">
        <w:trPr>
          <w:trHeight w:val="470"/>
        </w:trPr>
        <w:tc>
          <w:tcPr>
            <w:tcW w:w="5524" w:type="dxa"/>
            <w:tcBorders>
              <w:top w:val="single" w:sz="4" w:space="0" w:color="auto"/>
              <w:left w:val="single" w:sz="4" w:space="0" w:color="auto"/>
              <w:bottom w:val="single" w:sz="4" w:space="0" w:color="auto"/>
              <w:right w:val="single" w:sz="4" w:space="0" w:color="auto"/>
            </w:tcBorders>
            <w:hideMark/>
          </w:tcPr>
          <w:p w14:paraId="31140779"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Anti-GAPDH antibody (Western)</w:t>
            </w:r>
          </w:p>
        </w:tc>
        <w:tc>
          <w:tcPr>
            <w:tcW w:w="1701" w:type="dxa"/>
            <w:tcBorders>
              <w:top w:val="single" w:sz="4" w:space="0" w:color="auto"/>
              <w:left w:val="single" w:sz="4" w:space="0" w:color="auto"/>
              <w:bottom w:val="single" w:sz="4" w:space="0" w:color="auto"/>
              <w:right w:val="single" w:sz="4" w:space="0" w:color="auto"/>
            </w:tcBorders>
            <w:hideMark/>
          </w:tcPr>
          <w:p w14:paraId="686F71BD"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Santa Cruz Biotechnolog</w:t>
            </w:r>
          </w:p>
        </w:tc>
        <w:tc>
          <w:tcPr>
            <w:tcW w:w="1275" w:type="dxa"/>
            <w:tcBorders>
              <w:top w:val="single" w:sz="4" w:space="0" w:color="auto"/>
              <w:left w:val="single" w:sz="4" w:space="0" w:color="auto"/>
              <w:bottom w:val="single" w:sz="4" w:space="0" w:color="auto"/>
              <w:right w:val="single" w:sz="4" w:space="0" w:color="auto"/>
            </w:tcBorders>
            <w:hideMark/>
          </w:tcPr>
          <w:p w14:paraId="166B5620"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sc-47724</w:t>
            </w:r>
          </w:p>
        </w:tc>
      </w:tr>
      <w:tr w:rsidR="002E4E5B" w14:paraId="7A7206C3"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0D0A349C"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Anti-NF-</w:t>
            </w:r>
            <w:r>
              <w:rPr>
                <w:rFonts w:ascii="Times New Roman" w:eastAsia="Microsoft YaHei UI Light" w:hAnsi="Times New Roman" w:cs="Times New Roman"/>
              </w:rPr>
              <w:t>κ</w:t>
            </w:r>
            <w:r>
              <w:rPr>
                <w:rFonts w:ascii="Times New Roman" w:hAnsi="Times New Roman" w:cs="Times New Roman"/>
              </w:rPr>
              <w:t>B p65 antibody (Western)</w:t>
            </w:r>
          </w:p>
        </w:tc>
        <w:tc>
          <w:tcPr>
            <w:tcW w:w="1701" w:type="dxa"/>
            <w:tcBorders>
              <w:top w:val="single" w:sz="4" w:space="0" w:color="auto"/>
              <w:left w:val="single" w:sz="4" w:space="0" w:color="auto"/>
              <w:bottom w:val="single" w:sz="4" w:space="0" w:color="auto"/>
              <w:right w:val="single" w:sz="4" w:space="0" w:color="auto"/>
            </w:tcBorders>
            <w:hideMark/>
          </w:tcPr>
          <w:p w14:paraId="5B91088E"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Cell Signaling Technology</w:t>
            </w:r>
          </w:p>
        </w:tc>
        <w:tc>
          <w:tcPr>
            <w:tcW w:w="1275" w:type="dxa"/>
            <w:tcBorders>
              <w:top w:val="single" w:sz="4" w:space="0" w:color="auto"/>
              <w:left w:val="single" w:sz="4" w:space="0" w:color="auto"/>
              <w:bottom w:val="single" w:sz="4" w:space="0" w:color="auto"/>
              <w:right w:val="single" w:sz="4" w:space="0" w:color="auto"/>
            </w:tcBorders>
            <w:hideMark/>
          </w:tcPr>
          <w:p w14:paraId="66021F27"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8242</w:t>
            </w:r>
          </w:p>
        </w:tc>
      </w:tr>
      <w:tr w:rsidR="002E4E5B" w14:paraId="535EEFAC"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037A60C1"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Anti-p-NF-</w:t>
            </w:r>
            <w:r>
              <w:rPr>
                <w:rFonts w:ascii="Times New Roman" w:eastAsia="DengXian" w:hAnsi="Times New Roman" w:cs="Times New Roman"/>
              </w:rPr>
              <w:t>κ</w:t>
            </w:r>
            <w:r>
              <w:rPr>
                <w:rFonts w:ascii="Times New Roman" w:hAnsi="Times New Roman" w:cs="Times New Roman"/>
              </w:rPr>
              <w:t>B p65 (Ser536) antibody (Western)</w:t>
            </w:r>
          </w:p>
        </w:tc>
        <w:tc>
          <w:tcPr>
            <w:tcW w:w="1701" w:type="dxa"/>
            <w:tcBorders>
              <w:top w:val="single" w:sz="4" w:space="0" w:color="auto"/>
              <w:left w:val="single" w:sz="4" w:space="0" w:color="auto"/>
              <w:bottom w:val="single" w:sz="4" w:space="0" w:color="auto"/>
              <w:right w:val="single" w:sz="4" w:space="0" w:color="auto"/>
            </w:tcBorders>
            <w:hideMark/>
          </w:tcPr>
          <w:p w14:paraId="08DE6D9C"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Cell Signaling Technology</w:t>
            </w:r>
          </w:p>
        </w:tc>
        <w:tc>
          <w:tcPr>
            <w:tcW w:w="1275" w:type="dxa"/>
            <w:tcBorders>
              <w:top w:val="single" w:sz="4" w:space="0" w:color="auto"/>
              <w:left w:val="single" w:sz="4" w:space="0" w:color="auto"/>
              <w:bottom w:val="single" w:sz="4" w:space="0" w:color="auto"/>
              <w:right w:val="single" w:sz="4" w:space="0" w:color="auto"/>
            </w:tcBorders>
            <w:hideMark/>
          </w:tcPr>
          <w:p w14:paraId="581FB490"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3033</w:t>
            </w:r>
          </w:p>
        </w:tc>
      </w:tr>
      <w:tr w:rsidR="002E4E5B" w14:paraId="0B39E8CC"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7C1D80E2"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Anti-I</w:t>
            </w:r>
            <w:r>
              <w:rPr>
                <w:rFonts w:ascii="Times New Roman" w:eastAsia="DengXian" w:hAnsi="Times New Roman" w:cs="Times New Roman"/>
              </w:rPr>
              <w:t>κ</w:t>
            </w:r>
            <w:r>
              <w:rPr>
                <w:rFonts w:ascii="Times New Roman" w:hAnsi="Times New Roman" w:cs="Times New Roman"/>
              </w:rPr>
              <w:t>Bα antibody (Western)</w:t>
            </w:r>
          </w:p>
        </w:tc>
        <w:tc>
          <w:tcPr>
            <w:tcW w:w="1701" w:type="dxa"/>
            <w:tcBorders>
              <w:top w:val="single" w:sz="4" w:space="0" w:color="auto"/>
              <w:left w:val="single" w:sz="4" w:space="0" w:color="auto"/>
              <w:bottom w:val="single" w:sz="4" w:space="0" w:color="auto"/>
              <w:right w:val="single" w:sz="4" w:space="0" w:color="auto"/>
            </w:tcBorders>
            <w:hideMark/>
          </w:tcPr>
          <w:p w14:paraId="12E6516B"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Cell Signaling Technology</w:t>
            </w:r>
          </w:p>
        </w:tc>
        <w:tc>
          <w:tcPr>
            <w:tcW w:w="1275" w:type="dxa"/>
            <w:tcBorders>
              <w:top w:val="single" w:sz="4" w:space="0" w:color="auto"/>
              <w:left w:val="single" w:sz="4" w:space="0" w:color="auto"/>
              <w:bottom w:val="single" w:sz="4" w:space="0" w:color="auto"/>
              <w:right w:val="single" w:sz="4" w:space="0" w:color="auto"/>
            </w:tcBorders>
            <w:hideMark/>
          </w:tcPr>
          <w:p w14:paraId="28CE3E54"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9242</w:t>
            </w:r>
          </w:p>
        </w:tc>
      </w:tr>
      <w:tr w:rsidR="002E4E5B" w14:paraId="6DECC633" w14:textId="77777777" w:rsidTr="003D63FE">
        <w:tc>
          <w:tcPr>
            <w:tcW w:w="5524" w:type="dxa"/>
            <w:tcBorders>
              <w:top w:val="single" w:sz="4" w:space="0" w:color="auto"/>
              <w:left w:val="single" w:sz="4" w:space="0" w:color="auto"/>
              <w:bottom w:val="single" w:sz="4" w:space="0" w:color="auto"/>
              <w:right w:val="single" w:sz="4" w:space="0" w:color="auto"/>
            </w:tcBorders>
            <w:hideMark/>
          </w:tcPr>
          <w:p w14:paraId="47A48A23"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Anti-p- I</w:t>
            </w:r>
            <w:r>
              <w:rPr>
                <w:rFonts w:ascii="Times New Roman" w:eastAsia="DengXian" w:hAnsi="Times New Roman" w:cs="Times New Roman"/>
              </w:rPr>
              <w:t>κ</w:t>
            </w:r>
            <w:r>
              <w:rPr>
                <w:rFonts w:ascii="Times New Roman" w:hAnsi="Times New Roman" w:cs="Times New Roman"/>
              </w:rPr>
              <w:t>Bα (Ser32) antibody (Western)</w:t>
            </w:r>
          </w:p>
        </w:tc>
        <w:tc>
          <w:tcPr>
            <w:tcW w:w="1701" w:type="dxa"/>
            <w:tcBorders>
              <w:top w:val="single" w:sz="4" w:space="0" w:color="auto"/>
              <w:left w:val="single" w:sz="4" w:space="0" w:color="auto"/>
              <w:bottom w:val="single" w:sz="4" w:space="0" w:color="auto"/>
              <w:right w:val="single" w:sz="4" w:space="0" w:color="auto"/>
            </w:tcBorders>
            <w:hideMark/>
          </w:tcPr>
          <w:p w14:paraId="0E544B1E"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Cell Signaling Technology</w:t>
            </w:r>
          </w:p>
        </w:tc>
        <w:tc>
          <w:tcPr>
            <w:tcW w:w="1275" w:type="dxa"/>
            <w:tcBorders>
              <w:top w:val="single" w:sz="4" w:space="0" w:color="auto"/>
              <w:left w:val="single" w:sz="4" w:space="0" w:color="auto"/>
              <w:bottom w:val="single" w:sz="4" w:space="0" w:color="auto"/>
              <w:right w:val="single" w:sz="4" w:space="0" w:color="auto"/>
            </w:tcBorders>
            <w:hideMark/>
          </w:tcPr>
          <w:p w14:paraId="52D26EAD" w14:textId="77777777" w:rsidR="002E4E5B" w:rsidRDefault="002E4E5B" w:rsidP="003D63FE">
            <w:pPr>
              <w:spacing w:line="360" w:lineRule="auto"/>
              <w:jc w:val="center"/>
              <w:rPr>
                <w:rFonts w:ascii="Times New Roman" w:hAnsi="Times New Roman" w:cs="Times New Roman"/>
              </w:rPr>
            </w:pPr>
            <w:r>
              <w:rPr>
                <w:rFonts w:ascii="Times New Roman" w:hAnsi="Times New Roman" w:cs="Times New Roman"/>
              </w:rPr>
              <w:t>2859</w:t>
            </w:r>
          </w:p>
        </w:tc>
      </w:tr>
    </w:tbl>
    <w:p w14:paraId="2F7C8D30" w14:textId="77777777" w:rsidR="002E4E5B" w:rsidRDefault="002E4E5B" w:rsidP="002E4E5B">
      <w:pPr>
        <w:rPr>
          <w:rFonts w:ascii="Times New Roman" w:hAnsi="Times New Roman" w:cs="Times New Roman"/>
          <w:b/>
          <w:sz w:val="28"/>
          <w:szCs w:val="28"/>
        </w:rPr>
      </w:pPr>
    </w:p>
    <w:p w14:paraId="58412B40" w14:textId="77777777" w:rsidR="002E4E5B" w:rsidRDefault="002E4E5B" w:rsidP="002E4E5B">
      <w:pPr>
        <w:rPr>
          <w:rFonts w:ascii="Times New Roman" w:hAnsi="Times New Roman" w:cs="Times New Roman"/>
          <w:b/>
          <w:sz w:val="28"/>
          <w:szCs w:val="28"/>
        </w:rPr>
      </w:pPr>
      <w:r>
        <w:rPr>
          <w:rFonts w:ascii="Times New Roman" w:hAnsi="Times New Roman" w:cs="Times New Roman" w:hint="eastAsia"/>
          <w:b/>
          <w:noProof/>
          <w:sz w:val="28"/>
          <w:szCs w:val="28"/>
        </w:rPr>
        <w:lastRenderedPageBreak/>
        <w:drawing>
          <wp:anchor distT="0" distB="0" distL="114300" distR="114300" simplePos="0" relativeHeight="251659264" behindDoc="0" locked="0" layoutInCell="1" allowOverlap="1" wp14:anchorId="4F6913FD" wp14:editId="0D30AC7A">
            <wp:simplePos x="0" y="0"/>
            <wp:positionH relativeFrom="margin">
              <wp:align>right</wp:align>
            </wp:positionH>
            <wp:positionV relativeFrom="paragraph">
              <wp:posOffset>36066</wp:posOffset>
            </wp:positionV>
            <wp:extent cx="5274310" cy="5845810"/>
            <wp:effectExtent l="0" t="0" r="2540" b="254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幻灯片8.TIF"/>
                    <pic:cNvPicPr/>
                  </pic:nvPicPr>
                  <pic:blipFill rotWithShape="1">
                    <a:blip r:embed="rId4" cstate="print">
                      <a:extLst>
                        <a:ext uri="{28A0092B-C50C-407E-A947-70E740481C1C}">
                          <a14:useLocalDpi xmlns:a14="http://schemas.microsoft.com/office/drawing/2010/main" val="0"/>
                        </a:ext>
                      </a:extLst>
                    </a:blip>
                    <a:srcRect b="23271"/>
                    <a:stretch/>
                  </pic:blipFill>
                  <pic:spPr bwMode="auto">
                    <a:xfrm>
                      <a:off x="0" y="0"/>
                      <a:ext cx="5274310" cy="584581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572514A9" w14:textId="77777777" w:rsidR="002E4E5B" w:rsidRPr="00E8458C" w:rsidRDefault="002E4E5B" w:rsidP="002E4E5B">
      <w:pPr>
        <w:spacing w:line="360" w:lineRule="auto"/>
        <w:rPr>
          <w:rFonts w:ascii="Times New Roman" w:hAnsi="Times New Roman" w:cs="Times New Roman"/>
          <w:b/>
          <w:sz w:val="28"/>
          <w:szCs w:val="28"/>
        </w:rPr>
      </w:pPr>
      <w:r>
        <w:rPr>
          <w:rFonts w:ascii="Times New Roman" w:hAnsi="Times New Roman" w:cs="Times New Roman"/>
        </w:rPr>
        <w:t xml:space="preserve">Extended Data Fig.1 1V209-Cho-Lip combined with radiotherapy induces immune responses. (A) Flow cytometry analysis of M1 macrophages in the lungs (n = 6). (B) Quantification of </w:t>
      </w:r>
      <w:r>
        <w:rPr>
          <w:rFonts w:ascii="Times New Roman" w:hAnsi="Times New Roman" w:cs="Times New Roman"/>
          <w:lang w:val="fr-FR"/>
        </w:rPr>
        <w:t xml:space="preserve">active </w:t>
      </w:r>
      <w:r>
        <w:rPr>
          <w:rFonts w:ascii="Times New Roman" w:hAnsi="Times New Roman" w:cs="Times New Roman"/>
        </w:rPr>
        <w:t>CD8</w:t>
      </w:r>
      <w:r>
        <w:rPr>
          <w:rFonts w:ascii="Times New Roman" w:hAnsi="Times New Roman" w:cs="Times New Roman"/>
          <w:vertAlign w:val="superscript"/>
        </w:rPr>
        <w:t xml:space="preserve">+ </w:t>
      </w:r>
      <w:r>
        <w:rPr>
          <w:rFonts w:ascii="Times New Roman" w:hAnsi="Times New Roman" w:cs="Times New Roman"/>
          <w:lang w:val="fr-FR"/>
        </w:rPr>
        <w:t>T cells (</w:t>
      </w:r>
      <w:r>
        <w:rPr>
          <w:rFonts w:ascii="Times New Roman" w:hAnsi="Times New Roman" w:cs="Times New Roman"/>
        </w:rPr>
        <w:t>CD8</w:t>
      </w:r>
      <w:r>
        <w:rPr>
          <w:rFonts w:ascii="Times New Roman" w:hAnsi="Times New Roman" w:cs="Times New Roman"/>
          <w:vertAlign w:val="superscript"/>
        </w:rPr>
        <w:t>+</w:t>
      </w:r>
      <w:r>
        <w:rPr>
          <w:rFonts w:ascii="Times New Roman" w:hAnsi="Times New Roman" w:cs="Times New Roman"/>
        </w:rPr>
        <w:t>CD69</w:t>
      </w:r>
      <w:r>
        <w:rPr>
          <w:rFonts w:ascii="Times New Roman" w:hAnsi="Times New Roman" w:cs="Times New Roman"/>
          <w:vertAlign w:val="superscript"/>
        </w:rPr>
        <w:t>+</w:t>
      </w:r>
      <w:r>
        <w:rPr>
          <w:rFonts w:ascii="Times New Roman" w:hAnsi="Times New Roman" w:cs="Times New Roman"/>
          <w:lang w:val="fr-FR"/>
        </w:rPr>
        <w:t xml:space="preserve">) in lymph nodes (n = 4-6). </w:t>
      </w:r>
      <w:r>
        <w:rPr>
          <w:rFonts w:ascii="Times New Roman" w:hAnsi="Times New Roman" w:cs="Times New Roman"/>
        </w:rPr>
        <w:t xml:space="preserve">(C) The method of gating T cells in lymph nodes. Data are presented as means </w:t>
      </w:r>
      <w:r w:rsidRPr="000F38C5">
        <w:rPr>
          <w:rFonts w:ascii="Times New Roman" w:hAnsi="Times New Roman" w:cs="Times New Roman"/>
        </w:rPr>
        <w:t>±</w:t>
      </w:r>
      <w:r>
        <w:rPr>
          <w:rFonts w:ascii="Times New Roman" w:hAnsi="Times New Roman" w:cs="Times New Roman"/>
        </w:rPr>
        <w:t xml:space="preserve"> SEM, and analyzed with one-way ANOVA test. </w:t>
      </w:r>
      <w:r>
        <w:rPr>
          <w:rFonts w:ascii="Times New Roman" w:hAnsi="Times New Roman" w:cs="Times New Roman"/>
          <w:lang w:val="nn-NO"/>
        </w:rPr>
        <w:t>**p &lt; 0.01,  ***p &lt; 0.001.</w:t>
      </w:r>
    </w:p>
    <w:p w14:paraId="44966C23" w14:textId="77777777" w:rsidR="002E4E5B" w:rsidRDefault="002E4E5B" w:rsidP="002E4E5B">
      <w:pPr>
        <w:spacing w:line="360" w:lineRule="auto"/>
        <w:rPr>
          <w:rFonts w:ascii="Times New Roman" w:hAnsi="Times New Roman" w:cs="Times New Roman"/>
        </w:rPr>
      </w:pPr>
    </w:p>
    <w:p w14:paraId="59BF6543" w14:textId="77777777" w:rsidR="002E4E5B" w:rsidRDefault="002E4E5B" w:rsidP="002E4E5B">
      <w:pPr>
        <w:spacing w:line="360" w:lineRule="auto"/>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60288" behindDoc="1" locked="0" layoutInCell="1" allowOverlap="1" wp14:anchorId="1F557673" wp14:editId="2CADE11C">
            <wp:simplePos x="0" y="0"/>
            <wp:positionH relativeFrom="margin">
              <wp:align>right</wp:align>
            </wp:positionH>
            <wp:positionV relativeFrom="paragraph">
              <wp:posOffset>3810</wp:posOffset>
            </wp:positionV>
            <wp:extent cx="5274310" cy="5803265"/>
            <wp:effectExtent l="0" t="0" r="2540" b="6985"/>
            <wp:wrapTight wrapText="bothSides">
              <wp:wrapPolygon edited="0">
                <wp:start x="0" y="0"/>
                <wp:lineTo x="0" y="21555"/>
                <wp:lineTo x="21532" y="21555"/>
                <wp:lineTo x="21532" y="0"/>
                <wp:lineTo x="0" y="0"/>
              </wp:wrapPolygon>
            </wp:wrapTight>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幻灯片10.TIF"/>
                    <pic:cNvPicPr/>
                  </pic:nvPicPr>
                  <pic:blipFill rotWithShape="1">
                    <a:blip r:embed="rId5" cstate="print">
                      <a:extLst>
                        <a:ext uri="{28A0092B-C50C-407E-A947-70E740481C1C}">
                          <a14:useLocalDpi xmlns:a14="http://schemas.microsoft.com/office/drawing/2010/main" val="0"/>
                        </a:ext>
                      </a:extLst>
                    </a:blip>
                    <a:srcRect b="23826"/>
                    <a:stretch/>
                  </pic:blipFill>
                  <pic:spPr bwMode="auto">
                    <a:xfrm>
                      <a:off x="0" y="0"/>
                      <a:ext cx="5274310" cy="580326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E9CA06C" w14:textId="77777777" w:rsidR="002E4E5B" w:rsidRDefault="002E4E5B" w:rsidP="002E4E5B">
      <w:pPr>
        <w:spacing w:line="360" w:lineRule="auto"/>
        <w:rPr>
          <w:rFonts w:ascii="Times New Roman" w:hAnsi="Times New Roman" w:cs="Times New Roman"/>
        </w:rPr>
      </w:pPr>
      <w:r>
        <w:rPr>
          <w:rFonts w:ascii="Times New Roman" w:hAnsi="Times New Roman" w:cs="Times New Roman"/>
        </w:rPr>
        <w:t>Extended Data Fig.2 The toxicity of combination therapy. (A) The changes of mice body weight after combination treatment. (B) The heart, liver, spleen and kidney of mice were isolated and prepared for H&amp;E staining at the end of treatment, scale bar: 50 μm.</w:t>
      </w:r>
    </w:p>
    <w:p w14:paraId="79C303FB" w14:textId="77777777" w:rsidR="002E4E5B" w:rsidRPr="002C4D6A" w:rsidRDefault="002E4E5B" w:rsidP="002E4E5B">
      <w:pPr>
        <w:spacing w:line="360" w:lineRule="auto"/>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61312" behindDoc="1" locked="0" layoutInCell="1" allowOverlap="1" wp14:anchorId="25A1C604" wp14:editId="4A364EEF">
            <wp:simplePos x="0" y="0"/>
            <wp:positionH relativeFrom="column">
              <wp:posOffset>-1905</wp:posOffset>
            </wp:positionH>
            <wp:positionV relativeFrom="paragraph">
              <wp:posOffset>52705</wp:posOffset>
            </wp:positionV>
            <wp:extent cx="5274310" cy="7219950"/>
            <wp:effectExtent l="0" t="0" r="2540" b="0"/>
            <wp:wrapTight wrapText="bothSides">
              <wp:wrapPolygon edited="0">
                <wp:start x="0" y="0"/>
                <wp:lineTo x="0" y="21543"/>
                <wp:lineTo x="21532" y="21543"/>
                <wp:lineTo x="21532" y="0"/>
                <wp:lineTo x="0" y="0"/>
              </wp:wrapPolygon>
            </wp:wrapTight>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幻灯片11.TIF"/>
                    <pic:cNvPicPr/>
                  </pic:nvPicPr>
                  <pic:blipFill rotWithShape="1">
                    <a:blip r:embed="rId6" cstate="print">
                      <a:extLst>
                        <a:ext uri="{28A0092B-C50C-407E-A947-70E740481C1C}">
                          <a14:useLocalDpi xmlns:a14="http://schemas.microsoft.com/office/drawing/2010/main" val="0"/>
                        </a:ext>
                      </a:extLst>
                    </a:blip>
                    <a:srcRect b="5233"/>
                    <a:stretch/>
                  </pic:blipFill>
                  <pic:spPr bwMode="auto">
                    <a:xfrm>
                      <a:off x="0" y="0"/>
                      <a:ext cx="5274310" cy="72199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ascii="Times New Roman" w:hAnsi="Times New Roman" w:cs="Times New Roman"/>
        </w:rPr>
        <w:t>Extended Data Fig.3 Changes of blood biochemical indexes in mice after combination treatment (n = 5). Data are presented as means ± SEM, and analyzed with one-way ANOVA test. *p &lt; 0.05, ***p &lt; 0.001, ****p &lt; 0.0001.</w:t>
      </w:r>
    </w:p>
    <w:p w14:paraId="497CAF97" w14:textId="77777777" w:rsidR="002E4E5B" w:rsidRPr="00724710" w:rsidRDefault="002E4E5B" w:rsidP="002E4E5B">
      <w:pPr>
        <w:spacing w:line="360" w:lineRule="auto"/>
        <w:rPr>
          <w:rFonts w:ascii="Times New Roman" w:hAnsi="Times New Roman" w:cs="Times New Roman"/>
        </w:rPr>
      </w:pPr>
    </w:p>
    <w:p w14:paraId="370E68AD" w14:textId="77777777" w:rsidR="00833D74" w:rsidRDefault="00833D74"/>
    <w:sectPr w:rsidR="00833D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YaHei UI Light">
    <w:panose1 w:val="020B0502040204020203"/>
    <w:charset w:val="86"/>
    <w:family w:val="swiss"/>
    <w:pitch w:val="variable"/>
    <w:sig w:usb0="80000287" w:usb1="2ACF0010" w:usb2="00000016" w:usb3="00000000" w:csb0="0004001F" w:csb1="00000000"/>
  </w:font>
  <w:font w:name="DengXian">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E5B"/>
    <w:rsid w:val="001942F0"/>
    <w:rsid w:val="002C0857"/>
    <w:rsid w:val="002E4E5B"/>
    <w:rsid w:val="003F01F8"/>
    <w:rsid w:val="00833D74"/>
    <w:rsid w:val="00884728"/>
    <w:rsid w:val="008E2845"/>
    <w:rsid w:val="00D00B5E"/>
    <w:rsid w:val="00F07CF1"/>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9548B"/>
  <w15:chartTrackingRefBased/>
  <w15:docId w15:val="{615E7AE2-B160-421E-AB0D-9DFE91D58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E5B"/>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4E5B"/>
    <w:pPr>
      <w:spacing w:after="0" w:line="240" w:lineRule="auto"/>
    </w:pPr>
    <w:rPr>
      <w:rFonts w:eastAsiaTheme="minorEastAsia"/>
      <w:kern w:val="2"/>
      <w:sz w:val="21"/>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425</Words>
  <Characters>2428</Characters>
  <Application>Microsoft Office Word</Application>
  <DocSecurity>0</DocSecurity>
  <Lines>20</Lines>
  <Paragraphs>5</Paragraphs>
  <ScaleCrop>false</ScaleCrop>
  <Company>Springer Nature</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2023-12-08T16:05:00Z</dcterms:created>
  <dcterms:modified xsi:type="dcterms:W3CDTF">2023-12-08T16:06:00Z</dcterms:modified>
</cp:coreProperties>
</file>