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jc w:val="center"/>
        <w:rPr>
          <w:rFonts w:ascii="Times New Roman" w:hAnsi="Times New Roman" w:eastAsia="Times New Roman" w:cs="Times New Roman"/>
          <w:snapToGrid w:val="0"/>
          <w:color w:val="000000"/>
          <w:spacing w:val="-1"/>
          <w:kern w:val="0"/>
          <w:sz w:val="34"/>
          <w:szCs w:val="34"/>
          <w:lang w:eastAsia="en-US"/>
          <w14:ligatures w14:val="none"/>
        </w:rPr>
      </w:pPr>
      <w:bookmarkStart w:id="0" w:name="_Hlk151747269"/>
      <w:r>
        <w:rPr>
          <w:rFonts w:ascii="Times New Roman" w:hAnsi="Times New Roman" w:eastAsia="Times New Roman" w:cs="Times New Roman"/>
          <w:snapToGrid w:val="0"/>
          <w:color w:val="000000"/>
          <w:spacing w:val="-1"/>
          <w:kern w:val="0"/>
          <w:sz w:val="34"/>
          <w:szCs w:val="34"/>
          <w:lang w:eastAsia="en-US"/>
          <w14:ligatures w14:val="none"/>
        </w:rPr>
        <w:t>Establishment of a real-time recombinase-aided isothermal  amplification (RT-RAA) assay for the rapid detection of bovine respiratory syncytial virus</w:t>
      </w:r>
    </w:p>
    <w:p>
      <w:pPr>
        <w:spacing w:before="240" w:after="240"/>
        <w:jc w:val="left"/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</w:pPr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G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uanxin Hou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vertAlign w:val="superscript"/>
          <w:lang w:eastAsia="en-US"/>
          <w14:ligatures w14:val="none"/>
        </w:rPr>
        <w:t>1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, Xinyi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 xml:space="preserve"> Sun</w:t>
      </w:r>
      <w:bookmarkStart w:id="1" w:name="_Hlk151625219"/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vertAlign w:val="superscript"/>
          <w:lang w:eastAsia="en-US"/>
          <w14:ligatures w14:val="none"/>
        </w:rPr>
        <w:t>1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 xml:space="preserve">, </w:t>
      </w:r>
      <w:bookmarkEnd w:id="1"/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R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ui An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vertAlign w:val="superscript"/>
          <w:lang w:eastAsia="en-US"/>
          <w14:ligatures w14:val="none"/>
        </w:rPr>
        <w:t>1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 xml:space="preserve">, 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Chunxiao Zhang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vertAlign w:val="superscript"/>
          <w:lang w:eastAsia="en-US"/>
          <w14:ligatures w14:val="none"/>
        </w:rPr>
        <w:t>1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 xml:space="preserve">, 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L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ili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 xml:space="preserve"> W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ang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vertAlign w:val="superscript"/>
          <w:lang w:eastAsia="en-US"/>
          <w14:ligatures w14:val="none"/>
        </w:rPr>
        <w:t>1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 xml:space="preserve">, 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Hong Li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vertAlign w:val="superscript"/>
          <w:lang w:eastAsia="en-US"/>
          <w14:ligatures w14:val="none"/>
        </w:rPr>
        <w:t>1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 xml:space="preserve"> 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 xml:space="preserve">, 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Siping Zhu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vertAlign w:val="superscript"/>
          <w:lang w:eastAsia="en-US"/>
          <w14:ligatures w14:val="none"/>
        </w:rPr>
        <w:t>1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, Quimei S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hi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vertAlign w:val="superscript"/>
          <w:lang w:eastAsia="en-US"/>
          <w14:ligatures w14:val="none"/>
        </w:rPr>
        <w:t>1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lang w:eastAsia="en-US"/>
          <w14:ligatures w14:val="none"/>
        </w:rPr>
        <w:t>, Zhiqiang Zhang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position w:val="1"/>
          <w:sz w:val="23"/>
          <w:szCs w:val="23"/>
          <w:vertAlign w:val="superscript"/>
          <w:lang w:eastAsia="en-US"/>
          <w14:ligatures w14:val="none"/>
        </w:rPr>
        <w:t>1*</w:t>
      </w:r>
    </w:p>
    <w:p>
      <w:pPr>
        <w:autoSpaceDE w:val="0"/>
        <w:autoSpaceDN w:val="0"/>
        <w:adjustRightInd w:val="0"/>
        <w:spacing w:after="312" w:afterLines="100"/>
        <w:rPr>
          <w:rFonts w:ascii="Times New Roman" w:hAnsi="Times New Roman" w:eastAsia="宋体" w:cs="Times New Roman"/>
          <w:snapToGrid w:val="0"/>
          <w:color w:val="000000"/>
          <w:spacing w:val="11"/>
          <w:kern w:val="0"/>
          <w:szCs w:val="21"/>
          <w14:ligatures w14:val="none"/>
        </w:rPr>
      </w:pP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szCs w:val="21"/>
          <w:lang w:eastAsia="en-US"/>
          <w14:ligatures w14:val="none"/>
        </w:rPr>
        <w:t xml:space="preserve">1 </w:t>
      </w:r>
      <w:bookmarkStart w:id="2" w:name="_Hlk151669272"/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szCs w:val="21"/>
          <w:lang w:eastAsia="en-US"/>
          <w14:ligatures w14:val="none"/>
        </w:rPr>
        <w:t xml:space="preserve">Hebei key laboratory of preventive veterinary medicine, Hebei Normal University of Science &amp;Technology, 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1"/>
          <w:kern w:val="0"/>
          <w:szCs w:val="21"/>
          <w:lang w:eastAsia="en-US"/>
          <w14:ligatures w14:val="none"/>
        </w:rPr>
        <w:t>Qinhuangdao</w:t>
      </w:r>
      <w:r>
        <w:rPr>
          <w:rFonts w:ascii="Times New Roman" w:hAnsi="Times New Roman" w:eastAsia="Times New Roman" w:cs="Times New Roman"/>
          <w:snapToGrid w:val="0"/>
          <w:color w:val="000000"/>
          <w:spacing w:val="11"/>
          <w:kern w:val="0"/>
          <w:szCs w:val="21"/>
          <w:lang w:eastAsia="en-US"/>
          <w14:ligatures w14:val="none"/>
        </w:rPr>
        <w:t>, Hebei, China</w:t>
      </w:r>
      <w:r>
        <w:rPr>
          <w:rFonts w:hint="eastAsia" w:ascii="Times New Roman" w:hAnsi="Times New Roman" w:eastAsia="宋体" w:cs="Times New Roman"/>
          <w:snapToGrid w:val="0"/>
          <w:color w:val="000000"/>
          <w:spacing w:val="11"/>
          <w:kern w:val="0"/>
          <w:szCs w:val="21"/>
          <w14:ligatures w14:val="none"/>
        </w:rPr>
        <w:t>.</w:t>
      </w:r>
    </w:p>
    <w:p>
      <w:pPr>
        <w:autoSpaceDE w:val="0"/>
        <w:autoSpaceDN w:val="0"/>
        <w:adjustRightInd w:val="0"/>
        <w:rPr>
          <w:rFonts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:lang w:eastAsia="en-US"/>
          <w14:ligatures w14:val="none"/>
        </w:rPr>
      </w:pPr>
      <w:r>
        <w:rPr>
          <w:rFonts w:hint="eastAsia"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:lang w:eastAsia="en-US"/>
          <w14:ligatures w14:val="none"/>
        </w:rPr>
        <w:t>*Corresponding author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14:ligatures w14:val="none"/>
        </w:rPr>
        <w:t>: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:lang w:eastAsia="en-US"/>
          <w14:ligatures w14:val="none"/>
        </w:rPr>
        <w:t xml:space="preserve"> E-mail: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14:ligatures w14:val="none"/>
        </w:rPr>
        <w:t xml:space="preserve"> </w:t>
      </w:r>
      <w:r>
        <w:fldChar w:fldCharType="begin"/>
      </w:r>
      <w:r>
        <w:instrText xml:space="preserve"> HYPERLINK "mailto:zhangzhiqiang87@hevttc.edu.cn" </w:instrText>
      </w:r>
      <w:r>
        <w:fldChar w:fldCharType="separate"/>
      </w:r>
      <w:r>
        <w:rPr>
          <w:rFonts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:lang w:eastAsia="en-US"/>
          <w14:ligatures w14:val="none"/>
        </w:rPr>
        <w:t>zhangzhiqiang87@hevttc.edu.cn</w:t>
      </w:r>
      <w:r>
        <w:rPr>
          <w:rFonts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:lang w:eastAsia="en-US"/>
          <w14:ligatures w14:val="none"/>
        </w:rPr>
        <w:fldChar w:fldCharType="end"/>
      </w:r>
    </w:p>
    <w:p>
      <w:pPr>
        <w:autoSpaceDE w:val="0"/>
        <w:autoSpaceDN w:val="0"/>
        <w:adjustRightInd w:val="0"/>
        <w:spacing w:line="266" w:lineRule="exact"/>
        <w:jc w:val="left"/>
        <w:rPr>
          <w:rFonts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14:ligatures w14:val="none"/>
        </w:rPr>
      </w:pPr>
      <w:r>
        <w:rPr>
          <w:rFonts w:hint="eastAsia"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:lang w:eastAsia="en-US"/>
          <w14:ligatures w14:val="none"/>
        </w:rPr>
        <w:t>Contributing author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14:ligatures w14:val="none"/>
        </w:rPr>
        <w:t xml:space="preserve">: </w:t>
      </w:r>
      <w:r>
        <w:fldChar w:fldCharType="begin"/>
      </w:r>
      <w:r>
        <w:instrText xml:space="preserve"> HYPERLINK "mailto:hgx3430858@163.com" </w:instrText>
      </w:r>
      <w:r>
        <w:fldChar w:fldCharType="separate"/>
      </w:r>
      <w:r>
        <w:rPr>
          <w:rStyle w:val="6"/>
          <w:rFonts w:hint="eastAsia"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14:ligatures w14:val="none"/>
        </w:rPr>
        <w:t>hgx3430858@163.co</w:t>
      </w:r>
      <w:bookmarkEnd w:id="2"/>
      <w:r>
        <w:rPr>
          <w:rStyle w:val="6"/>
          <w:rFonts w:hint="eastAsia"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14:ligatures w14:val="none"/>
        </w:rPr>
        <w:t>m</w:t>
      </w:r>
      <w:r>
        <w:rPr>
          <w:rStyle w:val="6"/>
          <w:rFonts w:hint="eastAsia" w:ascii="Times New Roman" w:hAnsi="Times New Roman" w:eastAsia="Times New Roman" w:cs="Times New Roman"/>
          <w:snapToGrid w:val="0"/>
          <w:color w:val="000000"/>
          <w:spacing w:val="9"/>
          <w:kern w:val="0"/>
          <w:position w:val="3"/>
          <w:szCs w:val="21"/>
          <w14:ligatures w14:val="none"/>
        </w:rPr>
        <w:fldChar w:fldCharType="end"/>
      </w:r>
    </w:p>
    <w:bookmarkEnd w:id="0"/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b/>
          <w:bCs/>
          <w:sz w:val="28"/>
          <w:szCs w:val="36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b/>
          <w:bCs/>
          <w:sz w:val="28"/>
          <w:szCs w:val="36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8"/>
          <w:szCs w:val="36"/>
          <w:lang w:eastAsia="zh-CN"/>
        </w:rPr>
        <w:t>supplementary material</w:t>
      </w:r>
    </w:p>
    <w:p>
      <w:pP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eastAsia" w:ascii="Times New Roman" w:hAnsi="Times New Roman" w:eastAsia="Times New Roman"/>
          <w:b/>
          <w:bCs/>
          <w:snapToGrid w:val="0"/>
          <w:color w:val="000000"/>
          <w:spacing w:val="17"/>
          <w:sz w:val="23"/>
          <w:szCs w:val="23"/>
          <w14:ligatures w14:val="none"/>
        </w:rPr>
        <w:t>Screening Primers</w:t>
      </w:r>
    </w:p>
    <w:p>
      <w:pPr>
        <w:ind w:firstLine="1680" w:firstLineChars="800"/>
        <w:rPr>
          <w:rFonts w:hint="default" w:ascii="Times New Roman" w:hAnsi="Times New Roman" w:cs="Times New Roman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1382395</wp:posOffset>
            </wp:positionH>
            <wp:positionV relativeFrom="paragraph">
              <wp:posOffset>140335</wp:posOffset>
            </wp:positionV>
            <wp:extent cx="2520950" cy="2476500"/>
            <wp:effectExtent l="0" t="0" r="6350" b="0"/>
            <wp:wrapTight wrapText="bothSides">
              <wp:wrapPolygon>
                <wp:start x="0" y="0"/>
                <wp:lineTo x="0" y="21489"/>
                <wp:lineTo x="21546" y="21489"/>
                <wp:lineTo x="21546" y="0"/>
                <wp:lineTo x="0" y="0"/>
              </wp:wrapPolygon>
            </wp:wrapTight>
            <wp:docPr id="1" name="图片 1" descr="1701953867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019538675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095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A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  <w: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>Figure 1</w:t>
      </w:r>
      <w:r>
        <w:rPr>
          <w:rFonts w:hint="eastAsia" w:ascii="Times New Roman" w:hAnsi="Times New Roman" w:eastAsia="宋体" w:cs="Times New Roman"/>
          <w:b/>
          <w:bCs/>
          <w:snapToGrid w:val="0"/>
          <w:color w:val="000000"/>
          <w:spacing w:val="10"/>
          <w:kern w:val="0"/>
          <w:sz w:val="19"/>
          <w:szCs w:val="19"/>
          <w:lang w:val="en-US" w:eastAsia="zh-CN"/>
          <w14:ligatures w14:val="none"/>
        </w:rPr>
        <w:t>(A)</w:t>
      </w:r>
      <w: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>: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 xml:space="preserve"> Screening of BRSV RT-RAA primer pairs targeting </w:t>
      </w:r>
      <w:r>
        <w:rPr>
          <w:rFonts w:hint="eastAsia" w:ascii="Times New Roman" w:hAnsi="Times New Roman" w:eastAsia="Times New Roman" w:cs="Times New Roman"/>
          <w:i/>
          <w:i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>F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 xml:space="preserve"> gene (numbers 1-3 correspond to BRSVF1/R1, BRSVF2/R2, and BRSVF3/R3). The assay was incubated at 39°C for 30 minutes. reaction products were detected by 1% (W/V) agarose gel electrophoresis (AGE).</w:t>
      </w: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210" w:firstLineChars="100"/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452120</wp:posOffset>
            </wp:positionH>
            <wp:positionV relativeFrom="paragraph">
              <wp:posOffset>351155</wp:posOffset>
            </wp:positionV>
            <wp:extent cx="4349750" cy="1873250"/>
            <wp:effectExtent l="0" t="0" r="6350" b="6350"/>
            <wp:wrapTight wrapText="bothSides">
              <wp:wrapPolygon>
                <wp:start x="0" y="0"/>
                <wp:lineTo x="0" y="21527"/>
                <wp:lineTo x="21568" y="21527"/>
                <wp:lineTo x="21568" y="0"/>
                <wp:lineTo x="0" y="0"/>
              </wp:wrapPolygon>
            </wp:wrapTight>
            <wp:docPr id="5" name="图片 5" descr="1701954028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019540285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49750" cy="1873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B</w:t>
      </w: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  <w: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>Figure 1</w:t>
      </w:r>
      <w:r>
        <w:rPr>
          <w:rFonts w:hint="eastAsia" w:ascii="Times New Roman" w:hAnsi="Times New Roman" w:eastAsia="宋体" w:cs="Times New Roman"/>
          <w:b/>
          <w:bCs/>
          <w:snapToGrid w:val="0"/>
          <w:color w:val="000000"/>
          <w:spacing w:val="10"/>
          <w:kern w:val="0"/>
          <w:sz w:val="19"/>
          <w:szCs w:val="19"/>
          <w:lang w:val="en-US" w:eastAsia="zh-CN"/>
          <w14:ligatures w14:val="none"/>
        </w:rPr>
        <w:t>(B)</w:t>
      </w:r>
      <w: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>: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 xml:space="preserve"> Results of the initial screening of BRSV basic RT-RAA primer pairs. The primer pairs were selected  BRSV F1/R1 and the templates were added (numbers 1-5 correspond to BRSV, BVDV, BPIV, IBRV, BCoV). The assay was incubated at 39°C for 30 minutes. reaction products were detected by 1% (W/V) agarose gel electrophoresis (AGE).</w:t>
      </w:r>
    </w:p>
    <w:p>
      <w:pPr>
        <w:rPr>
          <w:rFonts w:hint="eastAsia" w:ascii="Times New Roman" w:hAnsi="Times New Roman" w:eastAsia="Times New Roman"/>
          <w:b/>
          <w:bCs/>
          <w:snapToGrid w:val="0"/>
          <w:color w:val="000000"/>
          <w:spacing w:val="17"/>
          <w:sz w:val="23"/>
          <w:szCs w:val="23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/>
          <w:b/>
          <w:bCs/>
          <w:snapToGrid w:val="0"/>
          <w:color w:val="000000"/>
          <w:spacing w:val="17"/>
          <w:sz w:val="23"/>
          <w:szCs w:val="23"/>
          <w:lang w:eastAsia="en-US"/>
          <w14:ligatures w14:val="none"/>
        </w:rPr>
      </w:pPr>
      <w:r>
        <w:rPr>
          <w:rFonts w:hint="eastAsia" w:ascii="Times New Roman" w:hAnsi="Times New Roman" w:eastAsia="Times New Roman"/>
          <w:b/>
          <w:bCs/>
          <w:snapToGrid w:val="0"/>
          <w:color w:val="000000"/>
          <w:spacing w:val="17"/>
          <w:sz w:val="23"/>
          <w:szCs w:val="23"/>
          <w14:ligatures w14:val="none"/>
        </w:rPr>
        <w:t>Optimization of Reaction System</w:t>
      </w:r>
    </w:p>
    <w:p>
      <w:pPr>
        <w:ind w:firstLine="1890" w:firstLineChars="900"/>
        <w:rPr>
          <w:rFonts w:hint="eastAsia" w:ascii="Times New Roman" w:hAnsi="Times New Roman" w:cs="Times New Roman"/>
          <w:b/>
          <w:bCs/>
          <w:sz w:val="28"/>
          <w:szCs w:val="36"/>
          <w:lang w:val="en-US" w:eastAsia="en-US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1706880</wp:posOffset>
            </wp:positionH>
            <wp:positionV relativeFrom="paragraph">
              <wp:posOffset>258445</wp:posOffset>
            </wp:positionV>
            <wp:extent cx="2286000" cy="2400300"/>
            <wp:effectExtent l="0" t="0" r="0" b="0"/>
            <wp:wrapTight wrapText="bothSides">
              <wp:wrapPolygon>
                <wp:start x="0" y="0"/>
                <wp:lineTo x="0" y="21486"/>
                <wp:lineTo x="21480" y="21486"/>
                <wp:lineTo x="21480" y="0"/>
                <wp:lineTo x="0" y="0"/>
              </wp:wrapPolygon>
            </wp:wrapTight>
            <wp:docPr id="2" name="图片 2" descr="1701953923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0195392369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C</w:t>
      </w: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  <w: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 xml:space="preserve"> </w:t>
      </w: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  <w: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>Figure 1</w:t>
      </w:r>
      <w:r>
        <w:rPr>
          <w:rFonts w:hint="eastAsia" w:ascii="Times New Roman" w:hAnsi="Times New Roman" w:eastAsia="宋体" w:cs="Times New Roman"/>
          <w:b/>
          <w:bCs/>
          <w:snapToGrid w:val="0"/>
          <w:color w:val="000000"/>
          <w:spacing w:val="10"/>
          <w:kern w:val="0"/>
          <w:sz w:val="19"/>
          <w:szCs w:val="19"/>
          <w:lang w:val="en-US" w:eastAsia="zh-CN"/>
          <w14:ligatures w14:val="none"/>
        </w:rPr>
        <w:t>(C)</w:t>
      </w:r>
      <w: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>: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 xml:space="preserve"> Results of optimal temperature screening for BRSV basal RT-RAA. Primer pair BRSV F1/R1 was selected for basal-type amplification using BRSV nucleic acid as the template with an incubation time of 30 minutes and different incubation temperatures(numbers 1-4 correspond to 37℃, 38℃, 39℃, and 40℃). Reaction products were detected by 1% (W/V) agarose gel electrophoresis (AGE).</w:t>
      </w: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1124" w:firstLineChars="4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1506855</wp:posOffset>
            </wp:positionH>
            <wp:positionV relativeFrom="paragraph">
              <wp:posOffset>230505</wp:posOffset>
            </wp:positionV>
            <wp:extent cx="2197100" cy="2406650"/>
            <wp:effectExtent l="0" t="0" r="0" b="6350"/>
            <wp:wrapTight wrapText="bothSides">
              <wp:wrapPolygon>
                <wp:start x="0" y="0"/>
                <wp:lineTo x="0" y="21543"/>
                <wp:lineTo x="21475" y="21543"/>
                <wp:lineTo x="21475" y="0"/>
                <wp:lineTo x="0" y="0"/>
              </wp:wrapPolygon>
            </wp:wrapTight>
            <wp:docPr id="3" name="图片 3" descr="1701953960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0195396008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2406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 xml:space="preserve">    D</w:t>
      </w: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</w:p>
    <w:p>
      <w:pPr>
        <w:ind w:firstLine="630" w:firstLineChars="300"/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</w:pPr>
      <w: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 xml:space="preserve"> 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>Figure 1</w:t>
      </w:r>
      <w:r>
        <w:rPr>
          <w:rFonts w:hint="eastAsia" w:ascii="Times New Roman" w:hAnsi="Times New Roman" w:eastAsia="宋体" w:cs="Times New Roman"/>
          <w:b/>
          <w:bCs/>
          <w:snapToGrid w:val="0"/>
          <w:color w:val="000000"/>
          <w:spacing w:val="10"/>
          <w:kern w:val="0"/>
          <w:sz w:val="19"/>
          <w:szCs w:val="19"/>
          <w:lang w:val="en-US" w:eastAsia="zh-CN"/>
          <w14:ligatures w14:val="none"/>
        </w:rPr>
        <w:t>(D)</w:t>
      </w:r>
      <w: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>: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 xml:space="preserve"> Results of optimal time screening for BRSV basal RT-RAA. Primer pair BRSV F1/R1 was selected for basal type amplification using BRSV nucleic acid as a template, The incubation temperature was 39℃, and the incubation time was different(numbers 1-4 correspond to 10min, 20min, 30min, and 40min). Reaction products were detected by 1% (W/V) agarose gel electrophoresis (AGE). </w:t>
      </w:r>
    </w:p>
    <w:p>
      <w:pPr>
        <w:pStyle w:val="2"/>
        <w:spacing w:before="152" w:after="0" w:line="291" w:lineRule="auto"/>
        <w:ind w:right="255"/>
        <w:rPr>
          <w:rFonts w:ascii="Times New Roman" w:hAnsi="Times New Roman" w:eastAsia="Times New Roman"/>
          <w:snapToGrid w:val="0"/>
          <w:color w:val="000000"/>
          <w:spacing w:val="17"/>
          <w:sz w:val="23"/>
          <w:szCs w:val="23"/>
          <w14:ligatures w14:val="none"/>
        </w:rPr>
      </w:pPr>
      <w:bookmarkStart w:id="3" w:name="_GoBack"/>
      <w:r>
        <w:rPr>
          <w:rFonts w:hint="eastAsia" w:ascii="Times New Roman" w:hAnsi="Times New Roman" w:eastAsia="Times New Roman" w:cstheme="minorBidi"/>
          <w:b/>
          <w:bCs/>
          <w:snapToGrid w:val="0"/>
          <w:color w:val="000000"/>
          <w:spacing w:val="17"/>
          <w:kern w:val="2"/>
          <w:sz w:val="23"/>
          <w:szCs w:val="23"/>
          <w:lang w:val="en-US" w:eastAsia="en-US" w:bidi="ar-SA"/>
          <w14:ligatures w14:val="none"/>
        </w:rPr>
        <w:t xml:space="preserve"> Sensitivity Test</w:t>
      </w:r>
      <w:bookmarkEnd w:id="3"/>
      <w:r>
        <w:rPr>
          <w:rFonts w:hint="eastAsia" w:ascii="Times New Roman" w:hAnsi="Times New Roman" w:eastAsia="Times New Roman"/>
          <w:snapToGrid w:val="0"/>
          <w:color w:val="000000"/>
          <w:spacing w:val="17"/>
          <w:sz w:val="23"/>
          <w:szCs w:val="23"/>
          <w14:ligatures w14:val="none"/>
        </w:rPr>
        <w:t xml:space="preserve"> 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848995</wp:posOffset>
            </wp:positionH>
            <wp:positionV relativeFrom="paragraph">
              <wp:posOffset>184785</wp:posOffset>
            </wp:positionV>
            <wp:extent cx="3454400" cy="1816100"/>
            <wp:effectExtent l="0" t="0" r="0" b="0"/>
            <wp:wrapTight wrapText="bothSides">
              <wp:wrapPolygon>
                <wp:start x="0" y="0"/>
                <wp:lineTo x="0" y="21449"/>
                <wp:lineTo x="21521" y="21449"/>
                <wp:lineTo x="21521" y="0"/>
                <wp:lineTo x="0" y="0"/>
              </wp:wrapPolygon>
            </wp:wrapTight>
            <wp:docPr id="6" name="图片 6" descr="1701954754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0195475436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zh-CN"/>
          <w14:ligatures w14:val="none"/>
        </w:rPr>
      </w:pPr>
      <w: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spacing w:val="10"/>
          <w:kern w:val="0"/>
          <w:sz w:val="19"/>
          <w:szCs w:val="19"/>
          <w:lang w:eastAsia="en-US"/>
          <w14:ligatures w14:val="none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snapToGrid w:val="0"/>
          <w:color w:val="000000"/>
          <w:spacing w:val="10"/>
          <w:kern w:val="0"/>
          <w:sz w:val="19"/>
          <w:szCs w:val="19"/>
          <w:lang w:val="en-US" w:eastAsia="zh-CN"/>
          <w14:ligatures w14:val="none"/>
        </w:rPr>
        <w:t>2</w:t>
      </w:r>
      <w:r>
        <w:rPr>
          <w:rFonts w:hint="eastAsia" w:ascii="Times New Roman" w:hAnsi="Times New Roman" w:eastAsia="宋体" w:cs="Times New Roman"/>
          <w:b/>
          <w:bCs/>
          <w:snapToGrid w:val="0"/>
          <w:color w:val="000000"/>
          <w:spacing w:val="10"/>
          <w:kern w:val="0"/>
          <w:sz w:val="19"/>
          <w:szCs w:val="19"/>
          <w:lang w:val="en-US" w:eastAsia="zh-CN"/>
          <w14:ligatures w14:val="none"/>
        </w:rPr>
        <w:t>(D):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10"/>
          <w:kern w:val="0"/>
          <w:sz w:val="19"/>
          <w:szCs w:val="19"/>
          <w:lang w:eastAsia="zh-CN"/>
          <w14:ligatures w14:val="none"/>
        </w:rPr>
        <w:t xml:space="preserve"> RNA standards ranging from 108 to 100 copies/μL were detected using conventional PCR.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yZWE5YThlOTlkNjAzOTYxZDcyNzY0ZGE0NWM3MDIifQ=="/>
  </w:docVars>
  <w:rsids>
    <w:rsidRoot w:val="00000000"/>
    <w:rsid w:val="06724999"/>
    <w:rsid w:val="14497F46"/>
    <w:rsid w:val="159863B1"/>
    <w:rsid w:val="183A72AB"/>
    <w:rsid w:val="252F33C7"/>
    <w:rsid w:val="3A3C4CAD"/>
    <w:rsid w:val="54882B71"/>
    <w:rsid w:val="5FD40C2B"/>
    <w:rsid w:val="710B44B6"/>
    <w:rsid w:val="7DCE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7"/>
    <w:semiHidden/>
    <w:unhideWhenUsed/>
    <w:qFormat/>
    <w:uiPriority w:val="0"/>
    <w:pPr>
      <w:keepNext/>
      <w:keepLines/>
      <w:spacing w:before="260" w:after="260" w:line="240" w:lineRule="auto"/>
      <w:jc w:val="left"/>
      <w:outlineLvl w:val="1"/>
    </w:pPr>
    <w:rPr>
      <w:rFonts w:ascii="Cambria" w:hAnsi="Cambria" w:eastAsia="黑体" w:cs="Times New Roman"/>
      <w:bCs/>
      <w:kern w:val="0"/>
      <w:sz w:val="28"/>
      <w:szCs w:val="32"/>
    </w:rPr>
  </w:style>
  <w:style w:type="paragraph" w:styleId="3">
    <w:name w:val="heading 3"/>
    <w:basedOn w:val="1"/>
    <w:next w:val="1"/>
    <w:link w:val="8"/>
    <w:semiHidden/>
    <w:unhideWhenUsed/>
    <w:qFormat/>
    <w:uiPriority w:val="0"/>
    <w:pPr>
      <w:widowControl/>
      <w:jc w:val="left"/>
      <w:outlineLvl w:val="2"/>
    </w:pPr>
    <w:rPr>
      <w:rFonts w:ascii="宋体" w:hAnsi="宋体" w:eastAsia="黑体" w:cs="Times New Roman"/>
      <w:bCs/>
      <w:kern w:val="0"/>
      <w:sz w:val="24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标题 2 Char"/>
    <w:link w:val="2"/>
    <w:uiPriority w:val="0"/>
    <w:rPr>
      <w:rFonts w:ascii="Cambria" w:hAnsi="Cambria" w:eastAsia="黑体" w:cs="Times New Roman"/>
      <w:bCs/>
      <w:sz w:val="28"/>
      <w:szCs w:val="32"/>
    </w:rPr>
  </w:style>
  <w:style w:type="character" w:customStyle="1" w:styleId="8">
    <w:name w:val="标题 3 Char"/>
    <w:link w:val="3"/>
    <w:uiPriority w:val="0"/>
    <w:rPr>
      <w:rFonts w:ascii="宋体" w:hAnsi="宋体" w:eastAsia="黑体" w:cs="Times New Roman"/>
      <w:bCs/>
      <w:kern w:val="0"/>
      <w:sz w:val="24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2021-05-18T04:33:00Z</dcterms:created>
  <dc:creator>DELL</dc:creator>
  <cp:lastModifiedBy>三妮</cp:lastModifiedBy>
  <dcterms:modified xsi:type="dcterms:W3CDTF">2023-12-07T13:25:14Z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85B9FFD493B240F79971B9C4182DD465_13</vt:lpwstr>
  </property>
</Properties>
</file>