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AFE7E2" w14:textId="77777777" w:rsidR="00D941D7" w:rsidRPr="00546A42" w:rsidRDefault="00D941D7" w:rsidP="00D941D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6A4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1. Kinetic parameters of ureohydrolases</w:t>
      </w:r>
    </w:p>
    <w:p w14:paraId="4C5FB7EC" w14:textId="77777777" w:rsidR="00D941D7" w:rsidRPr="00546A42" w:rsidRDefault="00D941D7" w:rsidP="00D941D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1FA504" w14:textId="77777777" w:rsidR="00D941D7" w:rsidRPr="00546A42" w:rsidRDefault="00D941D7" w:rsidP="00D941D7">
      <w:pPr>
        <w:pBdr>
          <w:top w:val="single" w:sz="4" w:space="1" w:color="auto"/>
        </w:pBdr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</w:pP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>Enzyme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Substrate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</w:t>
      </w:r>
      <w:r w:rsidRPr="00546A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K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 xml:space="preserve">m                   </w:t>
      </w:r>
      <w:r w:rsidRPr="00546A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V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max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   </w:t>
      </w:r>
      <w:r w:rsidRPr="00546A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k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cat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ab/>
        <w:t xml:space="preserve">  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ab/>
        <w:t xml:space="preserve"> </w:t>
      </w:r>
      <w:r w:rsidRPr="00546A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k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cat/</w:t>
      </w:r>
      <w:r w:rsidRPr="00546A42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K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m</w:t>
      </w:r>
    </w:p>
    <w:p w14:paraId="4C0A3A7B" w14:textId="77777777" w:rsidR="00D941D7" w:rsidRPr="00546A42" w:rsidRDefault="00D941D7" w:rsidP="00D941D7">
      <w:pPr>
        <w:pBdr>
          <w:bottom w:val="single" w:sz="4" w:space="1" w:color="auto"/>
        </w:pBd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ab/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ab/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ab/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(mM)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(µmol/min/mg)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   (s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   (M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 w:rsidRPr="00546A42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･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-1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14:paraId="3F726B15" w14:textId="77777777" w:rsidR="00D941D7" w:rsidRPr="00546A42" w:rsidRDefault="00D941D7" w:rsidP="00D941D7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>TtSpeB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ap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Caldomycin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3.84±0.84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  2920±420       1580±230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 419000±32000</w:t>
      </w:r>
    </w:p>
    <w:p w14:paraId="2382DBC6" w14:textId="77777777" w:rsidR="00D941D7" w:rsidRPr="00546A42" w:rsidRDefault="00D941D7" w:rsidP="00D941D7">
      <w:pPr>
        <w:pBdr>
          <w:bottom w:val="single" w:sz="4" w:space="1" w:color="auto"/>
        </w:pBd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>TtARG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Caldomycin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>9.00±3.00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  0.0105±0.019</w:t>
      </w:r>
      <w:r w:rsidRPr="00546A42">
        <w:rPr>
          <w:rFonts w:ascii="Times New Roman" w:hAnsi="Times New Roman" w:cs="Times New Roman"/>
          <w:color w:val="000000" w:themeColor="text1"/>
          <w:sz w:val="20"/>
          <w:szCs w:val="20"/>
        </w:rPr>
        <w:tab/>
        <w:t xml:space="preserve">   0.0055±0.0010         0.64±0.10</w:t>
      </w:r>
    </w:p>
    <w:p w14:paraId="6E35F7EB" w14:textId="77777777" w:rsidR="00D941D7" w:rsidRPr="00546A42" w:rsidRDefault="00D941D7" w:rsidP="00D941D7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FE6332" w14:textId="77777777" w:rsidR="00833D74" w:rsidRDefault="00833D74"/>
    <w:sectPr w:rsidR="00833D74" w:rsidSect="000D78CC">
      <w:footerReference w:type="default" r:id="rId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03866607"/>
      <w:docPartObj>
        <w:docPartGallery w:val="Page Numbers (Bottom of Page)"/>
        <w:docPartUnique/>
      </w:docPartObj>
    </w:sdtPr>
    <w:sdtEndPr/>
    <w:sdtContent>
      <w:p w14:paraId="2774ED08" w14:textId="77777777" w:rsidR="00D73932" w:rsidRDefault="00D941D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B6D78">
          <w:rPr>
            <w:noProof/>
            <w:lang w:val="ja-JP"/>
          </w:rPr>
          <w:t>12</w:t>
        </w:r>
        <w:r>
          <w:fldChar w:fldCharType="end"/>
        </w:r>
      </w:p>
    </w:sdtContent>
  </w:sdt>
  <w:p w14:paraId="4BB60CB8" w14:textId="77777777" w:rsidR="00D73932" w:rsidRDefault="00D941D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1D7"/>
    <w:rsid w:val="001942F0"/>
    <w:rsid w:val="002C0857"/>
    <w:rsid w:val="003F01F8"/>
    <w:rsid w:val="00833D74"/>
    <w:rsid w:val="00884728"/>
    <w:rsid w:val="008E2845"/>
    <w:rsid w:val="00D00B5E"/>
    <w:rsid w:val="00D941D7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8B43D"/>
  <w15:chartTrackingRefBased/>
  <w15:docId w15:val="{4268298A-D253-45D7-9351-671D1A89C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1D7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941D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941D7"/>
    <w:rPr>
      <w:rFonts w:eastAsiaTheme="minorEastAsia"/>
      <w:kern w:val="2"/>
      <w:sz w:val="21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>Springer Nature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2023-12-08T17:36:00Z</dcterms:created>
  <dcterms:modified xsi:type="dcterms:W3CDTF">2023-12-08T17:36:00Z</dcterms:modified>
</cp:coreProperties>
</file>