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337AB7" w14:textId="77777777" w:rsidR="006B455A" w:rsidRPr="0023465D" w:rsidRDefault="006B455A" w:rsidP="006B455A">
      <w:pPr>
        <w:spacing w:line="276" w:lineRule="auto"/>
        <w:jc w:val="center"/>
        <w:rPr>
          <w:rFonts w:ascii="Times New Roman" w:hAnsi="Times New Roman" w:cs="Times New Roman"/>
          <w:b/>
          <w:bCs/>
          <w:szCs w:val="24"/>
        </w:rPr>
      </w:pPr>
      <w:r w:rsidRPr="006177C2">
        <w:rPr>
          <w:b/>
          <w:bCs/>
        </w:rPr>
        <w:t>Computed Entropy Spectra for Grain Boundary Segregation</w:t>
      </w:r>
      <w:r w:rsidRPr="007301C0" w:rsidDel="006B439E">
        <w:rPr>
          <w:rFonts w:ascii="Times New Roman" w:hAnsi="Times New Roman" w:cs="Times New Roman"/>
          <w:b/>
          <w:bCs/>
          <w:szCs w:val="24"/>
        </w:rPr>
        <w:t xml:space="preserve"> </w:t>
      </w:r>
      <w:r>
        <w:rPr>
          <w:rFonts w:ascii="Times New Roman" w:hAnsi="Times New Roman" w:cs="Times New Roman"/>
          <w:b/>
          <w:bCs/>
          <w:szCs w:val="24"/>
        </w:rPr>
        <w:t>in Polycry</w:t>
      </w:r>
      <w:r w:rsidRPr="0023465D">
        <w:rPr>
          <w:rFonts w:ascii="Times New Roman" w:hAnsi="Times New Roman" w:cs="Times New Roman"/>
          <w:b/>
          <w:bCs/>
          <w:szCs w:val="24"/>
        </w:rPr>
        <w:t>stals</w:t>
      </w:r>
    </w:p>
    <w:p w14:paraId="3605388F" w14:textId="77777777" w:rsidR="003D6E69" w:rsidRPr="00ED6690" w:rsidRDefault="003D6E69" w:rsidP="003D6E69">
      <w:pPr>
        <w:spacing w:line="276" w:lineRule="auto"/>
        <w:jc w:val="center"/>
        <w:rPr>
          <w:rFonts w:ascii="Times New Roman" w:hAnsi="Times New Roman" w:cs="Times New Roman"/>
          <w:b/>
          <w:bCs/>
          <w:szCs w:val="24"/>
          <w:vertAlign w:val="superscript"/>
        </w:rPr>
      </w:pPr>
      <w:r w:rsidRPr="00ED6690">
        <w:rPr>
          <w:rFonts w:ascii="Times New Roman" w:hAnsi="Times New Roman" w:cs="Times New Roman"/>
          <w:b/>
          <w:bCs/>
          <w:szCs w:val="24"/>
        </w:rPr>
        <w:t>Nutth Tuchinda</w:t>
      </w:r>
      <w:r w:rsidRPr="00ED6690">
        <w:rPr>
          <w:rFonts w:ascii="Times New Roman" w:hAnsi="Times New Roman" w:cs="Times New Roman"/>
          <w:b/>
          <w:bCs/>
          <w:szCs w:val="24"/>
          <w:vertAlign w:val="superscript"/>
        </w:rPr>
        <w:t>1</w:t>
      </w:r>
      <w:r w:rsidRPr="00ED6690">
        <w:rPr>
          <w:rFonts w:ascii="Times New Roman" w:hAnsi="Times New Roman" w:cs="Times New Roman"/>
          <w:b/>
          <w:bCs/>
          <w:szCs w:val="24"/>
        </w:rPr>
        <w:t>, Christopher A. Schuh</w:t>
      </w:r>
      <w:r w:rsidRPr="00ED6690">
        <w:rPr>
          <w:rFonts w:ascii="Times New Roman" w:hAnsi="Times New Roman" w:cs="Times New Roman"/>
          <w:b/>
          <w:bCs/>
          <w:szCs w:val="24"/>
          <w:vertAlign w:val="superscript"/>
        </w:rPr>
        <w:t>1*</w:t>
      </w:r>
    </w:p>
    <w:p w14:paraId="01579767" w14:textId="77777777" w:rsidR="003D6E69" w:rsidRPr="00ED6690" w:rsidRDefault="003D6E69" w:rsidP="003D6E69">
      <w:pPr>
        <w:spacing w:line="276" w:lineRule="auto"/>
        <w:jc w:val="center"/>
        <w:rPr>
          <w:rFonts w:ascii="Times New Roman" w:hAnsi="Times New Roman" w:cs="Times New Roman"/>
          <w:b/>
          <w:bCs/>
          <w:szCs w:val="24"/>
        </w:rPr>
      </w:pPr>
      <w:r w:rsidRPr="00ED6690">
        <w:rPr>
          <w:rFonts w:ascii="Times New Roman" w:hAnsi="Times New Roman" w:cs="Times New Roman"/>
          <w:b/>
          <w:bCs/>
          <w:szCs w:val="24"/>
          <w:vertAlign w:val="superscript"/>
        </w:rPr>
        <w:t>1</w:t>
      </w:r>
      <w:r w:rsidRPr="00ED6690">
        <w:rPr>
          <w:rFonts w:ascii="Times New Roman" w:hAnsi="Times New Roman" w:cs="Times New Roman"/>
          <w:b/>
          <w:bCs/>
          <w:szCs w:val="24"/>
        </w:rPr>
        <w:t>Department of Materials Science and Engineering, Massachusetts Institute of Technology, 77 Massachusetts Avenue, Cambridge, MA, 02139, USA</w:t>
      </w:r>
    </w:p>
    <w:p w14:paraId="37392694" w14:textId="5E3D98F1" w:rsidR="00680E45" w:rsidRPr="00ED6690" w:rsidRDefault="003D6E69" w:rsidP="00380704">
      <w:pPr>
        <w:jc w:val="center"/>
        <w:rPr>
          <w:rFonts w:ascii="Times New Roman" w:hAnsi="Times New Roman" w:cs="Times New Roman"/>
          <w:b/>
          <w:bCs/>
          <w:szCs w:val="24"/>
        </w:rPr>
      </w:pPr>
      <w:r w:rsidRPr="00ED6690">
        <w:rPr>
          <w:rFonts w:ascii="Times New Roman" w:hAnsi="Times New Roman" w:cs="Times New Roman"/>
          <w:b/>
          <w:bCs/>
          <w:szCs w:val="24"/>
        </w:rPr>
        <w:t>Supplementary Material</w:t>
      </w:r>
    </w:p>
    <w:p w14:paraId="0818B506" w14:textId="332A3D5F" w:rsidR="008F1BAB" w:rsidRPr="00ED6690" w:rsidRDefault="000E2A89" w:rsidP="008F1BAB">
      <w:pPr>
        <w:pStyle w:val="ListParagraph"/>
        <w:numPr>
          <w:ilvl w:val="0"/>
          <w:numId w:val="1"/>
        </w:numPr>
        <w:rPr>
          <w:rFonts w:ascii="Times New Roman" w:hAnsi="Times New Roman" w:cs="Times New Roman"/>
          <w:b/>
          <w:bCs/>
          <w:szCs w:val="24"/>
        </w:rPr>
      </w:pPr>
      <w:r>
        <w:rPr>
          <w:rFonts w:ascii="Times New Roman" w:hAnsi="Times New Roman" w:cs="Times New Roman"/>
          <w:b/>
          <w:bCs/>
          <w:szCs w:val="24"/>
        </w:rPr>
        <w:t>Method</w:t>
      </w:r>
    </w:p>
    <w:p w14:paraId="51ADCC85" w14:textId="55D9CBA2" w:rsidR="00BB7A9C" w:rsidRDefault="00CA1BE4" w:rsidP="002276EF">
      <w:pPr>
        <w:ind w:firstLine="360"/>
        <w:jc w:val="both"/>
        <w:rPr>
          <w:rFonts w:ascii="Times New Roman" w:eastAsiaTheme="minorEastAsia" w:hAnsi="Times New Roman" w:cs="Times New Roman"/>
          <w:szCs w:val="24"/>
        </w:rPr>
      </w:pPr>
      <w:r w:rsidRPr="00ED6690">
        <w:rPr>
          <w:rFonts w:ascii="Times New Roman" w:eastAsiaTheme="minorEastAsia" w:hAnsi="Times New Roman" w:cs="Times New Roman"/>
          <w:szCs w:val="24"/>
        </w:rPr>
        <w:t>We follow our previous work for free energy estimations</w:t>
      </w:r>
      <w:r w:rsidR="00C87BD7">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{"citationID":"STVTmFFl","properties":{"formattedCitation":"\\super 1\\nosupersub{}","plainCitation":"1","noteIndex":0},"citationItems":[{"id":1167,"uris":["http://zotero.org/users/5159096/items/ZLCFBZ4N"],"itemData":{"id":1167,"type":"article-journal","abstract":"The vibrational contributions to the energetics of grain boundary segregation are calculated for binary Ni polycrystals with solutes of Pd, Pt, Ag, Au and Cu. The computational challenge of the problem is to assess each different grain boundary site and produce full spectra of both site energies and entropies, which is addressed through a multiscale approach in which a full harmonic calculation is completed only in the vicinity of the solute atom, and a buffer region based on a local harmonic calculation effects connectivity to the bulk polycrystal. The resulting segregation free energy spectra illustrate the artificial nature of segregation temperature dependencies when the vibrational entropy is not considered, and highlight the importance of including the vibrational entropy spectrum for rigorous calculations. For a 5% solute loading level, for example, the magnitude of the artificial temperature dependence calculated ranges from 31 to 43% of the total effective segregation entropy for the various systems explored. Finally, a strong linear correlation between site segregation energy (which is not much affected by vibrational effects within the harmonic approximation) and vibrational entropy is observed in polycrystals, in agreement with prior works of coincident site lattice boundaries; this correlation promises sig­ nificant simplification of segregation calculations in polycrystals generally.","container-title":"Acta Materialia","DOI":"10.1016/j.actamat.2022.118630","ISSN":"13596454","journalAbbreviation":"Acta Materialia","language":"en","page":"118630","source":"DOI.org (Crossref)","title":"The vibrational entropy spectra of grain boundary segregation in polycrystals","volume":"245","author":[{"family":"Tuchinda","given":"Nutth"},{"family":"Schuh","given":"Christopher A."}],"issued":{"date-parts":[["2023",2]]}}}],"schema":"https://github.com/citation-style-language/schema/raw/master/csl-citation.json"} </w:instrText>
      </w:r>
      <w:r w:rsidR="00C87BD7">
        <w:rPr>
          <w:rFonts w:ascii="Times New Roman" w:eastAsiaTheme="minorEastAsia" w:hAnsi="Times New Roman" w:cs="Times New Roman"/>
          <w:szCs w:val="24"/>
        </w:rPr>
        <w:fldChar w:fldCharType="separate"/>
      </w:r>
      <w:r w:rsidR="00C87BD7" w:rsidRPr="00C87BD7">
        <w:rPr>
          <w:rFonts w:ascii="Times New Roman" w:hAnsi="Times New Roman" w:cs="Times New Roman"/>
          <w:szCs w:val="24"/>
          <w:vertAlign w:val="superscript"/>
        </w:rPr>
        <w:t>1</w:t>
      </w:r>
      <w:r w:rsidR="00C87BD7">
        <w:rPr>
          <w:rFonts w:ascii="Times New Roman" w:eastAsiaTheme="minorEastAsia" w:hAnsi="Times New Roman" w:cs="Times New Roman"/>
          <w:szCs w:val="24"/>
        </w:rPr>
        <w:fldChar w:fldCharType="end"/>
      </w:r>
      <w:r w:rsidRPr="00ED6690">
        <w:rPr>
          <w:rFonts w:ascii="Times New Roman" w:eastAsiaTheme="minorEastAsia" w:hAnsi="Times New Roman" w:cs="Times New Roman"/>
          <w:szCs w:val="24"/>
        </w:rPr>
        <w:t xml:space="preserve">. </w:t>
      </w:r>
      <w:r w:rsidR="001C0025" w:rsidRPr="00ED6690">
        <w:rPr>
          <w:rFonts w:ascii="Times New Roman" w:eastAsiaTheme="minorEastAsia" w:hAnsi="Times New Roman" w:cs="Times New Roman"/>
          <w:szCs w:val="24"/>
        </w:rPr>
        <w:t xml:space="preserve">The minimizations are carried </w:t>
      </w:r>
      <w:r w:rsidR="00716BEE">
        <w:rPr>
          <w:rFonts w:ascii="Times New Roman" w:eastAsiaTheme="minorEastAsia" w:hAnsi="Times New Roman" w:cs="Times New Roman"/>
          <w:szCs w:val="24"/>
        </w:rPr>
        <w:t xml:space="preserve">out </w:t>
      </w:r>
      <w:r w:rsidR="0087533E">
        <w:rPr>
          <w:rFonts w:ascii="Times New Roman" w:eastAsiaTheme="minorEastAsia" w:hAnsi="Times New Roman" w:cs="Times New Roman"/>
          <w:szCs w:val="24"/>
        </w:rPr>
        <w:t>via</w:t>
      </w:r>
      <w:r w:rsidR="00E27078">
        <w:rPr>
          <w:rFonts w:ascii="Times New Roman" w:eastAsiaTheme="minorEastAsia" w:hAnsi="Times New Roman" w:cs="Times New Roman"/>
          <w:szCs w:val="24"/>
        </w:rPr>
        <w:t xml:space="preserve"> the commands</w:t>
      </w:r>
      <w:r w:rsidR="001C0F2F" w:rsidRPr="0023465D">
        <w:rPr>
          <w:rFonts w:ascii="Times New Roman" w:hAnsi="Times New Roman" w:cs="Times New Roman"/>
          <w:szCs w:val="24"/>
        </w:rPr>
        <w:fldChar w:fldCharType="begin"/>
      </w:r>
      <w:r w:rsidR="00052644">
        <w:rPr>
          <w:rFonts w:ascii="Times New Roman" w:hAnsi="Times New Roman" w:cs="Times New Roman"/>
          <w:szCs w:val="24"/>
        </w:rPr>
        <w:instrText xml:space="preserve"> ADDIN ZOTERO_ITEM CSL_CITATION {"citationID":"HZss9Mpu","properties":{"formattedCitation":"\\super 2\\uc0\\u8211{}7\\nosupersub{}","plainCitation":"2–7","noteIndex":0},"citationItems":[{"id":3,"uris":["http://zotero.org/users/5159096/items/CSTLE954"],"itemData":{"id":3,"type":"article-journal","container-title":"Journal of computational physics","DOI":"10.1006/jcph.1995.1039","ISSN":"0021-9991","issue":"1","journalAbbreviation":"Journal of computational physics","note":"publisher: Elsevier","page":"1-19","title":"Fast parallel algorithms for short-range molecular dynamics","volume":"117","author":[{"family":"Plimpton","given":"Steve"}],"issued":{"date-parts":[["1995"]]}}},{"id":2,"uris":["http://zotero.org/users/5159096/items/7ZHRQDCY"],"itemData":{"id":2,"type":"article-journal","container-title":"Computer Physics Communications","DOI":"10.1016/j.cpc.2010.12.021","issue":"4","note":"ISBN: 0010-4655\npublisher: Elsevier","page":"898-911","title":"Implementing molecular dynamics on hybrid high performance computers–short range forces","volume":"182","author":[{"family":"Brown","given":"W. Michael"},{"family":"Wang","given":"Peng"},{"family":"Plimpton","given":"Steven J."},{"family":"Tharrington","given":"Arnold N."}],"issued":{"date-parts":[["2011"]]}}},{"id":1,"uris":["http://zotero.org/users/5159096/items/AUDKZFA4"],"itemData":{"id":1,"type":"article-journal","container-title":"Computer Physics Communications","DOI":"10.1016/j.cpc.2011.10.012","issue":"3","note":"ISBN: 0010-4655\npublisher: Elsevier","page":"449-459","title":"Implementing molecular dynamics on hybrid high performance computers–Particle–particle particle-mesh","volume":"183","author":[{"family":"Brown","given":"W. Michael"},{"family":"Kohlmeyer","given":"Axel"},{"family":"Plimpton","given":"Steven J."},{"family":"Tharrington","given":"Arnold N."}],"issued":{"date-parts":[["2012"]]}}},{"id":1241,"uris":["http://zotero.org/users/5159096/items/RNZ5CSG7"],"itemData":{"id":1241,"type":"article-journal","container-title":"Computer Physics Communications","DOI":"10.1016/j.cpc.2013.08.002","issue":"12","note":"ISBN: 0010-4655\npublisher: Elsevier","page":"2785-2793","title":"Implementing molecular dynamics on hybrid high performance computers—three-body potentials","volume":"184","author":[{"family":"Brown","given":"W. Michael"},{"family":"Yamada","given":"Masako"}],"issued":{"date-parts":[["2013"]]}}},{"id":99,"uris":["http://zotero.org/users/5159096/items/3SJK4BY3"],"itemData":{"id":99,"type":"article-journal","container-title":"Physical Review Letters","DOI":"10.1103/PhysRevLett.97.170201","ISSN":"0031-9007, 1079-7114","issue":"17","journalAbbreviation":"Phys. Rev. Lett.","language":"en","page":"170201","source":"DOI.org (Crossref)","title":"Structural Relaxation Made Simple","volume":"97","author":[{"family":"Bitzek","given":"Erik"},{"family":"Koskinen","given":"Pekka"},{"family":"Gähler","given":"Franz"},{"family":"Moseler","given":"Michael"},{"family":"Gumbsch","given":"Peter"}],"issued":{"date-parts":[["2006",10,27]]}}},{"id":98,"uris":["http://zotero.org/users/5159096/items/XDYC4UM2"],"itemData":{"id":98,"type":"article-journal","abstract":"In atomistic simulations, pseudo-dynamical relaxation schemes often exhibit better performance and accuracy in finding local minima than line-search-based descent algorithms like steepest descent or conjugate gradient. Here, an improved version of the fast inertial relaxation engine (FIRE ) and its implementation within the open-source atomistic simulation code LAMMPS is presented. It is shown that the correct choice of time integration scheme and minimization parameters is crucial for the performance of FIRE.","container-title":"Computational Materials Science","DOI":"10.1016/j.commatsci.2020.109584","ISSN":"09270256","journalAbbreviation":"Computational Materials Science","language":"en","page":"109584","source":"DOI.org (Crossref)","title":"Assessment and optimization of the fast inertial relaxation engine (fire) for energy minimization in atomistic simulations and its implementation in lammps","volume":"175","author":[{"family":"Guénolé","given":"Julien"},{"family":"Nöhring","given":"Wolfram G."},{"family":"Vaid","given":"Aviral"},{"family":"Houllé","given":"Frédéric"},{"family":"Xie","given":"Zhuocheng"},{"family":"Prakash","given":"Aruna"},{"family":"Bitzek","given":"Erik"}],"issued":{"date-parts":[["2020",4]]}}}],"schema":"https://github.com/citation-style-language/schema/raw/master/csl-citation.json"} </w:instrText>
      </w:r>
      <w:r w:rsidR="001C0F2F" w:rsidRPr="0023465D">
        <w:rPr>
          <w:rFonts w:ascii="Times New Roman" w:hAnsi="Times New Roman" w:cs="Times New Roman"/>
          <w:szCs w:val="24"/>
        </w:rPr>
        <w:fldChar w:fldCharType="separate"/>
      </w:r>
      <w:r w:rsidR="00C87BD7" w:rsidRPr="00C87BD7">
        <w:rPr>
          <w:rFonts w:ascii="Times New Roman" w:hAnsi="Times New Roman" w:cs="Times New Roman"/>
          <w:szCs w:val="24"/>
          <w:vertAlign w:val="superscript"/>
        </w:rPr>
        <w:t>2–7</w:t>
      </w:r>
      <w:r w:rsidR="001C0F2F" w:rsidRPr="0023465D">
        <w:rPr>
          <w:rFonts w:ascii="Times New Roman" w:hAnsi="Times New Roman" w:cs="Times New Roman"/>
          <w:szCs w:val="24"/>
        </w:rPr>
        <w:fldChar w:fldCharType="end"/>
      </w:r>
      <w:r w:rsidR="00E27078">
        <w:rPr>
          <w:rFonts w:ascii="Times New Roman" w:eastAsiaTheme="minorEastAsia" w:hAnsi="Times New Roman" w:cs="Times New Roman"/>
          <w:szCs w:val="24"/>
        </w:rPr>
        <w:t>:</w:t>
      </w:r>
    </w:p>
    <w:p w14:paraId="5BF8E996" w14:textId="77777777" w:rsidR="00E27078" w:rsidRPr="00E27078" w:rsidRDefault="00EA75D7" w:rsidP="00363E15">
      <w:pPr>
        <w:jc w:val="both"/>
        <w:rPr>
          <w:rFonts w:ascii="Times New Roman" w:eastAsiaTheme="minorEastAsia" w:hAnsi="Times New Roman" w:cs="Times New Roman"/>
          <w:b/>
          <w:bCs/>
          <w:szCs w:val="24"/>
        </w:rPr>
      </w:pPr>
      <w:proofErr w:type="spellStart"/>
      <w:r w:rsidRPr="00E27078">
        <w:rPr>
          <w:rFonts w:ascii="Times New Roman" w:eastAsiaTheme="minorEastAsia" w:hAnsi="Times New Roman" w:cs="Times New Roman"/>
          <w:b/>
          <w:bCs/>
          <w:szCs w:val="24"/>
        </w:rPr>
        <w:t>min_style</w:t>
      </w:r>
      <w:proofErr w:type="spellEnd"/>
      <w:r w:rsidRPr="00E27078">
        <w:rPr>
          <w:rFonts w:ascii="Times New Roman" w:eastAsiaTheme="minorEastAsia" w:hAnsi="Times New Roman" w:cs="Times New Roman"/>
          <w:b/>
          <w:bCs/>
          <w:szCs w:val="24"/>
        </w:rPr>
        <w:t xml:space="preserve"> fire</w:t>
      </w:r>
    </w:p>
    <w:p w14:paraId="3F46D769" w14:textId="786BD5E0" w:rsidR="00EA75D7" w:rsidRPr="00E27078" w:rsidRDefault="00EA75D7" w:rsidP="00363E15">
      <w:pPr>
        <w:jc w:val="both"/>
        <w:rPr>
          <w:rFonts w:ascii="Times New Roman" w:eastAsiaTheme="minorEastAsia" w:hAnsi="Times New Roman" w:cs="Times New Roman"/>
          <w:b/>
          <w:bCs/>
          <w:szCs w:val="24"/>
        </w:rPr>
      </w:pPr>
      <w:proofErr w:type="spellStart"/>
      <w:r w:rsidRPr="00E27078">
        <w:rPr>
          <w:rFonts w:ascii="Times New Roman" w:eastAsiaTheme="minorEastAsia" w:hAnsi="Times New Roman" w:cs="Times New Roman"/>
          <w:b/>
          <w:bCs/>
          <w:szCs w:val="24"/>
        </w:rPr>
        <w:t>min_modify</w:t>
      </w:r>
      <w:proofErr w:type="spellEnd"/>
      <w:r w:rsidRPr="00E27078">
        <w:rPr>
          <w:rFonts w:ascii="Times New Roman" w:eastAsiaTheme="minorEastAsia" w:hAnsi="Times New Roman" w:cs="Times New Roman"/>
          <w:b/>
          <w:bCs/>
          <w:szCs w:val="24"/>
        </w:rPr>
        <w:t xml:space="preserve"> integrator </w:t>
      </w:r>
      <w:proofErr w:type="spellStart"/>
      <w:r w:rsidRPr="00E27078">
        <w:rPr>
          <w:rFonts w:ascii="Times New Roman" w:eastAsiaTheme="minorEastAsia" w:hAnsi="Times New Roman" w:cs="Times New Roman"/>
          <w:b/>
          <w:bCs/>
          <w:szCs w:val="24"/>
        </w:rPr>
        <w:t>verlet</w:t>
      </w:r>
      <w:proofErr w:type="spellEnd"/>
      <w:r w:rsidRPr="00E27078">
        <w:rPr>
          <w:rFonts w:ascii="Times New Roman" w:eastAsiaTheme="minorEastAsia" w:hAnsi="Times New Roman" w:cs="Times New Roman"/>
          <w:b/>
          <w:bCs/>
          <w:szCs w:val="24"/>
        </w:rPr>
        <w:t xml:space="preserve"> </w:t>
      </w:r>
      <w:proofErr w:type="spellStart"/>
      <w:r w:rsidRPr="00E27078">
        <w:rPr>
          <w:rFonts w:ascii="Times New Roman" w:eastAsiaTheme="minorEastAsia" w:hAnsi="Times New Roman" w:cs="Times New Roman"/>
          <w:b/>
          <w:bCs/>
          <w:szCs w:val="24"/>
        </w:rPr>
        <w:t>tmax</w:t>
      </w:r>
      <w:proofErr w:type="spellEnd"/>
      <w:r w:rsidRPr="00E27078">
        <w:rPr>
          <w:rFonts w:ascii="Times New Roman" w:eastAsiaTheme="minorEastAsia" w:hAnsi="Times New Roman" w:cs="Times New Roman"/>
          <w:b/>
          <w:bCs/>
          <w:szCs w:val="24"/>
        </w:rPr>
        <w:t xml:space="preserve"> 4 </w:t>
      </w:r>
      <w:proofErr w:type="spellStart"/>
      <w:r w:rsidRPr="00E27078">
        <w:rPr>
          <w:rFonts w:ascii="Times New Roman" w:eastAsiaTheme="minorEastAsia" w:hAnsi="Times New Roman" w:cs="Times New Roman"/>
          <w:b/>
          <w:bCs/>
          <w:szCs w:val="24"/>
        </w:rPr>
        <w:t>tmin</w:t>
      </w:r>
      <w:proofErr w:type="spellEnd"/>
      <w:r w:rsidRPr="00E27078">
        <w:rPr>
          <w:rFonts w:ascii="Times New Roman" w:eastAsiaTheme="minorEastAsia" w:hAnsi="Times New Roman" w:cs="Times New Roman"/>
          <w:b/>
          <w:bCs/>
          <w:szCs w:val="24"/>
        </w:rPr>
        <w:t xml:space="preserve"> 0.0 </w:t>
      </w:r>
      <w:proofErr w:type="spellStart"/>
      <w:r w:rsidRPr="00E27078">
        <w:rPr>
          <w:rFonts w:ascii="Times New Roman" w:eastAsiaTheme="minorEastAsia" w:hAnsi="Times New Roman" w:cs="Times New Roman"/>
          <w:b/>
          <w:bCs/>
          <w:szCs w:val="24"/>
        </w:rPr>
        <w:t>dmax</w:t>
      </w:r>
      <w:proofErr w:type="spellEnd"/>
      <w:r w:rsidRPr="00E27078">
        <w:rPr>
          <w:rFonts w:ascii="Times New Roman" w:eastAsiaTheme="minorEastAsia" w:hAnsi="Times New Roman" w:cs="Times New Roman"/>
          <w:b/>
          <w:bCs/>
          <w:szCs w:val="24"/>
        </w:rPr>
        <w:t xml:space="preserve"> 0.005 norm </w:t>
      </w:r>
      <w:proofErr w:type="gramStart"/>
      <w:r w:rsidRPr="00E27078">
        <w:rPr>
          <w:rFonts w:ascii="Times New Roman" w:eastAsiaTheme="minorEastAsia" w:hAnsi="Times New Roman" w:cs="Times New Roman"/>
          <w:b/>
          <w:bCs/>
          <w:szCs w:val="24"/>
        </w:rPr>
        <w:t>max</w:t>
      </w:r>
      <w:proofErr w:type="gramEnd"/>
    </w:p>
    <w:p w14:paraId="70194F70" w14:textId="3C67A2A7" w:rsidR="00E27078" w:rsidRPr="00E27078" w:rsidRDefault="00E27078" w:rsidP="00363E15">
      <w:pPr>
        <w:jc w:val="both"/>
        <w:rPr>
          <w:rFonts w:ascii="Times New Roman" w:eastAsiaTheme="minorEastAsia" w:hAnsi="Times New Roman" w:cs="Times New Roman"/>
          <w:b/>
          <w:bCs/>
          <w:szCs w:val="24"/>
        </w:rPr>
      </w:pPr>
      <w:r w:rsidRPr="00E27078">
        <w:rPr>
          <w:rFonts w:ascii="Times New Roman" w:eastAsiaTheme="minorEastAsia" w:hAnsi="Times New Roman" w:cs="Times New Roman"/>
          <w:b/>
          <w:bCs/>
          <w:szCs w:val="24"/>
        </w:rPr>
        <w:t>minimize 0 1e-</w:t>
      </w:r>
      <w:r w:rsidR="0000064C">
        <w:rPr>
          <w:rFonts w:ascii="Times New Roman" w:eastAsiaTheme="minorEastAsia" w:hAnsi="Times New Roman" w:cs="Times New Roman"/>
          <w:b/>
          <w:bCs/>
          <w:szCs w:val="24"/>
        </w:rPr>
        <w:t>6</w:t>
      </w:r>
      <w:r w:rsidR="0000064C" w:rsidRPr="00E27078">
        <w:rPr>
          <w:rFonts w:ascii="Times New Roman" w:eastAsiaTheme="minorEastAsia" w:hAnsi="Times New Roman" w:cs="Times New Roman"/>
          <w:b/>
          <w:bCs/>
          <w:szCs w:val="24"/>
        </w:rPr>
        <w:t xml:space="preserve"> </w:t>
      </w:r>
      <w:r w:rsidRPr="00E27078">
        <w:rPr>
          <w:rFonts w:ascii="Times New Roman" w:eastAsiaTheme="minorEastAsia" w:hAnsi="Times New Roman" w:cs="Times New Roman"/>
          <w:b/>
          <w:bCs/>
          <w:szCs w:val="24"/>
        </w:rPr>
        <w:t xml:space="preserve">10000 </w:t>
      </w:r>
      <w:proofErr w:type="gramStart"/>
      <w:r w:rsidRPr="00E27078">
        <w:rPr>
          <w:rFonts w:ascii="Times New Roman" w:eastAsiaTheme="minorEastAsia" w:hAnsi="Times New Roman" w:cs="Times New Roman"/>
          <w:b/>
          <w:bCs/>
          <w:szCs w:val="24"/>
        </w:rPr>
        <w:t>500000</w:t>
      </w:r>
      <w:proofErr w:type="gramEnd"/>
    </w:p>
    <w:p w14:paraId="6D7EE1C2" w14:textId="370CD3B9" w:rsidR="007706DF" w:rsidRDefault="007706DF" w:rsidP="005F5489">
      <w:pPr>
        <w:jc w:val="both"/>
        <w:rPr>
          <w:rFonts w:ascii="Times New Roman" w:eastAsiaTheme="minorEastAsia" w:hAnsi="Times New Roman" w:cs="Times New Roman"/>
          <w:szCs w:val="24"/>
        </w:rPr>
      </w:pPr>
      <w:r>
        <w:rPr>
          <w:rFonts w:ascii="Times New Roman" w:eastAsiaTheme="minorEastAsia" w:hAnsi="Times New Roman" w:cs="Times New Roman"/>
          <w:szCs w:val="24"/>
        </w:rPr>
        <w:t>We note that for the EAM potential</w:t>
      </w:r>
      <w:r w:rsidR="0084680D">
        <w:rPr>
          <w:rFonts w:ascii="Times New Roman" w:eastAsiaTheme="minorEastAsia" w:hAnsi="Times New Roman" w:cs="Times New Roman"/>
          <w:szCs w:val="24"/>
        </w:rPr>
        <w:t>s</w:t>
      </w:r>
      <w:r>
        <w:rPr>
          <w:rFonts w:ascii="Times New Roman" w:eastAsiaTheme="minorEastAsia" w:hAnsi="Times New Roman" w:cs="Times New Roman"/>
          <w:szCs w:val="24"/>
        </w:rPr>
        <w:t xml:space="preserve"> used in this work</w:t>
      </w:r>
      <w:r w:rsidR="00E31538">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{"citationID":"bfjYh7sk","properties":{"formattedCitation":"\\super 8\\uc0\\u8211{}54\\nosupersub{}","plainCitation":"8–54","noteIndex":0},"citationItems":[{"id":1162,"uris":["http://zotero.org/users/5159096/items/67PGMU46"],"itemData":{"id":1162,"type":"article-journal","journalAbbreviation":"https://sites.google.com/site/eampotentials/AlAg","title":"Al-Ag EAM Potential, Private communication","author":[{"family":"Sheng","given":"Howard"}],"issued":{"date-parts":[["2012"]]}}},{"id":2450,"uris":["http://zotero.org/users/5159096/items/Y2E5DDGM","http://zotero.org/users/5159096/items/Y653HSJK"],"itemData":{"id":2450,"type":"article-journal","abstract":"The activation energies for self-diffusion of transition metals (Au, Ag, Cu, Ni, Pd, Pt) have been calculated with the Embedded Atom Method (EAM); the results agree well with available experimental data for both mono-vacancy and di-vacancy mechanisms. The EAM was also used to calculate activation energies for vacancy migration near dilute impurities. These energies determine the atomic jump frequencies of the classic “five-frequency formula,” which yields the diffusion rates of impurities by a mono-vacancy mechanism. These calculations were found to agree fairly well with experiment and with Neumann and Hirschwald's “Tm” model.","archive":"Cambridge Core","container-title":"Journal of Materials Research","DOI":"10.1557/JMR.1989.0102","ISSN":"0884-2914","issue":"1","note":"edition: 2011/01/31\npublisher: Cambridge University Press","page":"102-112","source":"Cambridge University Press","title":"Self-diffusion and impurity diffusion of fee metals using the five-frequency model and the Embedded Atom Method","volume":"4","author":[{"family":"Adams","given":"J. B."},{"family":"Foiles","given":"S. M."},{"family":"Wolfer","given":"W. G."}],"issued":{"date-parts":[["1989"]]}}},{"id":2455,"uris":["http://zotero.org/users/5159096/items/6GWLGNVC","http://zotero.org/users/5159096/items/2C2DCC5Z"],"itemData":{"id":2455,"type":"article-journal","container-title":"Physical Review B","DOI":"10.1103/PhysRevB.33.7983","issue":"12","journalAbbreviation":"Phys. Rev. B","note":"publisher: American Physical Society","page":"7983-7991","title":"Embedded-atom-method functions for the fcc metals Cu, Ag, Au, Ni, Pd, Pt, and their alloys","volume":"33","author":[{"family":"Foiles","given":"S. M."},{"family":"Baskes","given":"M. I."},{"family":"Daw","given":"M. S."}],"issued":{"date-parts":[["1986",6,15]]}}},{"id":1220,"uris":["http://zotero.org/users/5159096/items/B6J89CJ9"],"itemData":{"id":1220,"type":"article-journal","container-title":"Physical Review B","DOI":"10.1103/PhysRevB.81.140204","ISSN":"1098-0121, 1550-235X","issue":"14","journalAbbreviation":"Phys. Rev. B","language":"en","page":"140204","source":"DOI.org (Crossref)","title":"Coupling between chemical and dynamic heterogeneities in a multicomponent bulk metallic glass","volume":"81","author":[{"family":"Fujita","given":"T."},{"family":"Guan","given":"P. F."},{"family":"Sheng","given":"H. W."},{"family":"Inoue","given":"A."},{"family":"Sakurai","given":"T."},{"family":"Chen","given":"M. W."}],"issued":{"date-parts":[["2010",4,28]]}}},{"id":2449,"uris":["http://zotero.org/users/5159096/items/UWD7WVCV","http://zotero.org/users/5159096/items/QJ8BT7J5"],"itemData":{"id":2449,"type":"article-journal","abstract":"A new embedded-atom method (EAM) potential has been constructed for Ag by fitting to experimental and first-principles data. The potential accurately reproduces the lattice parameter, cohesive energy, elastic constants, phonon frequencies, thermal expansion, lattice-defect energies, as well as energies of alternate structures of Ag. Combining this potential with an existing EAM potential for Cu, a binary potential set for the Cu–Ag system has been constructed by fitting the cross-interaction function to first-principles energies of imaginary Cu–Ag compounds. Although properties used in the fit refer to the 0 K temperature (except for thermal expansion factors of pure Cu and Ag) and do not include liquid configurations, the potentials demonstrate good transferability to high-temperature properties. In particular, the entire Cu–Ag phase diagram calculated with the new potentials in conjunction with Monte Carlo simulations is in satisfactory agreement with experiment. This agreement suggests that EAM potentials accurately fit to 0 K properties can be capable of correctly predicting simple phase diagrams. Possible applications of the new potential set are outlined.","container-title":"Modelling and Simulation in Materials Science and Engineering","DOI":"10.1088/0965-0393/14/5/002","ISSN":"0965-0393","issue":"5","page":"817","title":"An embedded-atom potential for the Cu–Ag system","volume":"14","author":[{"family":"Williams","given":"P L"},{"family":"Mishin","given":"Y"},{"family":"Hamilton","given":"J C"}],"issued":{"date-parts":[["2006",5,30]]}}},{"id":2439,"uris":["http://zotero.org/users/5159096/items/QIDS8IFB","http://zotero.org/users/5159096/items/6H5D7IM7"],"itemData":{"id":2439,"type":"article-journal","abstract":"A binary embedded-atom method (EAM) potential is optimized for Cu on Ag(111) by fitting to ab initio data. The fitting database consists of DFT calculations of Cu monomers and dimers on Ag(111), specifically their relative energies, adatom heights, and dimer separations. We start from the Mishin Cu–Ag EAM potential and first modify the Cu–Ag pair potential to match the FCC/HCP site energy difference then include Cu–Cu pair potential optimization for the entire database. The potential generated from this optimization method gives better agreement to DFT calculations of Cu monomers, dimers, and trimers than previous EAMs as well as a SEAM optimized potential. In trimer calculations, the optimized potential produces the DFT relative energy between FCC and HCP trimers, though a different ground state is predicted. We use the optimized potential to calculate diffusion barriers for Cu monomers, dimers, and trimers. The predicted monomer barrier is the same as DFT, while experimental barriers for monomers and dimers are lower than predicted here. We attribute the difference with experiment to the overestimation of surface adsorption energies by DFT and a simple correction is presented. Our results show that this optimization method is suitable for other heteroepitaxial systems; and that the optimized Cu–Ag EAM can be applied in the study of larger Cu islands on Ag(111).","container-title":"Computational Materials Science","DOI":"10.1016/j.commatsci.2009.09.026","ISSN":"0927-0256","issue":"2","journalAbbreviation":"Computational Materials Science","page":"577-583","title":"Cu/Ag EAM potential optimized for heteroepitaxial diffusion from ab initio data","volume":"47","author":[{"family":"Wu","given":"Henry H."},{"family":"Trinkle","given":"Dallas R."}],"issued":{"date-parts":[["2009",12,1]]}},"label":"page"},{"id":2443,"uris":["http://zotero.org/users/5159096/items/EW4E8JXK","http://zotero.org/users/5159096/items/W3LKIZ7B"],"itemData":{"id":2443,"type":"article-journal","abstract":"An Ag–Ni semi-empirical potential was developed to simulate the segregation of Ni solutes at Ag grain boundaries (GBs). The potential combines a new Ag potential fitted to correctly reproduce the stable and unstable stacking fault energies in this metal and the existing Ni potential from Mendelev et al (2012 Phil. Mag. 92 4454–69). The Ag–Ni cross potential functions were fitted to ab initio data on the liquid structure of the Ag80Ni20 alloy to properly incorporate the Ag–Ni interaction at small atomic separations, and to the Ni segregation energies at different sites within a high-energy Σ9 (221) symmetric tilt GB. By deploying this potential with hybrid Monte Carlo/molecular dynamics simulations, it was found that heterogeneous segregation and clustering of Ni atoms at GBs and twin boundary defects occur at low Ni concentrations, 1 and 2 at%. This behavior is profoundly different from the homogeneous interfacial dispersion generally observed for the Cu segregation in Ag. A GB transformation to amorphous intergranular films was found to prevail at higher Ni concentrations (10 at%). The developed potential opens new opportunities for studying the selective segregation behavior of Ni solutes in interface-hardened Ag metals and its effect on plasticity.","container-title":"Modelling and Simulation in Materials Science and Engineering","DOI":"10.1088/1361-651X/aadea3","ISSN":"0965-0393","issue":"7","note":"publisher: IOP Publishing","page":"075004","title":"Development of a semi-empirical potential for simulation of Ni solute segregation into grain boundaries in Ag","volume":"26","author":[{"family":"Pan","given":"Zhiliang"},{"family":"Borovikov","given":"Valery"},{"family":"Mendelev","given":"Mikhail I"},{"family":"Sansoz","given":"Frederic"}],"issued":{"date-parts":[["2018",9,18]]}}},{"id":1207,"uris":["http://zotero.org/users/5159096/items/C6MF99JZ"],"itemData":{"id":1207,"type":"article-journal","abstract":"Abstract\n            \n              \n                \n              \n            \n          , \n            \n              A set of embedded atom model (EAM) interatomic potentials was developed to represent highly idealized face-centered cubic (FCC) mixtures of Fe–Ni–Cr–Co–Al at near-equiatomic compositions. Potential functions for the transition metals and their crossed interactions are taken from our previous work for Fe–Ni–Cr–Co–Cu [D. Farkas and A. Caro:\n              J. Mater. Res.\n              33 (19), 3218–3225, 2018], while cross-pair interactions involving Al were developed using a mix of the component pair functions fitted to known intermetallic properties. The resulting heats of mixing of all binary equiatomic random FCC mixtures not containing Al is low, but significant short-range ordering appears in those containing Al, driven by a large atomic size difference. The potentials are utilized to predict the relative stability of FCC quinary mixtures, as well as ordered L1\n              2\n              and B2 phases as a function of Al content. These predictions are in qualitative agreement with experiments. This interatomic potential set is developed to resemble but not model precisely the properties of this complex system, aiming at providing a tool to explore the consequences of the addition of a large size-misfit component into a high entropy mixture that develops multiphase microstructures.","container-title":"Journal of Materials Research","DOI":"10.1557/jmr.2020.294","ISSN":"0884-2914, 2044-5326","issue":"22","journalAbbreviation":"J. Mater. Res.","language":"en","page":"3031-3040","source":"DOI.org (Crossref)","title":"Model interatomic potentials for Fe–Ni–Cr–Co–Al high-entropy alloys","volume":"35","author":[{"family":"Farkas","given":"Diana"},{"family":"Caro","given":"Alfredo"}],"issued":{"date-parts":[["2020",11,30]]}}},{"id":1083,"uris":["http://zotero.org/users/5159096/items/MLPRCU7H"],"itemData":{"id":1083,"type":"article-journal","abstract":"Ni–Al–Co is a promising system for ferromagnetic shape memory applications. This paper reports on the development of a ternary embedded-atom potential for this system by fitting to experimental and first-principles data. Reasonably good agreement is achieved for physical properties between values predicted by the potential and values known from experiment and/or first-principles calculations. The potential reproduces basic features of the martensitic phase transformation from the B2-ordered high-temperature phase to a tetragonal CuAu-ordered low-temperature phase. The compositional and temperature ranges of this transformation and the martensite microstructure predicted by the potential compare well with existing experimental data. These results indicate that the proposed potential can be used for simulations of the shape memory effect in the Ni–Al–Co system.","container-title":"Modelling and Simulation in Materials Science and Engineering","DOI":"10.1088/0965-0393/23/6/065006","ISSN":"0965-0393, 1361-651X","issue":"6","journalAbbreviation":"Modelling Simul. Mater. Sci. Eng.","language":"en","page":"065006","source":"DOI.org (Crossref)","title":"Interatomic potential for the ternary Ni–Al–Co system and application to atomistic modeling of the B2–L1 &lt;sub&gt;0&lt;/sub&gt; martensitic transformation","volume":"23","author":[{"family":"Purja Pun","given":"G P"},{"family":"Yamakov","given":"V"},{"family":"Mishin","given":"Y"}],"issued":{"date-parts":[["2015",9,1]]}},"label":"page"},{"id":1109,"uris":["http://zotero.org/users/5159096/items/R4K69UDL"],"itemData":{"id":1109,"type":"article-journal","container-title":"Physical Review Letters","DOI":"10.1103/PhysRevLett.102.245501","ISSN":"0031-9007, 1079-7114","issue":"24","journalAbbreviation":"Phys. Rev. Lett.","language":"en","page":"245501","source":"DOI.org (Crossref)","title":"Atomic Level Structure in Multicomponent Bulk Metallic Glass","volume":"102","author":[{"family":"Cheng","given":"Y. Q."},{"family":"Ma","given":"E."},{"family":"Sheng","given":"H. W."}],"issued":{"date-parts":[["2009",6,17]]}},"label":"page"},{"id":1111,"uris":["http://zotero.org/users/5159096/items/XN7YMQXU"],"itemData":{"id":1111,"type":"article-journal","abstract":"ÐAn explanation of why Cu prolongs the electromigration lifetime of Al±Cu interconnects in comparison to Al is provided based on atomistic calculations. Copper preferentially segregates to the grain-boundary (GB) interstitial sites. The overall GB diusivity is reduced with Cu segregation at GB sites. Calculation results predict that in Al(Cu) lines, Cu will diuse ®rst, with Al diusion essentially suppressed because of a higher diusion activation energy. The activation energy for Cu incubation diusion is calculated to be 0.95 eV. The predictions are in excellent agreement with experiments. # 1999 Acta Metallurgica Inc. Published by Elsevier Science Ltd. All rights reserved.","container-title":"Acta Materialia","DOI":"10.1016/S1359-6454(99)00186-X","ISSN":"13596454","issue":"11","journalAbbreviation":"Acta Materialia","language":"en","page":"3227-3231","source":"DOI.org (Crossref)","title":"A new investigation of copper's role in enhancing Al–Cu interconnect electromigration resistance from an atomistic view","volume":"47","author":[{"family":"Liu","given":"X.-Y"},{"family":"Liu","given":"C.-L"},{"family":"Borucki","given":"L.J"}],"issued":{"date-parts":[["1999",9]]}}},{"id":1104,"uris":["http://zotero.org/users/5159096/items/P54A7WHT"],"itemData":{"id":1104,"type":"article-journal","abstract":"We present an analysis, based upon atomistic simulation data, of the effect of Fe impurities on grain boundary migration in Al. The first step is the development of a new interatomic potential for Fe in Al. This potential provides an accurate description of Al–Fe liquid diffraction data and the bulk diffusivity of Fe in Al. We use this potential to determine the physical parameters in the Cahn–Lücke–Stüwe (CLS) model for the effect of impurities on grain boundary mobility. These include the heat of segregation of Fe to grain boundaries in Al and the diffusivity of Fe in Al. Using the simulation-parameterized CLS model, we predict the grain boundary mobility in Al in the presence of Fe as a function of temperature and Fe concentration. The order of magnitude and the trends in the mobility from the simulations are in agreement with existing experimental results.","container-title":"Journal of Materials Research","DOI":"10.1557/JMR.2005.0024","ISSN":"0884-2914, 2044-5326","issue":"1","journalAbbreviation":"J. Mater. Res.","language":"en","page":"208-218","source":"DOI.org (Crossref)","title":"Effect of Fe Segregation on the Migration of a Non-Symmetric Σ5 Tilt Grain Boundary in Al","volume":"20","author":[{"family":"Mendelev","given":"M.I."},{"family":"Srolovitz","given":"D.J."},{"family":"Ackland","given":"G.J."},{"family":"Han","given":"S."}],"issued":{"date-parts":[["2005",1]]}}},{"id":636,"uris":["http://zotero.org/users/5159096/items/7I2N7I3A"],"itemData":{"id":636,"type":"article-journal","abstract":"A set of embedded-atom method (EAM) potentials for Al</w:instrText>
      </w:r>
      <w:r w:rsidR="00052644">
        <w:rPr>
          <w:rFonts w:ascii="Times New Roman" w:eastAsiaTheme="minorEastAsia" w:hAnsi="Times New Roman" w:cs="Times New Roman" w:hint="eastAsia"/>
          <w:szCs w:val="24"/>
        </w:rPr>
        <w:instrText></w:instrText>
      </w:r>
      <w:r w:rsidR="00052644">
        <w:rPr>
          <w:rFonts w:ascii="Times New Roman" w:eastAsiaTheme="minorEastAsia" w:hAnsi="Times New Roman" w:cs="Times New Roman"/>
          <w:szCs w:val="24"/>
        </w:rPr>
        <w:instrText>Mg alloys are developed using the “force matching” method. The potentials are fitted to both experimental data and a massive quantum mechanical database of atomic forces at finite temperatures. Using the potentials, Monte Carlo simulations are performed to study Mg segregation at different low-index surfaces of an Al alloy with 1–10 at% Mg. Surface enrichments of Mg of the order of 80% are found, and the segregation behavior is generally anisotropic. A set of discrete lattice-plane calculations, based on the nearest-neighbor broken-bond model corrected for strain energy, are shown to drastically reduce the anisotropy of surface segregation.","container-title":"Surface Science","DOI":"10.1016/S0039-6028(96)01154-5","ISSN":"0039-6028","issue":"2","journalAbbreviation":"Surface Science","page":"357-370","title":"Anisotropic surface segregation in Al</w:instrText>
      </w:r>
      <w:r w:rsidR="00052644">
        <w:rPr>
          <w:rFonts w:ascii="Times New Roman" w:eastAsiaTheme="minorEastAsia" w:hAnsi="Times New Roman" w:cs="Times New Roman" w:hint="eastAsia"/>
          <w:szCs w:val="24"/>
        </w:rPr>
        <w:instrText></w:instrText>
      </w:r>
      <w:r w:rsidR="00052644">
        <w:rPr>
          <w:rFonts w:ascii="Times New Roman" w:eastAsiaTheme="minorEastAsia" w:hAnsi="Times New Roman" w:cs="Times New Roman"/>
          <w:szCs w:val="24"/>
        </w:rPr>
        <w:instrText xml:space="preserve">Mg alloys","volume":"373","author":[{"family":"Liu","given":"Xiang-Yang"},{"family":"Ohotnicky","given":"P.P."},{"family":"Adams","given":"J.B."},{"family":"Rohrer","given":"C.Lane"},{"family":"Hyland","given":"R.W."}],"issued":{"date-parts":[["1997",3,1]]}}},{"id":1101,"uris":["http://zotero.org/users/5159096/items/4FENXEKM"],"itemData":{"id":1101,"type":"article-journal","abstract":"Monte-Carlo simulations are done to determine Mg enrichment at various grain-boundaries of Al–10%Mg alloys at hot working temperatures. The interatomic potentials used in the simulations are developed using the force-matching method. The Mg segregation levels at the grain-boundaries are found to vary from 20% to 40%. The segregation enrichment differences at different grain-boundary sites are explained in terms of atomic size and local hydrostatic stress. The segregation level varies strongly with [110] tilt boundaries from low to high angle while showing minimal variation with [100] twist boundaries. Segregation levels are found to have some correlation with grain-boundary energy. The effect on grain-boundary decohesion due to Mg segregation is found to be a modest (10--35%) reduction in fracture energy compared to the fracture energy in pure Al.","container-title":"Acta Materialia","DOI":"10.1016/S1359-6454(98)00038-X","ISSN":"1359-6454","issue":"10","journalAbbreviation":"Acta Materialia","page":"3467-3476","title":"Grain-boundary segregation in Al–10%Mg alloys at hot working temperatures","volume":"46","author":[{"family":"Liu","given":"X.-Y."},{"family":"Adams","given":"J.B."}],"issued":{"date-parts":[["1998",6,12]]}}},{"id":2429,"uris":["http://zotero.org/users/5159096/items/SZVR6YKN","http://zotero.org/users/5159096/items/X83V6AXW"],"itemData":{"id":2429,"type":"article-journal","container-title":"Philosophical Magazine","DOI":"10.1080/14786430903260727","ISSN":"1478-6435","issue":"34-36","journalAbbreviation":"Philosophical Magazine","note":"publisher: Taylor &amp; Francis","page":"3269-3285","title":"Development of interatomic potentials appropriate for simulation of solid–liquid interface properties in Al–Mg alloys","volume":"89","author":[{"family":"Mendelev","given":"M.I."},{"family":"Asta","given":"M."},{"family":"Rahman","given":"M.J."},{"family":"Hoyt","given":"J.J."}],"issued":{"date-parts":[["2009",12,1]]}},"label":"page"},{"id":1208,"uris":["http://zotero.org/users/5159096/items/GHP8567F","http://zotero.org/users/5159096/items/94MIICPJ"],"itemData":{"id":1208,"type":"article-journal","container-title":"Physical Review B","DOI":"10.1103/PhysRevB.65.224114","ISSN":"0163-1829, 1095-3795","issue":"22","journalAbbreviation":"Phys. Rev. B","language":"en","page":"224114","source":"DOI.org (Crossref)","title":"Embedded-atom potential for B 2 − NiAl","volume":"65","author":[{"family":"Mishin","given":"Y."},{"family":"Mehl","given":"M. J."},{"family":"Papaconstantopoulos","given":"D. A."}],"issued":{"date-parts":[["2002",6,12]]}},"label":"page"},{"id":1108,"uris":["http://zotero.org/users/5159096/items/4UEMN6PH"],"itemData":{"id":1108,"type":"article-journal","abstract":"A new embedded-atom potential has been developed for Ni3Al by ﬁtting to experimental and ﬁrst-principles data. The potential describes lattice properties of Ni3Al, point defects, planar faults, as well as the c and c0 ﬁelds on the Ni–Al phase diagram. The potential is applied to calculate the energies of coherent Ni/Ni3Al interphase boundaries with three diﬀerent crystallographic orientations. Depending on the orientation, the interface energy varies between 12 and 46 mJ/m2. Coherent c=c0 interfaces existing at high temperatures are shown to be more diﬀuse and are likely to have a lower energy than Ni/Ni3Al interfaces.","container-title":"Acta Materialia","DOI":"10.1016/j.actamat.2003.11.026","ISSN":"13596454","issue":"6","journalAbbreviation":"Acta Materialia","language":"en","page":"1451-1467","source":"DOI.org (Crossref)","title":"Atomistic modeling of the γ and γ′-phases of the Ni–Al system","volume":"52","author":[{"family":"Mishin","given":"Y."}],"issued":{"date-parts":[["2004",4]]}}},{"id":2438,"uris":["http://zotero.org/users/5159096/items/PGAANPC8","http://zotero.org/users/5159096/items/U2J3M7DI"],"itemData":{"id":2438,"type":"article-journal","container-title":"Philosophical Magazine","DOI":"10.1080/14786430903258184","ISSN":"1478-6435","issue":"34-36","journalAbbreviation":"Philosophical Magazine","note":"publisher: Taylor &amp; Francis","page":"3245-3267","title":"Development of an interatomic potential for the Ni-Al system","volume":"89","author":[{"family":"Purja Pun","given":"G.P."},{"family":"Mishin","given":"Y."}],"issued":{"date-parts":[["2009",12,1]]}}},{"id":1106,"uris":["http://zotero.org/users/5159096/items/J7XWXSLN"],"itemData":{"id":1106,"type":"article-journal","abstract":"ÐEmpirical many-body potentials of the glue-type have been constructed for the Al±Pb system using the ``force matching'' method. The potentials are ®tted to experimental data, physical quantities derived from ab initio linear mun-tin orbitals calculations and a massive quantum mechanical database of atomic forces generated using ultrasoft pseudopotentials in conjunction with ab initio molecular statics simulations. Monte Carlo simulations using these potentials have been employed to compute an Al±Pb phase diagram which is in fair agreement with experimental data. 7 2000 Acta Metallurgica Inc. Published by Elsevier Science Ltd. All rights reserved.","container-title":"Acta Materialia","DOI":"10.1016/S1359-6454(00)00002-1","ISSN":"13596454","issue":"8","journalAbbreviation":"Acta Materialia","language":"en","page":"1753-1761","source":"DOI.org (Crossref)","title":"Development of glue-type potentials for the Al–Pb system: phase diagram calculation","title-short":"Development of glue-type potentials for the Al–Pb system","volume":"48","author":[{"family":"Landa","given":"A."},{"family":"Wynblatt","given":"P."},{"family":"Siegel","given":"D.J."},{"family":"Adams","given":"J.B."},{"family":"Mryasov","given":"O.N."},{"family":"Liu","given":"X.-Y."}],"issued":{"date-parts":[["2000",5]]}}},{"id":2440,"uris":["http://zotero.org/users/5159096/items/W3ASK7P6","http://zotero.org/users/5159096/items/MIKQQ8VF"],"itemData":{"id":2440,"type":"article-journal","abstract":"A semi-empirical potential for the Al90Sm10 alloy is presented. The potential provides satisfactory reproduction of pure Al properties, the formation energies of a set of Al–Sm crystal phases with Sm content about 10%, and the structure of the liquid Al90Sm10 alloy. During molecular dynamics simulation in which the liquid alloy is cooled at a rate of 1010 K s−1, the developed potential produces a glass structure with lower ab initio energy than that produced by ab initio molecular dynamics (AIMD) itself using a typical AIMD cooling rate of 8·1013 K s−1. Based on these facts the developed potential should be suitable for simulations of phase transformations in the Al90Sm10 alloy.","container-title":"Modelling and Simulation in Materials Science and Engineering","DOI":"10.1088/0965-0393/23/4/045013","ISSN":"0965-0393","issue":"4","note":"publisher: IOP Publishing","page":"045013","title":"Development of interatomic potentials appropriate for simulation of devitrification of Al90Sm10 alloy","volume":"23","author":[{"family":"Mendelev","given":"M I"},{"family":"Zhang","given":"F"},{"family":"Ye","given":"Z"},{"family":"Sun","given":"Y"},{"family":"Nguyen","given":"M C"},{"family":"Wilson","given":"S R"},{"family":"Wang","given":"C Z"},{"family":"Ho","given":"K M"}],"issued":{"date-parts":[["2015",4,23]]}},"label":"page"},{"id":1210,"uris":["http://zotero.org/users/5159096/items/9DH6VXRT"],"itemData":{"id":1210,"type":"article-journal","container-title":"JOM","DOI":"10.1007/s11837-021-04733-8","ISSN":"1047-4838, 1543-1851","issue":"8","journalAbbreviation":"JOM","language":"en","page":"2312-2319","source":"DOI.org (Crossref)","title":"Molecular Dynamics Study of Mechanism of Solid–Liquid Interface Migration and Defect Formation in Al3Sm Alloy","volume":"73","author":[{"family":"Song","given":"H."},{"family":"Mendelev","given":"M. I."}],"issued":{"date-parts":[["2021",8]]}}},{"id":1099,"uris":["http://zotero.org/users/5159096/items/QI6XY63Z"],"itemData":{"id":1099,"type":"article-journal","abstract":"Interatomic potentials of the embedded-atom type were developed for the Nb–Al system via an empirical ﬁtting to the properties of A15 Nb3Al. The cohesive energy and lattice parameters are ﬁtted by the potentials, which also give good agreement with experimental values for the same properties in the D022 NbAl3 phase. A second interatomic potential was developed for the Nb–Ti system via a ﬁtting to the lattice parameters and thermodynamic properties of the disordered BCC phase. The Al and Ti potentials used here are the same as those used in our previous work to derive Ti–Al potentials based on TiAl. This allows the use of the present potentials in conjunction with those previously derived interactions to study ternary Nb–Ti–Al alloys. The potentials were used to calculate the heats of solution of Al and Ti in Nb, and to simulate the Ti2NbAl orthorhombic phase.","container-title":"Modelling and Simulation in Materials Science and Engineering","DOI":"10.1088/0965-0393/4/1/004","ISSN":"0965-0393, 1361-651X","issue":"1","journalAbbreviation":"Modelling Simul. Mater. Sci. Eng.","language":"en","page":"23-32","source":"DOI.org (Crossref)","title":"Interatomic potentials for ternary Nb - Ti - Al alloys","volume":"4","author":[{"family":"Farkas","given":"Diana"},{"family":"Jones","given":"Chris"}],"issued":{"date-parts":[["1996",1,1]]}}},{"id":1100,"uris":["http://zotero.org/users/5159096/items/94GEP9UX"],"itemData":{"id":1100,"type":"article-journal","container-title":"Physical Review B","DOI":"10.1103/PhysRevB.68.024102","ISSN":"0163-1829, 1095-3795","issue":"2","journalAbbreviation":"Phys. Rev. B","language":"en","page":"024102","source":"DOI.org (Crossref)","title":"Interatomic potentials for atomistic simulations of the Ti-Al system","volume":"68","author":[{"family":"Zope","given":"Rajendra R."},{"family":"Mishin","given":"Y."}],"issued":{"date-parts":[["2003",7,14]]}}},{"id":2444,"uris":["http://zotero.org/users/5159096/items/2VKGYR8A","http://zotero.org/users/5159096/items/JXZ2RC9F"],"itemData":{"id":2444,"type":"article-journal","abstract":"High Entropy Alloys (HEA) attract attention as possible radiation resistant materials, a feature observed in some experiments that has been attributed to several unique properties of HEA, in particular to the disorder-induced reduced thermal conductivity and to the peculiar defect properties originating from the chemical complexity. To explore the origin of such behavior we study the early stages (less than 0.1 ns), of radiation damage response of a HEA using molecular dynamics simulations of collision cascades induced by primary knock-on atoms (PKA) with 10, 20 and 40 keV, at room temperature, on an idealized model equiatomic quinary fcc FeNiCrCoCu alloy, the corresponding “Average Atom” (AA) material, and on pure Ni. We include accurate corrections to describe short-range atomic interactions during the cascade. In all cases the average number of defects in the HEA is lower than for pure Ni, which has been previously used to help claiming that HEA is radiation resistant. However, simulated defect evolution during primary damage, including the number of surviving Frenkel Pairs, and the defect cluster size distributions are nearly the same in all cases, within our statistical uncertainty. The number of surviving FP in the alloy is predicted fairly well by analytical models of defect production in pure materials. All of this indicates that the origin of radiation resistance in HEAs as observed in experiments may not be related to a reduction in primary damage due to chemical disorder, but is probably caused by longer-time defect evolution.","container-title":"Acta Materialia","DOI":"10.1016/j.actamat.2021.116951","ISSN":"1359-6454","journalAbbreviation":"Acta Materialia","page":"116951","title":"Simulations of primary damage in a High Entropy Alloy: Probing enhanced radiation resistance","volume":"213","author":[{"family":"Deluigi","given":"O.R."},{"family":"Pasianot","given":"R.C."},{"family":"Valencia","given":"F.J."},{"family":"Caro","given":"A."},{"family":"Farkas","given":"D."},{"family":"Bringa","given":"E.M."}],"issued":{"date-parts":[["2021",7,1]]}}},{"id":633,"uris":["http://zotero.org/users/5159096/items/TJY82R34"],"itemData":{"id":633,"type":"article-journal","abstract":"A set of embedded atom method model interatomic potentials is presented to represent a high-entropy alloy with five components. The set is developed to resemble but not model precisely face-centered cubic (fcc) near-equiatomic mixtures of Fe–Ni–Cr–Co–Cu. The individual components have atomic sizes deviating up to 3%. With the heats of mixing of all binary equiatomic random fcc mixtures being less than 0.7 kJ/mol and the corresponding value for the quinary being −0.0002 kJ/mol, the potentials predict the random equiatomic fcc quinary mixture to be stable with respect to phase separation or ordering and with respect to bcc and hcp random mixtures. The details of lattice distortion, strain, and stress states in this phase are reported. The standard deviation in the individual nearest neighbor bond lengths was found to be in the range of 2%. Most importantly, individual atoms in the alloy were found to be under atomic strains up to 0.5%, corresponding to individual atomic stresses up to several GPa.","archive":"Cambridge Core","container-title":"Journal of Materials Research","DOI":"10.1557/jmr.2018.245","ISSN":"0884-2914","issue":"19","note":"edition: 2018/08/06\npublisher: Cambridge University Press","page":"3218-3225","source":"Cambridge University Press","title":"Model interatomic potentials and lattice strain in a high-entropy alloy","volume":"33","author":[{"family":"Farkas","given":"Diana"},{"family":"Caro","given":"Alfredo"}],"issued":{"date-parts":[["2018"]]}}},{"id":627,"uris":["http://zotero.org/users/5159096/items/KDKSZ2P4"],"itemData":{"id":627,"type":"article-journal","container-title":"Philosophical Magazine","DOI":"10.1080/14786430903299824","ISSN":"1478-6435","issue":"34-36","journalAbbreviation":"Philosophical Magazine","note":"publisher: Taylor &amp; Francis","page":"3531-3546","title":"Ternary Fe–Cu–Ni many-body potential to model reactor pressure vessel steels: First validation by simulated thermal annealing","volume":"89","author":[{"family":"Bonny","given":"G."},{"family":"Pasianot","given":"R.C."},{"family":"Castin","given":"N."},{"family":"Malerba","given":"L."}],"issued":{"date-parts":[["2009",12,1]]}},"label":"page"},{"id":903,"uris":["http://zotero.org/users/5159096/items/Z893885N"],"itemData":{"id":903,"type":"article-journal","abstract":"In this atomistic study on the copperenickel system, a new embedded-atom alloy potential between copper and nickel is ﬁtted to experimental data on the mixing enthalpy, taking available potentials for the pure components from literature. The resulting phase boundaries of the new potential are in very good agreement with a recent CALPHAD prediction. Using this new potential, a high angle symmetrical tilt S5 and a coherent S3 twin grain boundary (GB) are chosen for a systematic investigation of equilibrium GB segregation in the semi-grandcanonical ensemble at temperatures from 400 K to 800 K. Applying thermodynamically accurate integration techniques, the GB formation energies are calculated exactly and as an absolute value for every temperature and composition, which also enables the evaluation of GB excess entropies. The thorough thermodynamic model of GBs developed by Frolov and Mishin is excellently conﬁrmed by the simulations quantitatively, if the impact of both segregation and GB tension on the change in GB formation energy is accounted for. In the case of the S3 coherent GB, it turns out that the change in GB formation energy at low temperatures is for the most part attributed to the GB tension, while segregation only has a small inﬂuence. This demonstrated effect of GB tensions should also be taken into account in the interpretation of experiments.","container-title":"Acta Materialia","DOI":"10.1016/j.actamat.2019.06.027","ISSN":"13596454","journalAbbreviation":"Acta Materialia","language":"en","page":"220-231","source":"DOI.org (Crossref)","title":"A systematic study of grain boundary segregation and grain boundary formation energy using a new copper–nickel embedded-atom potential","volume":"176","author":[{"family":"Fischer","given":"F."},{"family":"Schmitz","given":"G."},{"family":"Eich","given":"S.M."}],"issued":{"date-parts":[["2019",9]]}},"label":"page"},{"id":882,"uris":["http://zotero.org/users/5159096/items/6LY8Q3PN"],"itemData":{"id":882,"type":"article-journal","container-title":"Physical Review B","DOI":"10.1103/PhysRevB.32.7685","ISSN":"0163-1829","issue":"12","journalAbbreviation":"Phys. Rev. B","language":"en","page":"7685-7693","source":"DOI.org (Crossref)","title":"Calculation of the surface segregation of Ni-Cu alloys with the use of the embedded-atom method","volume":"32","author":[{"family":"Foiles","given":"S. M."}],"issued":{"date-parts":[["1985",12,15]]}}},{"id":1110,"uris":["http://zotero.org/users/5159096/items/JPXIKIXF"],"itemData":{"id":1110,"type":"article-journal","abstract":"We have developed a semi-empirical and many-body type model potential using a modified charge density profile for Cu–Ni alloys based on the embedded-atom method (EAM) formalism with an improved optimization technique. The potential is determined by fitting to experimental and first-principles data for Cu, Ni and Cu–Ni binary compounds, such as lattice constants, cohesive energies, bulk modulus, elastic constants, diatomic bond lengths and bond energies. The generated potentials were tested by computing a variety of properties of pure elements and the alloy of Cu, Ni: the melting points, alloy mixing enthalpy, lattice specific heat, equilibrium lattice structures, vacancy formation and interstitial formation energies, and various diffusion barriers on the (100) and (111) surfaces of Cu and Ni.","container-title":"Journal of Physics: Condensed Matter","DOI":"10.1088/0953-8984/26/3/035404","ISSN":"0953-8984","issue":"3","note":"publisher: IOP Publishing","page":"035404","title":"An optimized interatomic potential for Cu–Ni alloys with the embedded-atom method","volume":"26","author":[{"family":"Onat","given":"Berk"},{"family":"Durukanoğlu","given":"Sondan"}],"issued":{"date-parts":[["2013",12,18]]}}},{"id":626,"uris":["http://zotero.org/users/5159096/items/YHUDCBDJ"],"itemData":{"id":626,"type":"article-journal","abstract":"A simple procedure is used to formulate a Cu–Pb pair interaction function within the embedded atom (EAM) method framework. Embedding, density and pair functions for pure Cu and pure Pb are taken from previously published EAM studies. Optimization of the Cu–Pb potential was achieved by comparing with experiment the computed heats of mixing for Cu–Pb liquid alloys and the equilibrium phase diagram, the latter being determined via a thermodynamic integration technique. The topology of the temperature-composition phase diagram computed with this EAM potential is consistent with experiment and features a liquid–liquid miscibility gap, low solubility of Pb in solid Cu and a monotectic reaction at approximately 1012 K.","container-title":"Modelling and Simulation in Materials Science and Engineering","DOI":"10.1088/0965-0393/11/3/302","ISSN":"0965-0393","issue":"3","note":"publisher: IOP Publishing","page":"287-299","title":"An embedded atom method interatomic potential for the Cu Pb system","volume":"11","author":[{"family":"Hoyt","given":"J J"},{"family":"Garvin","given":"J W"},{"family":"Webb","given":"E B"},{"family":"Asta","given":"Mark"}],"issued":{"date-parts":[["2003",2,24]]}},"label":"page"},{"id":624,"uris":["http://zotero.org/users/5159096/items/7WSS4RCB"],"itemData":{"id":624,"type":"article-journal","abstract":"Dislocation nucleation from grain boundaries (GB) can control plastic deformation in nano-crystalline metals under certain conditions, but little is known about what controls dislocation nucleation, because when data from different materials are compared, the variations of many interacting properties tend to obscure the effects of any single property. In this study, we seek clarification by applying a unique capability of semi-empirical potentials in molecular dynamics simulations: the potentials can be modified such that all significant material properties but one, are kept constant. Using a set of potentials developed to isolate the effects of stacking fault energy, we show that for a given grain boundary, loading orientation and strain rate, the yield stress depends linearly on both the stable and unstable stacking fault energies. The coefficients of proportionality depend on the GB structure and the value of the yield stress is related to the density of the E structural units in the GB. While the impact of the stable stacking fault energy is easy to understand, the unstable stacking fault energy requires more elucidation and we provide a framework for understanding how it affects the nucleation and propagation process.","container-title":"Modelling and Simulation in Materials Science and Engineering","DOI":"10.1088/0965-0393/24/8/085017","ISSN":"0965-0393","issue":"8","note":"publisher: IOP Publishing","page":"085017","title":"Effects of stable and unstable stacking fault energy on dislocation nucleation in nano-crystalline metals","volume":"24","author":[{"family":"Borovikov","given":"Valery"},{"family":"Mendelev","given":"Mikhail I"},{"family":"King","given":"Alexander H"}],"issued":{"date-parts":[["2016",11,9]]}},"label":"page"},{"id":1096,"uris":["http://zotero.org/users/5159096/items/TMZPRVQ3"],"itemData":{"id":1096,"type":"article-journal","container-title":"Physical Review B","DOI":"10.1103/PhysRevB.78.014207","ISSN":"1098-0121, 1550-235X","issue":"1","journalAbbreviation":"Phys. Rev. B","language":"en","page":"014207","source":"DOI.org (Crossref)","title":"Relationship between structure, dynamics, and mechanical properties in metallic glass-forming alloys","volume":"78","author":[{"family":"Cheng","given":"Y. Q."},{"family":"Sheng","given":"H. W."},{"family":"Ma","given":"E."}],"issued":{"date-parts":[["2008",7,30]]}}},{"id":1119,"uris":["http://zotero.org/users/5159096/items/XT5SC4XR"],"itemData":{"id":1119,"type":"article-journal","container-title":"Journal of Applied Physics","DOI":"10.1063/1.2769157","ISSN":"0021-8979, 1089-7550","issue":"4","journalAbbreviation":"Journal of Applied Physics","language":"en","page":"043501","source":"DOI.org (Crossref)","title":"Using atomistic computer simulations to analyze x-ray diffraction data from metallic glasses","volume":"102","author":[{"family":"Mendelev","given":"M. I."},{"family":"Sordelet","given":"D. J."},{"family":"Kramer","given":"M. J."}],"issued":{"date-parts":[["2007",8,15]]}}},{"id":1105,"uris":["http://zotero.org/users/5159096/items/Y6JSBDRE"],"itemData":{"id":1105,"type":"article-journal","container-title":"Philosophical Magazine","DOI":"10.1080/14786430902832773","ISSN":"1478-6435, 1478-6443","issue":"11","journalAbbreviation":"Philosophical Magazine","language":"en","page":"967-987","source":"DOI.org (Crossref)","title":"Development of suitable interatomic potentials for simulation of liquid and amorphous Cu–Zr alloys","volume":"89","author":[{"family":"Mendelev","given":"M.I."},{"family":"Kramer","given":"M.J."},{"family":"Ott","given":"R.T."},{"family":"Sordelet","given":"D.J."},{"family":"Yagodin","given":"D."},{"family":"Popel","given":"P."}],"issued":{"date-parts":[["2009",4,11]]}},"label":"page"},{"id":2418,"uris":["http://zotero.org/users/5159096/items/MVNMVHXL","http://zotero.org/users/5159096/items/I2UNLX46","http://zotero.org/users/5159096/items/TU8DBV59"],"itemData":{"id":2418,"type":"article-journal","abstract":"The embedded atom method (EAM) potentials for the Ni/Al/H system as previously published contain errors. The corrected potentials are presented here.","container-title":"Modelling and Simulation in Materials Science and Engineering","DOI":"10.1088/0965-0393/5/6/007","ISSN":"0965-0393","issue":"6","page":"651","title":"Trapping of hydrogen to lattice defects in nickel","volume":"5","author":[{"literal":"M.I. Baskes"},{"literal":"X. Sha"},{"literal":"J.E. Angelo"},{"literal":"N.R. Moody"}],"issued":{"date-parts":[["1997",11,1]]}}},{"id":885,"uris":["http://zotero.org/users/5159096/items/YH77NSIA"],"itemData":{"id":885,"type":"article-journal","container-title":"Journal of Applied Physics","DOI":"10.1063/1.4942533","ISSN":"0021-8979","issue":"8","journalAbbreviation":"Journal of Applied Physics","note":"publisher: American Institute of Physics","page":"085901","title":"Features of primary damage by high energy displacement cascades in concentrated Ni-based alloys","volume":"119","author":[{"family":"Béland","given":"Laurent Karim"},{"family":"Lu","given":"Chenyang"},{"family":"Osetskiy","given":"Yuri N."},{"family":"Samolyuk","given":"German D."},{"family":"Caro","given":"Alfredo"},{"family":"Wang","given":"Lumin"},{"family":"Stoller","given":"Roger E."}],"issued":{"date-parts":[["2016",2,25]]}}},{"id":1097,"uris":["http://zotero.org/users/5159096/items/MIPFFDX7"],"itemData":{"id":1097,"type":"article-journal","container-title":"Nature Communications","DOI":"10.1038/s41467-019-11464-7","ISSN":"2041-1723","issue":"1","journalAbbreviation":"Nat Commun","language":"en","page":"3563","source":"DOI.org (Crossref)","title":"Strengthening in multi-principal element alloys with local-chemical-order roughened dislocation pathways","volume":"10","author":[{"family":"Li","given":"Qing-Jie"},{"family":"Sheng","given":"Howard"},{"family":"Ma","given":"Evan"}],"issued":{"date-parts":[["2019",12]]}},"label":"page"},{"id":616,"uris":["http://zotero.org/users/5159096/items/7KQ56NX5"],"itemData":{"id":616,"type":"article-journal","abstract":"The predictive power of a classical molecular dynamics simulation is largely determined by the physical validity of its underlying empirical potential. In the case of high-energy collision cascades, it was recently shown that correctly modeling interactions at short distances is necessary to accurately predict primary damage production. An ab initio based framework is introduced for modifying an existing embedded-atom method FeNiCr potential to handle these short-range interactions. Density functional theory is used to calculate the energetics of two atoms approaching each other, embedded in the alloy, and to calculate the equation of state of the alloy as it is compressed. The pairwise terms and the embedding terms of the potential are modified in accordance with the ab initio results. Using this reparametrized potential, collision cascades are performed in Ni50Fe50, Ni80Cr20 and Ni33Fe33Cr33. The simulations reveal that alloying Ni and NiCr to Fe reduces primary damage production, in agreement with some previous calculations. Alloying Ni and NiFe to Cr does not reduce primary damage production, in contradiction with previous calculations.","container-title":"Computer Physics Communications","DOI":"10.1016/j.cpc.2017.05.001","ISSN":"0010-4655","journalAbbreviation":"Computer Physics Communications","page":"11-19","title":"Accurate classical short-range forces for the study of collision cascades in Fe–Ni–Cr","volume":"219","author":[{"family":"Béland","given":"Laurent Karim"},{"family":"Tamm","given":"Artur"},{"family":"Mu","given":"Sai"},{"family":"Samolyuk","given":"German D."},{"family":"Osetsky","given":"Yuri N."},{"family":"Aabloo","given":"Alvo"},{"family":"Klintenberg","given":"Mattias"},{"family":"Caro","given":"Alfredo"},{"family":"Stoller","given":"Roger E."}],"issued":{"date-parts":[["2017",10,1]]}}},{"id":618,"uris":["http://zotero.org/users/5159096/items/YQVM8G56"],"itemData":{"id":618,"type":"article-journal","abstract":"Austenitic stainless steels are commonly used materials for in-core components of nuclear light water reactors. In service, such components are exposed to harsh conditions: intense neutron irradiation, mechanical and thermal stresses, and aggressive corrosion environment which all contribute to the components' degradation. For a better understanding of the prevailing mechanisms responsible for the materials degradation, large-scale atomistic simulations are desirable. In this framework we developed an embedded atom method type interatomic potential for the ternary FeNiCr system to model movement of dislocations and their interaction with radiation defects. Special attention has been drawn to the Fe–10Ni–20Cr alloy, whose properties were ensured to be close to those of 316L austenitic stainless steel. In particular, the stacking fault energy and elastic constants are well reproduced. The fcc phase for the Fe–10Ni–20Cr random alloy was proven to be stable in the temperature range 0–900 K and under shear strain up to 5%. For the same alloy the stable glide of screw dislocations and stability of Frank loops was confirmed.","container-title":"Modelling and Simulation in Materials Science and Engineering","DOI":"10.1088/0965-0393/19/8/085008","ISSN":"0965-0393","issue":"8","note":"publisher: IOP Publishing","page":"085008","title":"Interatomic potential to study plasticity in stainless steels: the FeNiCr model alloy","volume":"19","author":[{"family":"Bonny","given":"G"},{"family":"Terentyev","given":"D"},{"family":"Pasianot","given":"R C"},{"family":"Poncé","given":"S"},{"family":"Bakaev","given":"A"}],"issued":{"date-parts":[["2011",11,3]]}}},{"id":617,"uris":["http://zotero.org/users/5159096/items/D3JIYBGV"],"itemData":{"id":617,"type":"article-journal","abstract":"The degradation of austenitic stainless steels in a radiation environment is a known problem for the in-core components of nuclear light water reactors. For a better understanding of the prevailing mechanisms responsible for the materials' degradation, large-scale atomistic simulations are desirable. In this framework and as a follow-up on Bonny et al (2011 Modelling Simul. Mater. Sci. Eng. 19 085008), we developed an embedded atom method type interatomic potential for the ternary FeNiCr system to model the production and evolution of radiation defects. Special attention has been drawn to the Fe10Ni20Cr alloy, whose properties were ensured to be close to those of 316L austenitic stainless steels. The potential is extensively benchmarked against density functional theory calculations and the potential developed in our earlier work. As a first validation, the potential is used in AKMC simulations to simulate thermal annealing experiments in order to determine the self-diffusion coefficients of the components in FeNiCr alloys around the Fe10Ni20Cr composition. The results from these simulations are consistent with experiments, i.e., DCr &gt; DNi &gt; DFe.","container-title":"Modelling and Simulation in Materials Science and Engineering","DOI":"10.1088/0965-0393/21/8/085004","ISSN":"0965-0393","issue":"8","note":"publisher: IOP Publishing","page":"085004","title":"Interatomic potential for studying ageing under irradiation in stainless steels: the FeNiCr model alloy","volume":"21","author":[{"family":"Bonny","given":"G"},{"family":"Castin","given":"N"},{"family":"Terentyev","given":"D"}],"issued":{"date-parts":[["2013",10,23]]}}},{"id":630,"uris":["http://zotero.org/users/5159096/items/VWD4BWHH"],"itemData":{"id":630,"type":"article-journal","abstract":"Fe-Ni-Cr stainless-steels are important structural materials because of their superior strength and corrosion resistance. Atomistic studies of mechanical properties of stainless-steels, however, have been limited by the lack of high-fidelity interatomic potentials. Here using density functional theory as a guide, we have developed a new Fe-Ni-Cr embedded atom method potential. We demonstrate that our potential enables stable molecular dynamics simulations of stainless-steel alloys at high temperatures, accurately reproduces the stacking fault energy?known to strongly influence the mode of plastic deformation (e.g., twinning vs. dislocation glide vs. cross-slip)?of these alloys over a range of compositions, and gives reasonable elastic constants, energies, and volumes for various compositions. The latter are pertinent for determining short-range order and solute strengthening effects. Our results suggest that our potential is suitable for studying mechanical properties of austenitic and ferritic stainless-steels which have vast implementation in the scientific and industrial communities. Published 2018. This article is a U.S. Government work and is in the public domain in the USA.","container-title":"Journal of Computational Chemistry","DOI":"10.1002/jcc.25573","ISSN":"0192-8651","issue":"29","journalAbbreviation":"Journal of Computational Chemistry","note":"publisher: John Wiley &amp; Sons, Ltd","page":"2420-2431","title":"An Fe-Ni-Cr embedded atom method potential for austenitic and ferritic systems","volume":"39","author":[{"family":"Zhou","given":"Xiaowang W."},{"family":"Foster","given":"Michael E."},{"family":"Sills","given":"Ryan B."}],"issued":{"date-parts":[["2018",11,5]]}}},{"id":1103,"uris":["http://zotero.org/users/5159096/items/QX7RMHZV"],"itemData":{"id":1103,"type":"article-journal","container-title":"The Journal of Chemical Physics","DOI":"10.1063/1.4968212","ISSN":"0021-9606, 1089-7690","issue":"20","journalAbbreviation":"J. Chem. Phys.","language":"en","page":"204505","source":"DOI.org (Crossref)","title":"Experimental and molecular dynamics simulation study of structure of liquid and amorphous Ni62Nb38 alloy","volume":"145","author":[{"family":"Zhang","given":"Y."},{"family":"Ashcraft","given":"R."},{"family":"Mendelev","given":"M.I."},{"family":"Wang","given":"C. Z."},{"family":"Kelton","given":"K. F."}],"issued":{"date-parts":[["2016",11,28]]}},"label":"page"},{"id":615,"uris":["http://zotero.org/users/5159096/items/TH6EWPMC"],"itemData":{"id":615,"type":"article-journal","abstract":"Energy transfer between lattice atoms and electrons is an important channel of energy dissipation during displacement cascade evolution in irradiated materials. On the assumption of small atomic displacements, the intensity of this transfer is controlled by the strength of electron–phonon (el–ph) coupling. The el–ph coupling in concentrated Ni-based alloys was calculated using electronic structure results obtained within the coherent potential approximation. It was found that Ni0.5Fe0.5, Ni0.5Co0.5 and Ni0.5Pd0.5 are ordered ferromagnetically, whereas Ni0.5Cr0.5 is nonmagnetic. Since the magnetism in these alloys has a Stoner-type origin, the magnetic ordering is accompanied by a decrease of electronic density of states at the Fermi level, which in turn reduces the el–ph coupling. Thus, the el–ph coupling values for all alloys are approximately 50% smaller in the magnetic state than for the same alloy in a nonmagnetic state. As the temperature increases, the calculated coupling initially increases. After passing the Curie temperature, the coupling decreases. The rate of decrease is controlled by the shape of the density of states above the Fermi level. Introducing a two-temperature model based on these parameters in 10 keV molecular dynamics cascade simulation increases defect production by 10–20% in the alloys under consideration.","container-title":"Journal of Physics: Condensed Matter","DOI":"10.1088/0953-8984/28/17/175501","ISSN":"0953-8984","issue":"17","note":"publisher: IOP Publishing","page":"175501","title":"Electron–phonon coupling in Ni-based binary alloys with application to displacement cascade modeling","volume":"28","author":[{"family":"Samolyuk","given":"G D"},{"family":"Béland","given":"L K"},{"family":"Stocks","given":"G M"},{"family":"Stoller","given":"R E"}],"issued":{"date-parts":[["2016",4,1]]}},"label":"page"},{"id":992,"uris":["http://zotero.org/users/5159096/items/D6JS3J7L"],"itemData":{"id":992,"type":"article-journal","container-title":"JOM","DOI":"10.1007/s11837-012-0360-y","ISSN":"1047-4838, 1543-1851","issue":"7","journalAbbreviation":"JOM","language":"en","page":"856-881","source":"DOI.org (Crossref)","title":"Relating Dynamic Properties to Atomic Structure in Metallic Glasses","volume":"64","author":[{"family":"Sheng","given":"H. W."},{"family":"Ma","given":"E."},{"family":"Kramer","given":"M. J."}],"issued":{"date-parts":[["2012",7]]}}},{"id":1117,"uris":["http://zotero.org/users/5159096/items/KAJM7WV8"],"itemData":{"id":1117,"type":"article-journal","abstract":"In order to investigate the Ni-enriched Ni–W solid solution at an atomic level, an n-body Ni–W potential was ﬁrstly derived based on the cohesion energies, lattice constants and bulk moduli of four Ni–W non-equilibrium solid phases obtained by ion mixing experiment or ab initio calculation. Based on the derived potential, molecular dynamics simulation was then performed to examine the correlation of the lattice constant of the Ni–W solid solution vs. the W concentration and the results were in good agreement with the experimental data. © 2002 Elsevier Science B.V. All rights reserved.","container-title":"Journal of Alloys and Compounds","DOI":"10.1016/S0925-8388(01)01932-6","ISSN":"09258388","issue":"1-2","journalAbbreviation":"Journal of Alloys and Compounds","language":"en","page":"143-147","source":"DOI.org (Crossref)","title":"Correlation of lattice constant versus tungsten concentration of the Ni-based solid solution examined by molecular dynamics simulation","volume":"337","author":[{"family":"Kong","given":"L.T."},{"family":"Liu","given":"J.B."},{"family":"Lal","given":"W.S."},{"family":"Liu","given":"B.X."}],"issued":{"date-parts":[["2002",5]]}},"label":"page"},{"id":613,"uris":["http://zotero.org/users/5159096/items/5CYM67AQ"],"itemData":{"id":613,"type":"article-journal","container-title":"Philosophical Magazine","DOI":"10.1080/14786435.2012.712220","ISSN":"1478-6435","issue":"35","journalAbbreviation":"Philosophical Magazine","note":"publisher: Taylor &amp; Francis","page":"4454-4469","title":"Development of interatomic potentials appropriate for simulation of liquid and glass properties of NiZr2 alloy","volume":"92","author":[{"family":"Mendelev","given":"M.I."},{"family":"Kramer","given":"M.J."},{"family":"Hao","given":"S.G."},{"family":"Ho","given":"K.M."},{"family":"Wang","given":"C.Z."}],"issued":{"date-parts":[["2012",12,11]]}},"label":"page"},{"id":612,"uris":["http://zotero.org/users/5159096/items/AGBHI7IW"],"itemData":{"id":612,"type":"article-journal","container-title":"Philosophical Magazine","DOI":"10.1080/14786435.2014.995742","ISSN":"1478-6435","issue":"2","journalAbbreviation":"Philosophical Magazine","note":"publisher: Taylor &amp; Francis","page":"224-241","title":"Anisotropy of the solid–liquid interface properties of the Ni–Zr B33 phase from molecular dynamics simulation","volume":"95","author":[{"family":"Wilson","given":"S.R."},{"family":"Mendelev","given":"M.I."}],"issued":{"date-parts":[["2015",1,12]]}},"label":"page"}],"schema":"https://github.com/citation-style-language/schema/raw/master/csl-citation.json"} </w:instrText>
      </w:r>
      <w:r w:rsidR="00E31538">
        <w:rPr>
          <w:rFonts w:ascii="Times New Roman" w:eastAsiaTheme="minorEastAsia" w:hAnsi="Times New Roman" w:cs="Times New Roman"/>
          <w:szCs w:val="24"/>
        </w:rPr>
        <w:fldChar w:fldCharType="separate"/>
      </w:r>
      <w:r w:rsidR="00C2226C" w:rsidRPr="00C2226C">
        <w:rPr>
          <w:rFonts w:ascii="Times New Roman" w:hAnsi="Times New Roman" w:cs="Times New Roman"/>
          <w:kern w:val="0"/>
          <w:szCs w:val="24"/>
          <w:vertAlign w:val="superscript"/>
        </w:rPr>
        <w:t>8–54</w:t>
      </w:r>
      <w:r w:rsidR="00E31538">
        <w:rPr>
          <w:rFonts w:ascii="Times New Roman" w:eastAsiaTheme="minorEastAsia" w:hAnsi="Times New Roman" w:cs="Times New Roman"/>
          <w:szCs w:val="24"/>
        </w:rPr>
        <w:fldChar w:fldCharType="end"/>
      </w:r>
      <w:r>
        <w:rPr>
          <w:rFonts w:ascii="Times New Roman" w:eastAsiaTheme="minorEastAsia" w:hAnsi="Times New Roman" w:cs="Times New Roman"/>
          <w:szCs w:val="24"/>
        </w:rPr>
        <w:t xml:space="preserve">, </w:t>
      </w:r>
      <w:r w:rsidR="00E0488E">
        <w:rPr>
          <w:rFonts w:ascii="Times New Roman" w:eastAsiaTheme="minorEastAsia" w:hAnsi="Times New Roman" w:cs="Times New Roman"/>
          <w:szCs w:val="24"/>
        </w:rPr>
        <w:t>several potentials</w:t>
      </w:r>
      <w:r w:rsidR="005F0A8F">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{"citationID":"z0noPNUy","properties":{"formattedCitation":"\\super 11,17,36,39\\nosupersub{}","plainCitation":"11,17,36,39","noteIndex":0},"citationItems":[{"id":1220,"uris":["http://zotero.org/users/5159096/items/B6J89CJ9"],"itemData":{"id":1220,"type":"article-journal","container-title":"Physical Review B","DOI":"10.1103/PhysRevB.81.140204","ISSN":"1098-0121, 1550-235X","issue":"14","journalAbbreviation":"Phys. Rev. B","language":"en","page":"140204","source":"DOI.org (Crossref)","title":"Coupling between chemical and dynamic heterogeneities in a multicomponent bulk metallic glass","volume":"81","author":[{"family":"Fujita","given":"T."},{"family":"Guan","given":"P. F."},{"family":"Sheng","given":"H. W."},{"family":"Inoue","given":"A."},{"family":"Sakurai","given":"T."},{"family":"Chen","given":"M. W."}],"issued":{"date-parts":[["2010",4,28]]}}},{"id":1109,"uris":["http://zotero.org/users/5159096/items/R4K69UDL"],"itemData":{"id":1109,"type":"article-journal","container-title":"Physical Review Letters","DOI":"10.1103/PhysRevLett.102.245501","ISSN":"0031-9007, 1079-7114","issue":"24","journalAbbreviation":"Phys. Rev. Lett.","language":"en","page":"245501","source":"DOI.org (Crossref)","title":"Atomic Level Structure in Multicomponent Bulk Metallic Glass","volume":"102","author":[{"family":"Cheng","given":"Y. Q."},{"family":"Ma","given":"E."},{"family":"Sheng","given":"H. W."}],"issued":{"date-parts":[["2009",6,17]]}}},{"id":1110,"uris":["http://zotero.org/users/5159096/items/JPXIKIXF"],"itemData":{"id":1110,"type":"article-journal","abstract":"We have developed a semi-empirical and many-body type model potential using a modified charge density profile for Cu–Ni alloys based on the embedded-atom method (EAM) formalism with an improved optimization technique. The potential is determined by fitting to experimental and first-principles data for Cu, Ni and Cu–Ni binary compounds, such as lattice constants, cohesive energies, bulk modulus, elastic constants, diatomic bond lengths and bond energies. The generated potentials were tested by computing a variety of properties of pure elements and the alloy of Cu, Ni: the melting points, alloy mixing enthalpy, lattice specific heat, equilibrium lattice structures, vacancy formation and interstitial formation energies, and various diffusion barriers on the (100) and (111) surfaces of Cu and Ni.","container-title":"Journal of Physics: Condensed Matter","DOI":"10.1088/0953-8984/26/3/035404","ISSN":"0953-8984","issue":"3","note":"publisher: IOP Publishing","page":"035404","title":"An optimized interatomic potential for Cu–Ni alloys with the embedded-atom method","volume":"26","author":[{"family":"Onat","given":"Berk"},{"family":"Durukanoğlu","given":"Sondan"}],"issued":{"date-parts":[["2013",12,18]]}}},{"id":1096,"uris":["http://zotero.org/users/5159096/items/TMZPRVQ3"],"itemData":{"id":1096,"type":"article-journal","container-title":"Physical Review B","DOI":"10.1103/PhysRevB.78.014207","ISSN":"1098-0121, 1550-235X","issue":"1","journalAbbreviation":"Phys. Rev. B","language":"en","page":"014207","source":"DOI.org (Crossref)","title":"Relationship between structure, dynamics, and mechanical properties in metallic glass-forming alloys","volume":"78","author":[{"family":"Cheng","given":"Y. Q."},{"family":"Sheng","given":"H. W."},{"family":"Ma","given":"E."}],"issued":{"date-parts":[["2008",7,30]]}}}],"schema":"https://github.com/citation-style-language/schema/raw/master/csl-citation.json"} </w:instrText>
      </w:r>
      <w:r w:rsidR="005F0A8F">
        <w:rPr>
          <w:rFonts w:ascii="Times New Roman" w:eastAsiaTheme="minorEastAsia" w:hAnsi="Times New Roman" w:cs="Times New Roman"/>
          <w:szCs w:val="24"/>
        </w:rPr>
        <w:fldChar w:fldCharType="separate"/>
      </w:r>
      <w:r w:rsidR="00C2226C" w:rsidRPr="00C2226C">
        <w:rPr>
          <w:rFonts w:ascii="Times New Roman" w:hAnsi="Times New Roman" w:cs="Times New Roman"/>
          <w:kern w:val="0"/>
          <w:szCs w:val="24"/>
          <w:vertAlign w:val="superscript"/>
        </w:rPr>
        <w:t>11,17,36,39</w:t>
      </w:r>
      <w:r w:rsidR="005F0A8F">
        <w:rPr>
          <w:rFonts w:ascii="Times New Roman" w:eastAsiaTheme="minorEastAsia" w:hAnsi="Times New Roman" w:cs="Times New Roman"/>
          <w:szCs w:val="24"/>
        </w:rPr>
        <w:fldChar w:fldCharType="end"/>
      </w:r>
      <w:r w:rsidR="00E0488E">
        <w:rPr>
          <w:rFonts w:ascii="Times New Roman" w:eastAsiaTheme="minorEastAsia" w:hAnsi="Times New Roman" w:cs="Times New Roman"/>
          <w:szCs w:val="24"/>
        </w:rPr>
        <w:t xml:space="preserve"> did not reach </w:t>
      </w:r>
      <w:r w:rsidR="005F5489">
        <w:rPr>
          <w:rFonts w:ascii="Times New Roman" w:eastAsiaTheme="minorEastAsia" w:hAnsi="Times New Roman" w:cs="Times New Roman"/>
          <w:szCs w:val="24"/>
        </w:rPr>
        <w:t xml:space="preserve">the </w:t>
      </w:r>
      <w:r w:rsidR="00E0488E">
        <w:rPr>
          <w:rFonts w:ascii="Times New Roman" w:eastAsiaTheme="minorEastAsia" w:hAnsi="Times New Roman" w:cs="Times New Roman"/>
          <w:szCs w:val="24"/>
        </w:rPr>
        <w:t>force convergence criterion and</w:t>
      </w:r>
      <w:r w:rsidR="00006B3D">
        <w:rPr>
          <w:rFonts w:ascii="Times New Roman" w:eastAsiaTheme="minorEastAsia" w:hAnsi="Times New Roman" w:cs="Times New Roman"/>
          <w:szCs w:val="24"/>
        </w:rPr>
        <w:t xml:space="preserve"> terminated at </w:t>
      </w:r>
      <w:r w:rsidR="004B4445">
        <w:rPr>
          <w:rFonts w:ascii="Times New Roman" w:eastAsiaTheme="minorEastAsia" w:hAnsi="Times New Roman" w:cs="Times New Roman"/>
          <w:szCs w:val="24"/>
        </w:rPr>
        <w:t>approximately 10</w:t>
      </w:r>
      <w:r w:rsidR="004B4445" w:rsidRPr="005F5489">
        <w:rPr>
          <w:rFonts w:ascii="Times New Roman" w:eastAsiaTheme="minorEastAsia" w:hAnsi="Times New Roman" w:cs="Times New Roman"/>
          <w:szCs w:val="24"/>
          <w:vertAlign w:val="superscript"/>
        </w:rPr>
        <w:t>-4</w:t>
      </w:r>
      <w:r w:rsidR="00AB2B10">
        <w:rPr>
          <w:rFonts w:ascii="Times New Roman" w:eastAsiaTheme="minorEastAsia" w:hAnsi="Times New Roman" w:cs="Times New Roman"/>
          <w:szCs w:val="24"/>
          <w:vertAlign w:val="superscript"/>
        </w:rPr>
        <w:t xml:space="preserve"> </w:t>
      </w:r>
      <w:r w:rsidR="00AB2B10">
        <w:rPr>
          <w:rFonts w:ascii="Times New Roman" w:eastAsiaTheme="minorEastAsia" w:hAnsi="Times New Roman" w:cs="Times New Roman"/>
          <w:szCs w:val="24"/>
        </w:rPr>
        <w:t xml:space="preserve">eV/K for </w:t>
      </w:r>
      <w:r w:rsidR="00DC0F6C">
        <w:rPr>
          <w:rFonts w:ascii="Times New Roman" w:eastAsiaTheme="minorEastAsia" w:hAnsi="Times New Roman" w:cs="Times New Roman"/>
          <w:szCs w:val="24"/>
        </w:rPr>
        <w:t>Al(Cu)</w:t>
      </w:r>
      <w:r w:rsidR="00DC0F6C">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{"citationID":"FS7jWrYx","properties":{"formattedCitation":"\\super 17\\nosupersub{}","plainCitation":"17","noteIndex":0},"citationItems":[{"id":1109,"uris":["http://zotero.org/users/5159096/items/R4K69UDL"],"itemData":{"id":1109,"type":"article-journal","container-title":"Physical Review Letters","DOI":"10.1103/PhysRevLett.102.245501","ISSN":"0031-9007, 1079-7114","issue":"24","journalAbbreviation":"Phys. Rev. Lett.","language":"en","page":"245501","source":"DOI.org (Crossref)","title":"Atomic Level Structure in Multicomponent Bulk Metallic Glass","volume":"102","author":[{"family":"Cheng","given":"Y. Q."},{"family":"Ma","given":"E."},{"family":"Sheng","given":"H. W."}],"issued":{"date-parts":[["2009",6,17]]}}}],"schema":"https://github.com/citation-style-language/schema/raw/master/csl-citation.json"} </w:instrText>
      </w:r>
      <w:r w:rsidR="00DC0F6C">
        <w:rPr>
          <w:rFonts w:ascii="Times New Roman" w:eastAsiaTheme="minorEastAsia" w:hAnsi="Times New Roman" w:cs="Times New Roman"/>
          <w:szCs w:val="24"/>
        </w:rPr>
        <w:fldChar w:fldCharType="separate"/>
      </w:r>
      <w:r w:rsidR="00C2226C" w:rsidRPr="00C2226C">
        <w:rPr>
          <w:rFonts w:ascii="Times New Roman" w:hAnsi="Times New Roman" w:cs="Times New Roman"/>
          <w:kern w:val="0"/>
          <w:szCs w:val="24"/>
          <w:vertAlign w:val="superscript"/>
        </w:rPr>
        <w:t>17</w:t>
      </w:r>
      <w:r w:rsidR="00DC0F6C">
        <w:rPr>
          <w:rFonts w:ascii="Times New Roman" w:eastAsiaTheme="minorEastAsia" w:hAnsi="Times New Roman" w:cs="Times New Roman"/>
          <w:szCs w:val="24"/>
        </w:rPr>
        <w:fldChar w:fldCharType="end"/>
      </w:r>
      <w:r w:rsidR="00DC0F6C">
        <w:rPr>
          <w:rFonts w:ascii="Times New Roman" w:eastAsiaTheme="minorEastAsia" w:hAnsi="Times New Roman" w:cs="Times New Roman"/>
          <w:szCs w:val="24"/>
        </w:rPr>
        <w:t>, Al(Zr)</w:t>
      </w:r>
      <w:r w:rsidR="001A3396">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{"citationID":"PLskCjVM","properties":{"formattedCitation":"\\super 17\\nosupersub{}","plainCitation":"17","noteIndex":0},"citationItems":[{"id":1109,"uris":["http://zotero.org/users/5159096/items/R4K69UDL"],"itemData":{"id":1109,"type":"article-journal","container-title":"Physical Review Letters","DOI":"10.1103/PhysRevLett.102.245501","ISSN":"0031-9007, 1079-7114","issue":"24","journalAbbreviation":"Phys. Rev. Lett.","language":"en","page":"245501","source":"DOI.org (Crossref)","title":"Atomic Level Structure in Multicomponent Bulk Metallic Glass","volume":"102","author":[{"family":"Cheng","given":"Y. Q."},{"family":"Ma","given":"E."},{"family":"Sheng","given":"H. W."}],"issued":{"date-parts":[["2009",6,17]]}}}],"schema":"https://github.com/citation-style-language/schema/raw/master/csl-citation.json"} </w:instrText>
      </w:r>
      <w:r w:rsidR="001A3396">
        <w:rPr>
          <w:rFonts w:ascii="Times New Roman" w:eastAsiaTheme="minorEastAsia" w:hAnsi="Times New Roman" w:cs="Times New Roman"/>
          <w:szCs w:val="24"/>
        </w:rPr>
        <w:fldChar w:fldCharType="separate"/>
      </w:r>
      <w:r w:rsidR="00C2226C" w:rsidRPr="00C2226C">
        <w:rPr>
          <w:rFonts w:ascii="Times New Roman" w:hAnsi="Times New Roman" w:cs="Times New Roman"/>
          <w:kern w:val="0"/>
          <w:szCs w:val="24"/>
          <w:vertAlign w:val="superscript"/>
        </w:rPr>
        <w:t>17</w:t>
      </w:r>
      <w:r w:rsidR="001A3396">
        <w:rPr>
          <w:rFonts w:ascii="Times New Roman" w:eastAsiaTheme="minorEastAsia" w:hAnsi="Times New Roman" w:cs="Times New Roman"/>
          <w:szCs w:val="24"/>
        </w:rPr>
        <w:fldChar w:fldCharType="end"/>
      </w:r>
      <w:r w:rsidR="00DC0F6C">
        <w:rPr>
          <w:rFonts w:ascii="Times New Roman" w:eastAsiaTheme="minorEastAsia" w:hAnsi="Times New Roman" w:cs="Times New Roman"/>
          <w:szCs w:val="24"/>
        </w:rPr>
        <w:t>, Cu(Ag)</w:t>
      </w:r>
      <w:r w:rsidR="001A3396">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{"citationID":"dGxnMewl","properties":{"formattedCitation":"\\super 11\\nosupersub{}","plainCitation":"11","noteIndex":0},"citationItems":[{"id":1220,"uris":["http://zotero.org/users/5159096/items/B6J89CJ9"],"itemData":{"id":1220,"type":"article-journal","container-title":"Physical Review B","DOI":"10.1103/PhysRevB.81.140204","ISSN":"1098-0121, 1550-235X","issue":"14","journalAbbreviation":"Phys. Rev. B","language":"en","page":"140204","source":"DOI.org (Crossref)","title":"Coupling between chemical and dynamic heterogeneities in a multicomponent bulk metallic glass","volume":"81","author":[{"family":"Fujita","given":"T."},{"family":"Guan","given":"P. F."},{"family":"Sheng","given":"H. W."},{"family":"Inoue","given":"A."},{"family":"Sakurai","given":"T."},{"family":"Chen","given":"M. W."}],"issued":{"date-parts":[["2010",4,28]]}}}],"schema":"https://github.com/citation-style-language/schema/raw/master/csl-citation.json"} </w:instrText>
      </w:r>
      <w:r w:rsidR="001A3396">
        <w:rPr>
          <w:rFonts w:ascii="Times New Roman" w:eastAsiaTheme="minorEastAsia" w:hAnsi="Times New Roman" w:cs="Times New Roman"/>
          <w:szCs w:val="24"/>
        </w:rPr>
        <w:fldChar w:fldCharType="separate"/>
      </w:r>
      <w:r w:rsidR="001A3396" w:rsidRPr="001A3396">
        <w:rPr>
          <w:rFonts w:ascii="Times New Roman" w:hAnsi="Times New Roman" w:cs="Times New Roman"/>
          <w:szCs w:val="24"/>
          <w:vertAlign w:val="superscript"/>
        </w:rPr>
        <w:t>11</w:t>
      </w:r>
      <w:r w:rsidR="001A3396">
        <w:rPr>
          <w:rFonts w:ascii="Times New Roman" w:eastAsiaTheme="minorEastAsia" w:hAnsi="Times New Roman" w:cs="Times New Roman"/>
          <w:szCs w:val="24"/>
        </w:rPr>
        <w:fldChar w:fldCharType="end"/>
      </w:r>
      <w:r w:rsidR="00DC0F6C">
        <w:rPr>
          <w:rFonts w:ascii="Times New Roman" w:eastAsiaTheme="minorEastAsia" w:hAnsi="Times New Roman" w:cs="Times New Roman"/>
          <w:szCs w:val="24"/>
        </w:rPr>
        <w:t>, Cu(Al)</w:t>
      </w:r>
      <w:r w:rsidR="001A3396">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{"citationID":"zBIOITDp","properties":{"formattedCitation":"\\super 17\\nosupersub{}","plainCitation":"17","noteIndex":0},"citationItems":[{"id":1109,"uris":["http://zotero.org/users/5159096/items/R4K69UDL"],"itemData":{"id":1109,"type":"article-journal","container-title":"Physical Review Letters","DOI":"10.1103/PhysRevLett.102.245501","ISSN":"0031-9007, 1079-7114","issue":"24","journalAbbreviation":"Phys. Rev. Lett.","language":"en","page":"245501","source":"DOI.org (Crossref)","title":"Atomic Level Structure in Multicomponent Bulk Metallic Glass","volume":"102","author":[{"family":"Cheng","given":"Y. Q."},{"family":"Ma","given":"E."},{"family":"Sheng","given":"H. W."}],"issued":{"date-parts":[["2009",6,17]]}}}],"schema":"https://github.com/citation-style-language/schema/raw/master/csl-citation.json"} </w:instrText>
      </w:r>
      <w:r w:rsidR="001A3396">
        <w:rPr>
          <w:rFonts w:ascii="Times New Roman" w:eastAsiaTheme="minorEastAsia" w:hAnsi="Times New Roman" w:cs="Times New Roman"/>
          <w:szCs w:val="24"/>
        </w:rPr>
        <w:fldChar w:fldCharType="separate"/>
      </w:r>
      <w:r w:rsidR="00C2226C" w:rsidRPr="00C2226C">
        <w:rPr>
          <w:rFonts w:ascii="Times New Roman" w:hAnsi="Times New Roman" w:cs="Times New Roman"/>
          <w:kern w:val="0"/>
          <w:szCs w:val="24"/>
          <w:vertAlign w:val="superscript"/>
        </w:rPr>
        <w:t>17</w:t>
      </w:r>
      <w:r w:rsidR="001A3396">
        <w:rPr>
          <w:rFonts w:ascii="Times New Roman" w:eastAsiaTheme="minorEastAsia" w:hAnsi="Times New Roman" w:cs="Times New Roman"/>
          <w:szCs w:val="24"/>
        </w:rPr>
        <w:fldChar w:fldCharType="end"/>
      </w:r>
      <w:r w:rsidR="00DC0F6C">
        <w:rPr>
          <w:rFonts w:ascii="Times New Roman" w:eastAsiaTheme="minorEastAsia" w:hAnsi="Times New Roman" w:cs="Times New Roman"/>
          <w:szCs w:val="24"/>
        </w:rPr>
        <w:t>, Cu(Zr)</w:t>
      </w:r>
      <w:r w:rsidR="001A3396">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{"citationID":"xXPA5CuB","properties":{"formattedCitation":"\\super 39\\nosupersub{}","plainCitation":"39","noteIndex":0},"citationItems":[{"id":1096,"uris":["http://zotero.org/users/5159096/items/TMZPRVQ3"],"itemData":{"id":1096,"type":"article-journal","container-title":"Physical Review B","DOI":"10.1103/PhysRevB.78.014207","ISSN":"1098-0121, 1550-235X","issue":"1","journalAbbreviation":"Phys. Rev. B","language":"en","page":"014207","source":"DOI.org (Crossref)","title":"Relationship between structure, dynamics, and mechanical properties in metallic glass-forming alloys","volume":"78","author":[{"family":"Cheng","given":"Y. Q."},{"family":"Sheng","given":"H. W."},{"family":"Ma","given":"E."}],"issued":{"date-parts":[["2008",7,30]]}}}],"schema":"https://github.com/citation-style-language/schema/raw/master/csl-citation.json"} </w:instrText>
      </w:r>
      <w:r w:rsidR="001A3396">
        <w:rPr>
          <w:rFonts w:ascii="Times New Roman" w:eastAsiaTheme="minorEastAsia" w:hAnsi="Times New Roman" w:cs="Times New Roman"/>
          <w:szCs w:val="24"/>
        </w:rPr>
        <w:fldChar w:fldCharType="separate"/>
      </w:r>
      <w:r w:rsidR="00C2226C" w:rsidRPr="00C2226C">
        <w:rPr>
          <w:rFonts w:ascii="Times New Roman" w:hAnsi="Times New Roman" w:cs="Times New Roman"/>
          <w:kern w:val="0"/>
          <w:szCs w:val="24"/>
          <w:vertAlign w:val="superscript"/>
        </w:rPr>
        <w:t>39</w:t>
      </w:r>
      <w:r w:rsidR="001A3396">
        <w:rPr>
          <w:rFonts w:ascii="Times New Roman" w:eastAsiaTheme="minorEastAsia" w:hAnsi="Times New Roman" w:cs="Times New Roman"/>
          <w:szCs w:val="24"/>
        </w:rPr>
        <w:fldChar w:fldCharType="end"/>
      </w:r>
      <w:r w:rsidR="00DC0F6C">
        <w:rPr>
          <w:rFonts w:ascii="Times New Roman" w:eastAsiaTheme="minorEastAsia" w:hAnsi="Times New Roman" w:cs="Times New Roman"/>
          <w:szCs w:val="24"/>
        </w:rPr>
        <w:t>, Cu(Zr)</w:t>
      </w:r>
      <w:r w:rsidR="001A3396">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{"citationID":"22XOXolg","properties":{"formattedCitation":"\\super 11\\nosupersub{}","plainCitation":"11","noteIndex":0},"citationItems":[{"id":1220,"uris":["http://zotero.org/users/5159096/items/B6J89CJ9"],"itemData":{"id":1220,"type":"article-journal","container-title":"Physical Review B","DOI":"10.1103/PhysRevB.81.140204","ISSN":"1098-0121, 1550-235X","issue":"14","journalAbbreviation":"Phys. Rev. B","language":"en","page":"140204","source":"DOI.org (Crossref)","title":"Coupling between chemical and dynamic heterogeneities in a multicomponent bulk metallic glass","volume":"81","author":[{"family":"Fujita","given":"T."},{"family":"Guan","given":"P. F."},{"family":"Sheng","given":"H. W."},{"family":"Inoue","given":"A."},{"family":"Sakurai","given":"T."},{"family":"Chen","given":"M. W."}],"issued":{"date-parts":[["2010",4,28]]}}}],"schema":"https://github.com/citation-style-language/schema/raw/master/csl-citation.json"} </w:instrText>
      </w:r>
      <w:r w:rsidR="001A3396">
        <w:rPr>
          <w:rFonts w:ascii="Times New Roman" w:eastAsiaTheme="minorEastAsia" w:hAnsi="Times New Roman" w:cs="Times New Roman"/>
          <w:szCs w:val="24"/>
        </w:rPr>
        <w:fldChar w:fldCharType="separate"/>
      </w:r>
      <w:r w:rsidR="001A3396" w:rsidRPr="001A3396">
        <w:rPr>
          <w:rFonts w:ascii="Times New Roman" w:hAnsi="Times New Roman" w:cs="Times New Roman"/>
          <w:szCs w:val="24"/>
          <w:vertAlign w:val="superscript"/>
        </w:rPr>
        <w:t>11</w:t>
      </w:r>
      <w:r w:rsidR="001A3396">
        <w:rPr>
          <w:rFonts w:ascii="Times New Roman" w:eastAsiaTheme="minorEastAsia" w:hAnsi="Times New Roman" w:cs="Times New Roman"/>
          <w:szCs w:val="24"/>
        </w:rPr>
        <w:fldChar w:fldCharType="end"/>
      </w:r>
      <w:r w:rsidR="00DC0F6C">
        <w:rPr>
          <w:rFonts w:ascii="Times New Roman" w:eastAsiaTheme="minorEastAsia" w:hAnsi="Times New Roman" w:cs="Times New Roman"/>
          <w:szCs w:val="24"/>
        </w:rPr>
        <w:t xml:space="preserve"> and Cu(Zr)</w:t>
      </w:r>
      <w:r w:rsidR="001A3396">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{"citationID":"rOobHnqX","properties":{"formattedCitation":"\\super 17\\nosupersub{}","plainCitation":"17","noteIndex":0},"citationItems":[{"id":1109,"uris":["http://zotero.org/users/5159096/items/R4K69UDL"],"itemData":{"id":1109,"type":"article-journal","container-title":"Physical Review Letters","DOI":"10.1103/PhysRevLett.102.245501","ISSN":"0031-9007, 1079-7114","issue":"24","journalAbbreviation":"Phys. Rev. Lett.","language":"en","page":"245501","source":"DOI.org (Crossref)","title":"Atomic Level Structure in Multicomponent Bulk Metallic Glass","volume":"102","author":[{"family":"Cheng","given":"Y. Q."},{"family":"Ma","given":"E."},{"family":"Sheng","given":"H. W."}],"issued":{"date-parts":[["2009",6,17]]}}}],"schema":"https://github.com/citation-style-language/schema/raw/master/csl-citation.json"} </w:instrText>
      </w:r>
      <w:r w:rsidR="001A3396">
        <w:rPr>
          <w:rFonts w:ascii="Times New Roman" w:eastAsiaTheme="minorEastAsia" w:hAnsi="Times New Roman" w:cs="Times New Roman"/>
          <w:szCs w:val="24"/>
        </w:rPr>
        <w:fldChar w:fldCharType="separate"/>
      </w:r>
      <w:r w:rsidR="00C2226C" w:rsidRPr="00C2226C">
        <w:rPr>
          <w:rFonts w:ascii="Times New Roman" w:hAnsi="Times New Roman" w:cs="Times New Roman"/>
          <w:kern w:val="0"/>
          <w:szCs w:val="24"/>
          <w:vertAlign w:val="superscript"/>
        </w:rPr>
        <w:t>17</w:t>
      </w:r>
      <w:r w:rsidR="001A3396">
        <w:rPr>
          <w:rFonts w:ascii="Times New Roman" w:eastAsiaTheme="minorEastAsia" w:hAnsi="Times New Roman" w:cs="Times New Roman"/>
          <w:szCs w:val="24"/>
        </w:rPr>
        <w:fldChar w:fldCharType="end"/>
      </w:r>
      <w:r w:rsidR="00DC0F6C">
        <w:rPr>
          <w:rFonts w:ascii="Times New Roman" w:eastAsiaTheme="minorEastAsia" w:hAnsi="Times New Roman" w:cs="Times New Roman"/>
          <w:szCs w:val="24"/>
        </w:rPr>
        <w:t>,</w:t>
      </w:r>
      <w:r w:rsidR="00AB2B10">
        <w:rPr>
          <w:rFonts w:ascii="Times New Roman" w:eastAsiaTheme="minorEastAsia" w:hAnsi="Times New Roman" w:cs="Times New Roman"/>
          <w:szCs w:val="24"/>
        </w:rPr>
        <w:t xml:space="preserve"> and </w:t>
      </w:r>
      <w:r w:rsidR="00305C95">
        <w:rPr>
          <w:rFonts w:ascii="Times New Roman" w:eastAsiaTheme="minorEastAsia" w:hAnsi="Times New Roman" w:cs="Times New Roman"/>
          <w:szCs w:val="24"/>
        </w:rPr>
        <w:t>10</w:t>
      </w:r>
      <w:r w:rsidR="00305C95" w:rsidRPr="005F5489">
        <w:rPr>
          <w:rFonts w:ascii="Times New Roman" w:eastAsiaTheme="minorEastAsia" w:hAnsi="Times New Roman" w:cs="Times New Roman"/>
          <w:szCs w:val="24"/>
          <w:vertAlign w:val="superscript"/>
        </w:rPr>
        <w:t>-5</w:t>
      </w:r>
      <w:r w:rsidR="004B4445">
        <w:rPr>
          <w:rFonts w:ascii="Times New Roman" w:eastAsiaTheme="minorEastAsia" w:hAnsi="Times New Roman" w:cs="Times New Roman"/>
          <w:szCs w:val="24"/>
        </w:rPr>
        <w:t xml:space="preserve"> </w:t>
      </w:r>
      <w:r w:rsidR="00AB2B10">
        <w:rPr>
          <w:rFonts w:ascii="Times New Roman" w:eastAsiaTheme="minorEastAsia" w:hAnsi="Times New Roman" w:cs="Times New Roman"/>
          <w:szCs w:val="24"/>
        </w:rPr>
        <w:t xml:space="preserve">eV/K for </w:t>
      </w:r>
      <w:r w:rsidR="00DC0F6C">
        <w:rPr>
          <w:rFonts w:ascii="Times New Roman" w:eastAsiaTheme="minorEastAsia" w:hAnsi="Times New Roman" w:cs="Times New Roman"/>
          <w:szCs w:val="24"/>
        </w:rPr>
        <w:t>Ni(Cu)</w:t>
      </w:r>
      <w:r w:rsidR="00AB2B10">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{"citationID":"1REAFUbC","properties":{"formattedCitation":"\\super 36\\nosupersub{}","plainCitation":"36","noteIndex":0},"citationItems":[{"id":1110,"uris":["http://zotero.org/users/5159096/items/JPXIKIXF"],"itemData":{"id":1110,"type":"article-journal","abstract":"We have developed a semi-empirical and many-body type model potential using a modified charge density profile for Cu–Ni alloys based on the embedded-atom method (EAM) formalism with an improved optimization technique. The potential is determined by fitting to experimental and first-principles data for Cu, Ni and Cu–Ni binary compounds, such as lattice constants, cohesive energies, bulk modulus, elastic constants, diatomic bond lengths and bond energies. The generated potentials were tested by computing a variety of properties of pure elements and the alloy of Cu, Ni: the melting points, alloy mixing enthalpy, lattice specific heat, equilibrium lattice structures, vacancy formation and interstitial formation energies, and various diffusion barriers on the (100) and (111) surfaces of Cu and Ni.","container-title":"Journal of Physics: Condensed Matter","DOI":"10.1088/0953-8984/26/3/035404","ISSN":"0953-8984","issue":"3","note":"publisher: IOP Publishing","page":"035404","title":"An optimized interatomic potential for Cu–Ni alloys with the embedded-atom method","volume":"26","author":[{"family":"Onat","given":"Berk"},{"family":"Durukanoğlu","given":"Sondan"}],"issued":{"date-parts":[["2013",12,18]]}}}],"schema":"https://github.com/citation-style-language/schema/raw/master/csl-citation.json"} </w:instrText>
      </w:r>
      <w:r w:rsidR="00AB2B10">
        <w:rPr>
          <w:rFonts w:ascii="Times New Roman" w:eastAsiaTheme="minorEastAsia" w:hAnsi="Times New Roman" w:cs="Times New Roman"/>
          <w:szCs w:val="24"/>
        </w:rPr>
        <w:fldChar w:fldCharType="separate"/>
      </w:r>
      <w:r w:rsidR="00AB2B10" w:rsidRPr="00AB2B10">
        <w:rPr>
          <w:rFonts w:ascii="Times New Roman" w:hAnsi="Times New Roman" w:cs="Times New Roman"/>
          <w:szCs w:val="24"/>
          <w:vertAlign w:val="superscript"/>
        </w:rPr>
        <w:t>36</w:t>
      </w:r>
      <w:r w:rsidR="00AB2B10">
        <w:rPr>
          <w:rFonts w:ascii="Times New Roman" w:eastAsiaTheme="minorEastAsia" w:hAnsi="Times New Roman" w:cs="Times New Roman"/>
          <w:szCs w:val="24"/>
        </w:rPr>
        <w:fldChar w:fldCharType="end"/>
      </w:r>
      <w:r w:rsidR="004B4445">
        <w:rPr>
          <w:rFonts w:ascii="Times New Roman" w:eastAsiaTheme="minorEastAsia" w:hAnsi="Times New Roman" w:cs="Times New Roman"/>
          <w:szCs w:val="24"/>
        </w:rPr>
        <w:t>.</w:t>
      </w:r>
      <w:r w:rsidR="000E2A89">
        <w:rPr>
          <w:rFonts w:ascii="Times New Roman" w:eastAsiaTheme="minorEastAsia" w:hAnsi="Times New Roman" w:cs="Times New Roman"/>
          <w:szCs w:val="24"/>
        </w:rPr>
        <w:t xml:space="preserve"> The segregation</w:t>
      </w:r>
      <w:r w:rsidR="002B0072">
        <w:rPr>
          <w:rFonts w:ascii="Times New Roman" w:eastAsiaTheme="minorEastAsia" w:hAnsi="Times New Roman" w:cs="Times New Roman"/>
          <w:szCs w:val="24"/>
        </w:rPr>
        <w:t xml:space="preserve"> energy spectrum of Al(Pb)</w:t>
      </w:r>
      <w:r w:rsidR="002B0072">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{"citationID":"yXdRUIUw","properties":{"formattedCitation":"\\super 26\\nosupersub{}","plainCitation":"26","noteIndex":0},"citationItems":[{"id":1106,"uris":["http://zotero.org/users/5159096/items/J7XWXSLN"],"itemData":{"id":1106,"type":"article-journal","abstract":"ÐEmpirical many-body potentials of the glue-type have been constructed for the Al±Pb system using the ``force matching'' method. The potentials are ®tted to experimental data, physical quantities derived from ab initio linear mun-tin orbitals calculations and a massive quantum mechanical database of atomic forces generated using ultrasoft pseudopotentials in conjunction with ab initio molecular statics simulations. Monte Carlo simulations using these potentials have been employed to compute an Al±Pb phase diagram which is in fair agreement with experimental data. 7 2000 Acta Metallurgica Inc. Published by Elsevier Science Ltd. All rights reserved.","container-title":"Acta Materialia","DOI":"10.1016/S1359-6454(00)00002-1","ISSN":"13596454","issue":"8","journalAbbreviation":"Acta Materialia","language":"en","page":"1753-1761","source":"DOI.org (Crossref)","title":"Development of glue-type potentials for the Al–Pb system: phase diagram calculation","title-short":"Development of glue-type potentials for the Al–Pb system","volume":"48","author":[{"family":"Landa","given":"A."},{"family":"Wynblatt","given":"P."},{"family":"Siegel","given":"D.J."},{"family":"Adams","given":"J.B."},{"family":"Mryasov","given":"O.N."},{"family":"Liu","given":"X.-Y."}],"issued":{"date-parts":[["2000",5]]}}}],"schema":"https://github.com/citation-style-language/schema/raw/master/csl-citation.json"} </w:instrText>
      </w:r>
      <w:r w:rsidR="002B0072">
        <w:rPr>
          <w:rFonts w:ascii="Times New Roman" w:eastAsiaTheme="minorEastAsia" w:hAnsi="Times New Roman" w:cs="Times New Roman"/>
          <w:szCs w:val="24"/>
        </w:rPr>
        <w:fldChar w:fldCharType="separate"/>
      </w:r>
      <w:r w:rsidR="002B0072" w:rsidRPr="008C245F">
        <w:rPr>
          <w:rFonts w:ascii="Times New Roman" w:hAnsi="Times New Roman" w:cs="Times New Roman"/>
          <w:szCs w:val="24"/>
          <w:vertAlign w:val="superscript"/>
        </w:rPr>
        <w:t>26</w:t>
      </w:r>
      <w:r w:rsidR="002B0072">
        <w:rPr>
          <w:rFonts w:ascii="Times New Roman" w:eastAsiaTheme="minorEastAsia" w:hAnsi="Times New Roman" w:cs="Times New Roman"/>
          <w:szCs w:val="24"/>
        </w:rPr>
        <w:fldChar w:fldCharType="end"/>
      </w:r>
      <w:r w:rsidR="002B0072">
        <w:rPr>
          <w:rFonts w:ascii="Times New Roman" w:eastAsiaTheme="minorEastAsia" w:hAnsi="Times New Roman" w:cs="Times New Roman"/>
          <w:szCs w:val="24"/>
        </w:rPr>
        <w:t xml:space="preserve">, </w:t>
      </w:r>
      <w:r w:rsidR="002B0072" w:rsidRPr="0023465D">
        <w:rPr>
          <w:rFonts w:ascii="Times New Roman" w:eastAsiaTheme="minorEastAsia" w:hAnsi="Times New Roman" w:cs="Times New Roman"/>
          <w:szCs w:val="24"/>
        </w:rPr>
        <w:t>Al(</w:t>
      </w:r>
      <w:proofErr w:type="spellStart"/>
      <w:r w:rsidR="002B0072" w:rsidRPr="0023465D">
        <w:rPr>
          <w:rFonts w:ascii="Times New Roman" w:eastAsiaTheme="minorEastAsia" w:hAnsi="Times New Roman" w:cs="Times New Roman"/>
          <w:szCs w:val="24"/>
        </w:rPr>
        <w:t>Sm</w:t>
      </w:r>
      <w:proofErr w:type="spellEnd"/>
      <w:r w:rsidR="002B0072" w:rsidRPr="0023465D">
        <w:rPr>
          <w:rFonts w:ascii="Times New Roman" w:eastAsiaTheme="minorEastAsia" w:hAnsi="Times New Roman" w:cs="Times New Roman"/>
          <w:szCs w:val="24"/>
        </w:rPr>
        <w:t>)</w:t>
      </w:r>
      <w:r w:rsidR="002B0072" w:rsidRPr="0023465D">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{"citationID":"QvYmbgSC","properties":{"formattedCitation":"\\super 27\\nosupersub{}","plainCitation":"27","noteIndex":0},"citationItems":[{"id":2440,"uris":["http://zotero.org/users/5159096/items/W3ASK7P6","http://zotero.org/users/5159096/items/MIKQQ8VF"],"itemData":{"id":2440,"type":"article-journal","abstract":"A semi-empirical potential for the Al90Sm10 alloy is presented. The potential provides satisfactory reproduction of pure Al properties, the formation energies of a set of Al–Sm crystal phases with Sm content about 10%, and the structure of the liquid Al90Sm10 alloy. During molecular dynamics simulation in which the liquid alloy is cooled at a rate of 1010 K s−1, the developed potential produces a glass structure with lower ab initio energy than that produced by ab initio molecular dynamics (AIMD) itself using a typical AIMD cooling rate of 8·1013 K s−1. Based on these facts the developed potential should be suitable for simulations of phase transformations in the Al90Sm10 alloy.","container-title":"Modelling and Simulation in Materials Science and Engineering","DOI":"10.1088/0965-0393/23/4/045013","ISSN":"0965-0393","issue":"4","note":"publisher: IOP Publishing","page":"045013","title":"Development of interatomic potentials appropriate for simulation of devitrification of Al90Sm10 alloy","volume":"23","author":[{"family":"Mendelev","given":"M I"},{"family":"Zhang","given":"F"},{"family":"Ye","given":"Z"},{"family":"Sun","given":"Y"},{"family":"Nguyen","given":"M C"},{"family":"Wilson","given":"S R"},{"family":"Wang","given":"C Z"},{"family":"Ho","given":"K M"}],"issued":{"date-parts":[["2015",4,23]]}}}],"schema":"https://github.com/citation-style-language/schema/raw/master/csl-citation.json"} </w:instrText>
      </w:r>
      <w:r w:rsidR="002B0072" w:rsidRPr="0023465D">
        <w:rPr>
          <w:rFonts w:ascii="Times New Roman" w:eastAsiaTheme="minorEastAsia" w:hAnsi="Times New Roman" w:cs="Times New Roman"/>
          <w:szCs w:val="24"/>
        </w:rPr>
        <w:fldChar w:fldCharType="separate"/>
      </w:r>
      <w:r w:rsidR="00FA4EAC" w:rsidRPr="00FA4EAC">
        <w:rPr>
          <w:rFonts w:ascii="Times New Roman" w:hAnsi="Times New Roman" w:cs="Times New Roman"/>
          <w:kern w:val="0"/>
          <w:szCs w:val="24"/>
          <w:vertAlign w:val="superscript"/>
        </w:rPr>
        <w:t>27</w:t>
      </w:r>
      <w:r w:rsidR="002B0072" w:rsidRPr="0023465D">
        <w:rPr>
          <w:rFonts w:ascii="Times New Roman" w:eastAsiaTheme="minorEastAsia" w:hAnsi="Times New Roman" w:cs="Times New Roman"/>
          <w:szCs w:val="24"/>
        </w:rPr>
        <w:fldChar w:fldCharType="end"/>
      </w:r>
      <w:r w:rsidR="002B0072">
        <w:rPr>
          <w:rFonts w:ascii="Times New Roman" w:eastAsiaTheme="minorEastAsia" w:hAnsi="Times New Roman" w:cs="Times New Roman"/>
          <w:szCs w:val="24"/>
        </w:rPr>
        <w:t>, Cu(Pb)</w:t>
      </w:r>
      <w:r w:rsidR="002B0072">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{"citationID":"owlcM85X","properties":{"formattedCitation":"\\super 37\\nosupersub{}","plainCitation":"37","noteIndex":0},"citationItems":[{"id":626,"uris":["http://zotero.org/users/5159096/items/YHUDCBDJ"],"itemData":{"id":626,"type":"article-journal","abstract":"A simple procedure is used to formulate a Cu–Pb pair interaction function within the embedded atom (EAM) method framework. Embedding, density and pair functions for pure Cu and pure Pb are taken from previously published EAM studies. Optimization of the Cu–Pb potential was achieved by comparing with experiment the computed heats of mixing for Cu–Pb liquid alloys and the equilibrium phase diagram, the latter being determined via a thermodynamic integration technique. The topology of the temperature-composition phase diagram computed with this EAM potential is consistent with experiment and features a liquid–liquid miscibility gap, low solubility of Pb in solid Cu and a monotectic reaction at approximately 1012 K.","container-title":"Modelling and Simulation in Materials Science and Engineering","DOI":"10.1088/0965-0393/11/3/302","ISSN":"0965-0393","issue":"3","note":"publisher: IOP Publishing","page":"287-299","title":"An embedded atom method interatomic potential for the Cu Pb system","volume":"11","author":[{"family":"Hoyt","given":"J J"},{"family":"Garvin","given":"J W"},{"family":"Webb","given":"E B"},{"family":"Asta","given":"Mark"}],"issued":{"date-parts":[["2003",2,24]]}}}],"schema":"https://github.com/citation-style-language/schema/raw/master/csl-citation.json"} </w:instrText>
      </w:r>
      <w:r w:rsidR="002B0072">
        <w:rPr>
          <w:rFonts w:ascii="Times New Roman" w:eastAsiaTheme="minorEastAsia" w:hAnsi="Times New Roman" w:cs="Times New Roman"/>
          <w:szCs w:val="24"/>
        </w:rPr>
        <w:fldChar w:fldCharType="separate"/>
      </w:r>
      <w:r w:rsidR="002B0072" w:rsidRPr="008C245F">
        <w:rPr>
          <w:rFonts w:ascii="Times New Roman" w:hAnsi="Times New Roman" w:cs="Times New Roman"/>
          <w:szCs w:val="24"/>
          <w:vertAlign w:val="superscript"/>
        </w:rPr>
        <w:t>37</w:t>
      </w:r>
      <w:r w:rsidR="002B0072">
        <w:rPr>
          <w:rFonts w:ascii="Times New Roman" w:eastAsiaTheme="minorEastAsia" w:hAnsi="Times New Roman" w:cs="Times New Roman"/>
          <w:szCs w:val="24"/>
        </w:rPr>
        <w:fldChar w:fldCharType="end"/>
      </w:r>
      <w:r w:rsidR="002B0072">
        <w:rPr>
          <w:rFonts w:ascii="Times New Roman" w:eastAsiaTheme="minorEastAsia" w:hAnsi="Times New Roman" w:cs="Times New Roman"/>
          <w:szCs w:val="24"/>
        </w:rPr>
        <w:t xml:space="preserve">, </w:t>
      </w:r>
      <w:r w:rsidR="002B0072" w:rsidRPr="0023465D">
        <w:rPr>
          <w:rFonts w:ascii="Times New Roman" w:eastAsiaTheme="minorEastAsia" w:hAnsi="Times New Roman" w:cs="Times New Roman"/>
          <w:szCs w:val="24"/>
        </w:rPr>
        <w:t>Cu(Zr)</w:t>
      </w:r>
      <w:r w:rsidR="002B0072" w:rsidRPr="0023465D">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{"citationID":"GGfblm0c","properties":{"formattedCitation":"\\super 38\\nosupersub{}","plainCitation":"38","noteIndex":0},"citationItems":[{"id":624,"uris":["http://zotero.org/users/5159096/items/7WSS4RCB"],"itemData":{"id":624,"type":"article-journal","abstract":"Dislocation nucleation from grain boundaries (GB) can control plastic deformation in nano-crystalline metals under certain conditions, but little is known about what controls dislocation nucleation, because when data from different materials are compared, the variations of many interacting properties tend to obscure the effects of any single property. In this study, we seek clarification by applying a unique capability of semi-empirical potentials in molecular dynamics simulations: the potentials can be modified such that all significant material properties but one, are kept constant. Using a set of potentials developed to isolate the effects of stacking fault energy, we show that for a given grain boundary, loading orientation and strain rate, the yield stress depends linearly on both the stable and unstable stacking fault energies. The coefficients of proportionality depend on the GB structure and the value of the yield stress is related to the density of the E structural units in the GB. While the impact of the stable stacking fault energy is easy to understand, the unstable stacking fault energy requires more elucidation and we provide a framework for understanding how it affects the nucleation and propagation process.","container-title":"Modelling and Simulation in Materials Science and Engineering","DOI":"10.1088/0965-0393/24/8/085017","ISSN":"0965-0393","issue":"8","note":"publisher: IOP Publishing","page":"085017","title":"Effects of stable and unstable stacking fault energy on dislocation nucleation in nano-crystalline metals","volume":"24","author":[{"family":"Borovikov","given":"Valery"},{"family":"Mendelev","given":"Mikhail I"},{"family":"King","given":"Alexander H"}],"issued":{"date-parts":[["2016",11,9]]}}}],"schema":"https://github.com/citation-style-language/schema/raw/master/csl-citation.json"} </w:instrText>
      </w:r>
      <w:r w:rsidR="002B0072" w:rsidRPr="0023465D">
        <w:rPr>
          <w:rFonts w:ascii="Times New Roman" w:eastAsiaTheme="minorEastAsia" w:hAnsi="Times New Roman" w:cs="Times New Roman"/>
          <w:szCs w:val="24"/>
        </w:rPr>
        <w:fldChar w:fldCharType="separate"/>
      </w:r>
      <w:r w:rsidR="002B0072" w:rsidRPr="008C245F">
        <w:rPr>
          <w:rFonts w:ascii="Times New Roman" w:hAnsi="Times New Roman" w:cs="Times New Roman"/>
          <w:szCs w:val="24"/>
          <w:vertAlign w:val="superscript"/>
        </w:rPr>
        <w:t>38</w:t>
      </w:r>
      <w:r w:rsidR="002B0072" w:rsidRPr="0023465D">
        <w:rPr>
          <w:rFonts w:ascii="Times New Roman" w:eastAsiaTheme="minorEastAsia" w:hAnsi="Times New Roman" w:cs="Times New Roman"/>
          <w:szCs w:val="24"/>
        </w:rPr>
        <w:fldChar w:fldCharType="end"/>
      </w:r>
      <w:r w:rsidR="002B0072">
        <w:rPr>
          <w:rFonts w:ascii="Times New Roman" w:eastAsiaTheme="minorEastAsia" w:hAnsi="Times New Roman" w:cs="Times New Roman"/>
          <w:szCs w:val="24"/>
        </w:rPr>
        <w:t>, Ni(Pd)</w:t>
      </w:r>
      <w:r w:rsidR="002B0072">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{"citationID":"hlR9XXrh","properties":{"formattedCitation":"\\super 10\\nosupersub{}","plainCitation":"10","noteIndex":0},"citationItems":[{"id":2455,"uris":["http://zotero.org/users/5159096/items/6GWLGNVC","http://zotero.org/users/5159096/items/2C2DCC5Z"],"itemData":{"id":2455,"type":"article-journal","container-title":"Physical Review B","DOI":"10.1103/PhysRevB.33.7983","issue":"12","journalAbbreviation":"Phys. Rev. B","note":"publisher: American Physical Society","page":"7983-7991","title":"Embedded-atom-method functions for the fcc metals Cu, Ag, Au, Ni, Pd, Pt, and their alloys","volume":"33","author":[{"family":"Foiles","given":"S. M."},{"family":"Baskes","given":"M. I."},{"family":"Daw","given":"M. S."}],"issued":{"date-parts":[["1986",6,15]]}}}],"schema":"https://github.com/citation-style-language/schema/raw/master/csl-citation.json"} </w:instrText>
      </w:r>
      <w:r w:rsidR="002B0072">
        <w:rPr>
          <w:rFonts w:ascii="Times New Roman" w:eastAsiaTheme="minorEastAsia" w:hAnsi="Times New Roman" w:cs="Times New Roman"/>
          <w:szCs w:val="24"/>
        </w:rPr>
        <w:fldChar w:fldCharType="separate"/>
      </w:r>
      <w:r w:rsidR="002B0072" w:rsidRPr="008C245F">
        <w:rPr>
          <w:rFonts w:ascii="Times New Roman" w:hAnsi="Times New Roman" w:cs="Times New Roman"/>
          <w:szCs w:val="24"/>
          <w:vertAlign w:val="superscript"/>
        </w:rPr>
        <w:t>10</w:t>
      </w:r>
      <w:r w:rsidR="002B0072">
        <w:rPr>
          <w:rFonts w:ascii="Times New Roman" w:eastAsiaTheme="minorEastAsia" w:hAnsi="Times New Roman" w:cs="Times New Roman"/>
          <w:szCs w:val="24"/>
        </w:rPr>
        <w:fldChar w:fldCharType="end"/>
      </w:r>
      <w:r w:rsidR="002B0072" w:rsidRPr="0023465D">
        <w:rPr>
          <w:rFonts w:ascii="Times New Roman" w:eastAsiaTheme="minorEastAsia" w:hAnsi="Times New Roman" w:cs="Times New Roman"/>
          <w:szCs w:val="24"/>
        </w:rPr>
        <w:t xml:space="preserve"> and Ni(Zr)</w:t>
      </w:r>
      <w:r w:rsidR="002B0072" w:rsidRPr="0023465D">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{"citationID":"aGKVnXwe","properties":{"formattedCitation":"\\super 54\\nosupersub{}","plainCitation":"54","noteIndex":0},"citationItems":[{"id":612,"uris":["http://zotero.org/users/5159096/items/AGBHI7IW"],"itemData":{"id":612,"type":"article-journal","container-title":"Philosophical Magazine","DOI":"10.1080/14786435.2014.995742","ISSN":"1478-6435","issue":"2","journalAbbreviation":"Philosophical Magazine","note":"publisher: Taylor &amp; Francis","page":"224-241","title":"Anisotropy of the solid–liquid interface properties of the Ni–Zr B33 phase from molecular dynamics simulation","volume":"95","author":[{"family":"Wilson","given":"S.R."},{"family":"Mendelev","given":"M.I."}],"issued":{"date-parts":[["2015",1,12]]}}}],"schema":"https://github.com/citation-style-language/schema/raw/master/csl-citation.json"} </w:instrText>
      </w:r>
      <w:r w:rsidR="002B0072" w:rsidRPr="0023465D">
        <w:rPr>
          <w:rFonts w:ascii="Times New Roman" w:eastAsiaTheme="minorEastAsia" w:hAnsi="Times New Roman" w:cs="Times New Roman"/>
          <w:szCs w:val="24"/>
        </w:rPr>
        <w:fldChar w:fldCharType="separate"/>
      </w:r>
      <w:r w:rsidR="00FA4EAC" w:rsidRPr="00FA4EAC">
        <w:rPr>
          <w:rFonts w:ascii="Times New Roman" w:hAnsi="Times New Roman" w:cs="Times New Roman"/>
          <w:kern w:val="0"/>
          <w:szCs w:val="24"/>
          <w:vertAlign w:val="superscript"/>
        </w:rPr>
        <w:t>54</w:t>
      </w:r>
      <w:r w:rsidR="002B0072" w:rsidRPr="0023465D">
        <w:rPr>
          <w:rFonts w:ascii="Times New Roman" w:eastAsiaTheme="minorEastAsia" w:hAnsi="Times New Roman" w:cs="Times New Roman"/>
          <w:szCs w:val="24"/>
        </w:rPr>
        <w:fldChar w:fldCharType="end"/>
      </w:r>
      <w:r w:rsidR="002B0072">
        <w:rPr>
          <w:rFonts w:ascii="Times New Roman" w:eastAsiaTheme="minorEastAsia" w:hAnsi="Times New Roman" w:cs="Times New Roman"/>
          <w:szCs w:val="24"/>
        </w:rPr>
        <w:t xml:space="preserve"> are validated against full spectra in Fig. S1a along with the isotherm prediction in Fig. S1b.</w:t>
      </w:r>
    </w:p>
    <w:p w14:paraId="6239B2E5" w14:textId="1EFB436E" w:rsidR="00B23731" w:rsidRPr="00ED6690" w:rsidRDefault="005F059D" w:rsidP="002276EF">
      <w:pPr>
        <w:ind w:firstLine="360"/>
        <w:jc w:val="both"/>
        <w:rPr>
          <w:rFonts w:ascii="Times New Roman" w:eastAsiaTheme="minorEastAsia" w:hAnsi="Times New Roman" w:cs="Times New Roman"/>
          <w:szCs w:val="24"/>
        </w:rPr>
      </w:pPr>
      <w:r w:rsidRPr="00ED6690">
        <w:rPr>
          <w:rFonts w:ascii="Times New Roman" w:eastAsiaTheme="minorEastAsia" w:hAnsi="Times New Roman" w:cs="Times New Roman"/>
          <w:szCs w:val="24"/>
        </w:rPr>
        <w:t>Dynamical matrices are calculated via finite displacements</w:t>
      </w:r>
      <w:r w:rsidR="00950BED" w:rsidRPr="00ED6690">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{"citationID":"jxM0J03e","properties":{"formattedCitation":"\\super 1,55\\uc0\\u8211{}57\\nosupersub{}","plainCitation":"1,55–57","noteIndex":0},"citationItems":[{"id":1167,"uris":["http://zotero.org/users/5159096/items/ZLCFBZ4N"],"itemData":{"id":1167,"type":"article-journal","abstract":"The vibrational contributions to the energetics of grain boundary segregation are calculated for binary Ni polycrystals with solutes of Pd, Pt, Ag, Au and Cu. The computational challenge of the problem is to assess each different grain boundary site and produce full spectra of both site energies and entropies, which is addressed through a multiscale approach in which a full harmonic calculation is completed only in the vicinity of the solute atom, and a buffer region based on a local harmonic calculation effects connectivity to the bulk polycrystal. The resulting segregation free energy spectra illustrate the artificial nature of segregation temperature dependencies when the vibrational entropy is not considered, and highlight the importance of including the vibrational entropy spectrum for rigorous calculations. For a 5% solute loading level, for example, the magnitude of the artificial temperature dependence calculated ranges from 31 to 43% of the total effective segregation entropy for the various systems explored. Finally, a strong linear correlation between site segregation energy (which is not much affected by vibrational effects within the harmonic approximation) and vibrational entropy is observed in polycrystals, in agreement with prior works of coincident site lattice boundaries; this correlation promises sig­ nificant simplification of segregation calculations in polycrystals generally.","container-title":"Acta Materialia","DOI":"10.1016/j.actamat.2022.118630","ISSN":"13596454","journalAbbreviation":"Acta Materialia","language":"en","page":"118630","source":"DOI.org (Crossref)","title":"The vibrational entropy spectra of grain boundary segregation in polycrystals","volume":"245","author":[{"family":"Tuchinda","given":"Nutth"},{"family":"Schuh","given":"Christopher A."}],"issued":{"date-parts":[["2023",2]]}}},{"id":486,"uris":["http://zotero.org/users/5159096/items/X3X5TKT4"],"itemData":{"id":486,"type":"article-journal","container-title":"Physical Review B","DOI":"10.1103/PhysRevB.61.14470","ISSN":"0163-1829, 1095-3795","issue":"21","journalAbbreviation":"Phys. Rev. B","language":"en","page":"14470-14480","source":"DOI.org (Crossref)","title":"Intergranular segregation and vibrational effects: A local analysis","title-short":"Intergranular segregation and vibrational effects","volume":"61","author":[{"family":"Creuze","given":"Jérôme"},{"family":"Berthier","given":"Fabienne"},{"family":"Tétot","given":"Robert"},{"family":"Legrand","given":"Bernard"},{"family":"Tréglia","given":"Guy"}],"issued":{"date-parts":[["2000",6,1]]}}},{"id":367,"uris":["http://zotero.org/users/5159096/items/Z2GWF9L9"],"itemData":{"id":367,"type":"article-journal","container-title":"Physical Review Letters","DOI":"10.1103/PhysRevLett.63.624","ISSN":"0031-9007","issue":"6","journalAbbreviation":"Phys. Rev. Lett.","language":"en","page":"624-627","source":"DOI.org (Crossref)","title":"Finite-temperature defect properties from free-energy minimization","volume":"63","author":[{"family":"LeSar","given":"R."},{"family":"Najafabadi","given":"R."},{"family":"Srolovitz","given":"D. J."}],"issued":{"date-parts":[["1989",8,7]]}}},{"id":852,"uris":["http://zotero.org/users/5159096/items/LIG325WQ"],"itemData":{"id":852,"type":"article-journal","container-title":"Acta Metallurgica et Materialia","DOI":"10.1016/0956-7151(91)90040-8","ISSN":"09567151","issue":"12","journalAbbreviation":"Acta Metallurgica et Materialia","language":"en","page":"3071-3082","source":"DOI.org (Crossref)","title":"A new method for the simulation of alloys: Application to interfacial segregation","title-short":"A new method for the simulation of alloys","volume":"39","author":[{"family":"Najafabadi","given":"R."},{"family":"Wang","given":"H.Y."},{"family":"Srolovitz","given":"D.J."},{"family":"LeSar","given":"R."}],"issued":{"date-parts":[["1991",12]]}}}],"schema":"https://github.com/citation-style-language/schema/raw/master/csl-citation.json"} </w:instrText>
      </w:r>
      <w:r w:rsidR="00950BED" w:rsidRPr="00ED6690">
        <w:rPr>
          <w:rFonts w:ascii="Times New Roman" w:eastAsiaTheme="minorEastAsia" w:hAnsi="Times New Roman" w:cs="Times New Roman"/>
          <w:szCs w:val="24"/>
        </w:rPr>
        <w:fldChar w:fldCharType="separate"/>
      </w:r>
      <w:r w:rsidR="00FA4EAC" w:rsidRPr="00FA4EAC">
        <w:rPr>
          <w:rFonts w:ascii="Times New Roman" w:hAnsi="Times New Roman" w:cs="Times New Roman"/>
          <w:kern w:val="0"/>
          <w:szCs w:val="24"/>
          <w:vertAlign w:val="superscript"/>
        </w:rPr>
        <w:t>1,55–57</w:t>
      </w:r>
      <w:r w:rsidR="00950BED" w:rsidRPr="00ED6690">
        <w:rPr>
          <w:rFonts w:ascii="Times New Roman" w:eastAsiaTheme="minorEastAsia" w:hAnsi="Times New Roman" w:cs="Times New Roman"/>
          <w:szCs w:val="24"/>
        </w:rPr>
        <w:fldChar w:fldCharType="end"/>
      </w:r>
      <w:r w:rsidR="00CA1BE4" w:rsidRPr="00ED6690">
        <w:rPr>
          <w:rFonts w:ascii="Times New Roman" w:eastAsiaTheme="minorEastAsia" w:hAnsi="Times New Roman" w:cs="Times New Roman"/>
          <w:szCs w:val="24"/>
        </w:rPr>
        <w:t>.</w:t>
      </w:r>
      <w:r w:rsidR="00950BED" w:rsidRPr="00ED6690">
        <w:rPr>
          <w:rFonts w:ascii="Times New Roman" w:eastAsiaTheme="minorEastAsia" w:hAnsi="Times New Roman" w:cs="Times New Roman"/>
          <w:szCs w:val="24"/>
        </w:rPr>
        <w:t xml:space="preserve"> </w:t>
      </w:r>
      <w:r w:rsidR="00E36980" w:rsidRPr="00ED6690">
        <w:rPr>
          <w:rFonts w:ascii="Times New Roman" w:eastAsiaTheme="minorEastAsia" w:hAnsi="Times New Roman" w:cs="Times New Roman"/>
          <w:szCs w:val="24"/>
        </w:rPr>
        <w:t xml:space="preserve">We solve </w:t>
      </w:r>
      <w:r w:rsidR="00716BEE">
        <w:rPr>
          <w:rFonts w:ascii="Times New Roman" w:eastAsiaTheme="minorEastAsia" w:hAnsi="Times New Roman" w:cs="Times New Roman"/>
          <w:szCs w:val="24"/>
        </w:rPr>
        <w:t xml:space="preserve">the </w:t>
      </w:r>
      <w:r w:rsidR="00E36980" w:rsidRPr="00ED6690">
        <w:rPr>
          <w:rFonts w:ascii="Times New Roman" w:eastAsiaTheme="minorEastAsia" w:hAnsi="Times New Roman" w:cs="Times New Roman"/>
          <w:szCs w:val="24"/>
        </w:rPr>
        <w:t>equation</w:t>
      </w:r>
      <w:r w:rsidR="00716BEE">
        <w:rPr>
          <w:rFonts w:ascii="Times New Roman" w:eastAsiaTheme="minorEastAsia" w:hAnsi="Times New Roman" w:cs="Times New Roman"/>
          <w:szCs w:val="24"/>
        </w:rPr>
        <w:t>s</w:t>
      </w:r>
      <w:r w:rsidR="00E36980" w:rsidRPr="00ED6690">
        <w:rPr>
          <w:rFonts w:ascii="Times New Roman" w:eastAsiaTheme="minorEastAsia" w:hAnsi="Times New Roman" w:cs="Times New Roman"/>
          <w:szCs w:val="24"/>
        </w:rPr>
        <w:t xml:space="preserve"> of motion</w:t>
      </w:r>
      <w:r w:rsidR="000E4EA0" w:rsidRPr="00ED6690">
        <w:rPr>
          <w:rFonts w:ascii="Times New Roman" w:hAnsi="Times New Roman" w:cs="Times New Roman"/>
          <w:szCs w:val="24"/>
        </w:rPr>
        <w:t xml:space="preserve"> </w:t>
      </w:r>
      <w:r w:rsidR="00EE3722" w:rsidRPr="00ED6690">
        <w:rPr>
          <w:rFonts w:ascii="Times New Roman" w:hAnsi="Times New Roman" w:cs="Times New Roman"/>
          <w:szCs w:val="24"/>
        </w:rPr>
        <w:t xml:space="preserve">of the system </w:t>
      </w:r>
      <w:r w:rsidR="000E4EA0" w:rsidRPr="00ED6690">
        <w:rPr>
          <w:rFonts w:ascii="Times New Roman" w:hAnsi="Times New Roman" w:cs="Times New Roman"/>
          <w:szCs w:val="24"/>
        </w:rPr>
        <w:t xml:space="preserve">with </w:t>
      </w:r>
      <m:oMath>
        <m:sSub>
          <m:sSubPr>
            <m:ctrlPr>
              <w:rPr>
                <w:rFonts w:ascii="Cambria Math" w:hAnsi="Cambria Math" w:cs="Times New Roman"/>
                <w:i/>
                <w:szCs w:val="24"/>
              </w:rPr>
            </m:ctrlPr>
          </m:sSubPr>
          <m:e>
            <m:r>
              <w:rPr>
                <w:rFonts w:ascii="Cambria Math" w:hAnsi="Cambria Math" w:cs="Times New Roman"/>
                <w:szCs w:val="24"/>
              </w:rPr>
              <m:t>M</m:t>
            </m:r>
          </m:e>
          <m:sub>
            <m:r>
              <w:rPr>
                <w:rFonts w:ascii="Cambria Math" w:hAnsi="Cambria Math" w:cs="Times New Roman"/>
                <w:szCs w:val="24"/>
              </w:rPr>
              <m:t>i</m:t>
            </m:r>
          </m:sub>
        </m:sSub>
      </m:oMath>
      <w:r w:rsidR="000E4EA0" w:rsidRPr="00ED6690">
        <w:rPr>
          <w:rFonts w:ascii="Times New Roman" w:eastAsiaTheme="minorEastAsia" w:hAnsi="Times New Roman" w:cs="Times New Roman"/>
          <w:szCs w:val="24"/>
        </w:rPr>
        <w:t xml:space="preserve"> as the atomic mass of atom </w:t>
      </w:r>
      <w:proofErr w:type="spellStart"/>
      <w:r w:rsidR="000E4EA0" w:rsidRPr="00ED6690">
        <w:rPr>
          <w:rFonts w:ascii="Times New Roman" w:eastAsiaTheme="minorEastAsia" w:hAnsi="Times New Roman" w:cs="Times New Roman"/>
          <w:i/>
          <w:iCs/>
          <w:szCs w:val="24"/>
        </w:rPr>
        <w:t>i</w:t>
      </w:r>
      <w:proofErr w:type="spellEnd"/>
      <w:r w:rsidR="000E4EA0" w:rsidRPr="00ED6690">
        <w:rPr>
          <w:rFonts w:ascii="Times New Roman" w:eastAsiaTheme="minorEastAsia" w:hAnsi="Times New Roman" w:cs="Times New Roman"/>
          <w:szCs w:val="24"/>
        </w:rPr>
        <w:t>,</w:t>
      </w:r>
      <w:r w:rsidR="000E4EA0" w:rsidRPr="00ED6690">
        <w:rPr>
          <w:rFonts w:ascii="Times New Roman" w:hAnsi="Times New Roman" w:cs="Times New Roman"/>
          <w:szCs w:val="24"/>
        </w:rPr>
        <w:t xml:space="preserve"> </w:t>
      </w:r>
      <m:oMath>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u</m:t>
            </m:r>
          </m:e>
          <m:sub>
            <m:r>
              <w:rPr>
                <w:rFonts w:ascii="Cambria Math" w:eastAsiaTheme="minorEastAsia" w:hAnsi="Cambria Math" w:cs="Times New Roman"/>
                <w:szCs w:val="24"/>
              </w:rPr>
              <m:t>iα</m:t>
            </m:r>
          </m:sub>
        </m:sSub>
      </m:oMath>
      <w:r w:rsidR="000E4EA0" w:rsidRPr="00ED6690">
        <w:rPr>
          <w:rFonts w:ascii="Times New Roman" w:eastAsiaTheme="minorEastAsia" w:hAnsi="Times New Roman" w:cs="Times New Roman"/>
          <w:szCs w:val="24"/>
        </w:rPr>
        <w:t xml:space="preserve"> is the displacement of atom </w:t>
      </w:r>
      <w:proofErr w:type="spellStart"/>
      <w:r w:rsidR="000E4EA0" w:rsidRPr="00ED6690">
        <w:rPr>
          <w:rFonts w:ascii="Times New Roman" w:eastAsiaTheme="minorEastAsia" w:hAnsi="Times New Roman" w:cs="Times New Roman"/>
          <w:i/>
          <w:iCs/>
          <w:szCs w:val="24"/>
        </w:rPr>
        <w:t>i</w:t>
      </w:r>
      <w:proofErr w:type="spellEnd"/>
      <w:r w:rsidR="000E4EA0" w:rsidRPr="00ED6690">
        <w:rPr>
          <w:rFonts w:ascii="Times New Roman" w:eastAsiaTheme="minorEastAsia" w:hAnsi="Times New Roman" w:cs="Times New Roman"/>
          <w:szCs w:val="24"/>
        </w:rPr>
        <w:t xml:space="preserve"> in the α direction</w:t>
      </w:r>
      <w:r w:rsidR="00B23731" w:rsidRPr="00ED6690">
        <w:rPr>
          <w:rFonts w:ascii="Times New Roman" w:eastAsiaTheme="minorEastAsia" w:hAnsi="Times New Roman" w:cs="Times New Roman"/>
          <w:szCs w:val="24"/>
        </w:rPr>
        <w:t>:</w:t>
      </w:r>
    </w:p>
    <w:tbl>
      <w:tblPr>
        <w:tblStyle w:val="TableGrid"/>
        <w:tblW w:w="89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90"/>
        <w:gridCol w:w="715"/>
      </w:tblGrid>
      <w:tr w:rsidR="00B23731" w:rsidRPr="00ED6690" w14:paraId="6C4E51DA" w14:textId="77777777" w:rsidTr="00CD2C6D">
        <w:trPr>
          <w:trHeight w:val="837"/>
        </w:trPr>
        <w:tc>
          <w:tcPr>
            <w:tcW w:w="8190" w:type="dxa"/>
            <w:shd w:val="clear" w:color="auto" w:fill="auto"/>
            <w:vAlign w:val="center"/>
          </w:tcPr>
          <w:p w14:paraId="0387E03E" w14:textId="77777777" w:rsidR="00B23731" w:rsidRPr="00ED6690" w:rsidRDefault="00787647" w:rsidP="00CD2C6D">
            <w:pPr>
              <w:spacing w:line="276" w:lineRule="auto"/>
              <w:jc w:val="both"/>
              <w:rPr>
                <w:rFonts w:ascii="Times New Roman" w:hAnsi="Times New Roman" w:cs="Times New Roman"/>
                <w:szCs w:val="24"/>
              </w:rPr>
            </w:pPr>
            <m:oMathPara>
              <m:oMath>
                <m:sSub>
                  <m:sSubPr>
                    <m:ctrlPr>
                      <w:rPr>
                        <w:rFonts w:ascii="Cambria Math" w:hAnsi="Cambria Math" w:cs="Times New Roman"/>
                        <w:i/>
                        <w:szCs w:val="24"/>
                      </w:rPr>
                    </m:ctrlPr>
                  </m:sSubPr>
                  <m:e>
                    <m:r>
                      <w:rPr>
                        <w:rFonts w:ascii="Cambria Math" w:hAnsi="Cambria Math" w:cs="Times New Roman"/>
                        <w:szCs w:val="24"/>
                      </w:rPr>
                      <m:t>M</m:t>
                    </m:r>
                  </m:e>
                  <m:sub>
                    <m:r>
                      <w:rPr>
                        <w:rFonts w:ascii="Cambria Math" w:hAnsi="Cambria Math" w:cs="Times New Roman"/>
                        <w:szCs w:val="24"/>
                      </w:rPr>
                      <m:t>i</m:t>
                    </m:r>
                  </m:sub>
                </m:sSub>
                <m:sSub>
                  <m:sSubPr>
                    <m:ctrlPr>
                      <w:rPr>
                        <w:rFonts w:ascii="Cambria Math" w:eastAsiaTheme="minorEastAsia" w:hAnsi="Cambria Math" w:cs="Times New Roman"/>
                        <w:i/>
                        <w:szCs w:val="24"/>
                      </w:rPr>
                    </m:ctrlPr>
                  </m:sSubPr>
                  <m:e>
                    <m:acc>
                      <m:accPr>
                        <m:chr m:val="̈"/>
                        <m:ctrlPr>
                          <w:rPr>
                            <w:rFonts w:ascii="Cambria Math" w:eastAsiaTheme="minorEastAsia" w:hAnsi="Cambria Math" w:cs="Times New Roman"/>
                            <w:i/>
                            <w:szCs w:val="24"/>
                          </w:rPr>
                        </m:ctrlPr>
                      </m:accPr>
                      <m:e>
                        <m:r>
                          <w:rPr>
                            <w:rFonts w:ascii="Cambria Math" w:eastAsiaTheme="minorEastAsia" w:hAnsi="Cambria Math" w:cs="Times New Roman"/>
                            <w:szCs w:val="24"/>
                          </w:rPr>
                          <m:t>u</m:t>
                        </m:r>
                      </m:e>
                    </m:acc>
                  </m:e>
                  <m:sub>
                    <m:r>
                      <w:rPr>
                        <w:rFonts w:ascii="Cambria Math" w:eastAsiaTheme="minorEastAsia" w:hAnsi="Cambria Math" w:cs="Times New Roman"/>
                        <w:szCs w:val="24"/>
                      </w:rPr>
                      <m:t>iα</m:t>
                    </m:r>
                  </m:sub>
                </m:sSub>
                <m:r>
                  <w:rPr>
                    <w:rFonts w:ascii="Cambria Math" w:eastAsiaTheme="minorEastAsia" w:hAnsi="Cambria Math" w:cs="Times New Roman"/>
                    <w:szCs w:val="24"/>
                  </w:rPr>
                  <m:t>=-</m:t>
                </m:r>
                <m:f>
                  <m:fPr>
                    <m:ctrlPr>
                      <w:rPr>
                        <w:rFonts w:ascii="Cambria Math" w:eastAsiaTheme="minorEastAsia" w:hAnsi="Cambria Math" w:cs="Times New Roman"/>
                        <w:i/>
                        <w:szCs w:val="24"/>
                      </w:rPr>
                    </m:ctrlPr>
                  </m:fPr>
                  <m:num>
                    <m:r>
                      <w:rPr>
                        <w:rFonts w:ascii="Cambria Math" w:eastAsiaTheme="minorEastAsia" w:hAnsi="Cambria Math" w:cs="Times New Roman"/>
                        <w:szCs w:val="24"/>
                      </w:rPr>
                      <m:t>∂U</m:t>
                    </m:r>
                  </m:num>
                  <m:den>
                    <m:r>
                      <w:rPr>
                        <w:rFonts w:ascii="Cambria Math" w:eastAsiaTheme="minorEastAsia" w:hAnsi="Cambria Math" w:cs="Times New Roman"/>
                        <w:szCs w:val="24"/>
                      </w:rPr>
                      <m:t>∂</m:t>
                    </m:r>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u</m:t>
                        </m:r>
                      </m:e>
                      <m:sub>
                        <m:r>
                          <w:rPr>
                            <w:rFonts w:ascii="Cambria Math" w:eastAsiaTheme="minorEastAsia" w:hAnsi="Cambria Math" w:cs="Times New Roman"/>
                            <w:szCs w:val="24"/>
                          </w:rPr>
                          <m:t>iα</m:t>
                        </m:r>
                      </m:sub>
                    </m:sSub>
                  </m:den>
                </m:f>
                <m:r>
                  <w:rPr>
                    <w:rFonts w:ascii="Cambria Math" w:eastAsiaTheme="minorEastAsia" w:hAnsi="Cambria Math" w:cs="Times New Roman"/>
                    <w:szCs w:val="24"/>
                  </w:rPr>
                  <m:t>=</m:t>
                </m:r>
                <m:nary>
                  <m:naryPr>
                    <m:chr m:val="∑"/>
                    <m:limLoc m:val="undOvr"/>
                    <m:supHide m:val="1"/>
                    <m:ctrlPr>
                      <w:rPr>
                        <w:rFonts w:ascii="Cambria Math" w:eastAsiaTheme="minorEastAsia" w:hAnsi="Cambria Math" w:cs="Times New Roman"/>
                        <w:i/>
                        <w:szCs w:val="24"/>
                      </w:rPr>
                    </m:ctrlPr>
                  </m:naryPr>
                  <m:sub>
                    <m:r>
                      <w:rPr>
                        <w:rFonts w:ascii="Cambria Math" w:eastAsiaTheme="minorEastAsia" w:hAnsi="Cambria Math" w:cs="Times New Roman"/>
                        <w:szCs w:val="24"/>
                      </w:rPr>
                      <m:t>j</m:t>
                    </m:r>
                    <m:r>
                      <w:rPr>
                        <w:rFonts w:ascii="Cambria Math" w:eastAsiaTheme="minorEastAsia" w:hAnsi="Cambria Math" w:cs="Times New Roman"/>
                        <w:szCs w:val="24"/>
                      </w:rPr>
                      <m:t>,</m:t>
                    </m:r>
                    <m:r>
                      <w:rPr>
                        <w:rFonts w:ascii="Cambria Math" w:eastAsiaTheme="minorEastAsia" w:hAnsi="Cambria Math" w:cs="Times New Roman"/>
                        <w:szCs w:val="24"/>
                      </w:rPr>
                      <m:t>β</m:t>
                    </m:r>
                  </m:sub>
                  <m:sup/>
                  <m:e>
                    <m:sSubSup>
                      <m:sSubSupPr>
                        <m:ctrlPr>
                          <w:rPr>
                            <w:rFonts w:ascii="Cambria Math" w:eastAsiaTheme="minorEastAsia" w:hAnsi="Cambria Math" w:cs="Times New Roman"/>
                            <w:i/>
                            <w:szCs w:val="24"/>
                          </w:rPr>
                        </m:ctrlPr>
                      </m:sSubSupPr>
                      <m:e>
                        <m:r>
                          <m:rPr>
                            <m:sty m:val="p"/>
                          </m:rPr>
                          <w:rPr>
                            <w:rFonts w:ascii="Cambria Math" w:eastAsiaTheme="minorEastAsia" w:hAnsi="Cambria Math" w:cs="Times New Roman"/>
                            <w:szCs w:val="24"/>
                          </w:rPr>
                          <m:t>Φ</m:t>
                        </m:r>
                      </m:e>
                      <m:sub>
                        <m:r>
                          <w:rPr>
                            <w:rFonts w:ascii="Cambria Math" w:eastAsiaTheme="minorEastAsia" w:hAnsi="Cambria Math" w:cs="Times New Roman"/>
                            <w:szCs w:val="24"/>
                          </w:rPr>
                          <m:t>iαjβ</m:t>
                        </m:r>
                      </m:sub>
                      <m:sup>
                        <m:r>
                          <w:rPr>
                            <w:rFonts w:ascii="Cambria Math" w:eastAsiaTheme="minorEastAsia" w:hAnsi="Cambria Math" w:cs="Times New Roman"/>
                            <w:szCs w:val="24"/>
                          </w:rPr>
                          <m:t>0</m:t>
                        </m:r>
                      </m:sup>
                    </m:sSubSup>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u</m:t>
                        </m:r>
                      </m:e>
                      <m:sub>
                        <m:r>
                          <w:rPr>
                            <w:rFonts w:ascii="Cambria Math" w:eastAsiaTheme="minorEastAsia" w:hAnsi="Cambria Math" w:cs="Times New Roman"/>
                            <w:szCs w:val="24"/>
                          </w:rPr>
                          <m:t>jβ</m:t>
                        </m:r>
                      </m:sub>
                    </m:sSub>
                  </m:e>
                </m:nary>
              </m:oMath>
            </m:oMathPara>
          </w:p>
        </w:tc>
        <w:tc>
          <w:tcPr>
            <w:tcW w:w="715" w:type="dxa"/>
            <w:shd w:val="clear" w:color="auto" w:fill="auto"/>
            <w:vAlign w:val="center"/>
          </w:tcPr>
          <w:p w14:paraId="0EB26160" w14:textId="7753A12E" w:rsidR="00B23731" w:rsidRPr="00ED6690" w:rsidRDefault="00B23731" w:rsidP="00CD2C6D">
            <w:pPr>
              <w:pStyle w:val="Caption"/>
              <w:spacing w:line="276" w:lineRule="auto"/>
              <w:jc w:val="both"/>
              <w:rPr>
                <w:rFonts w:ascii="Times New Roman" w:hAnsi="Times New Roman" w:cs="Times New Roman"/>
                <w:color w:val="auto"/>
                <w:sz w:val="24"/>
                <w:szCs w:val="24"/>
              </w:rPr>
            </w:pPr>
            <w:r w:rsidRPr="00ED6690">
              <w:rPr>
                <w:rFonts w:ascii="Times New Roman" w:hAnsi="Times New Roman" w:cs="Times New Roman"/>
                <w:color w:val="auto"/>
                <w:sz w:val="24"/>
                <w:szCs w:val="24"/>
              </w:rPr>
              <w:t>(</w:t>
            </w:r>
            <w:r w:rsidR="002A5A89" w:rsidRPr="00ED6690">
              <w:rPr>
                <w:rFonts w:ascii="Times New Roman" w:hAnsi="Times New Roman" w:cs="Times New Roman"/>
                <w:color w:val="auto"/>
                <w:sz w:val="24"/>
                <w:szCs w:val="24"/>
              </w:rPr>
              <w:t>S</w:t>
            </w:r>
            <w:r w:rsidRPr="00ED6690">
              <w:rPr>
                <w:rFonts w:ascii="Times New Roman" w:hAnsi="Times New Roman" w:cs="Times New Roman"/>
                <w:color w:val="auto"/>
                <w:sz w:val="24"/>
                <w:szCs w:val="24"/>
              </w:rPr>
              <w:fldChar w:fldCharType="begin"/>
            </w:r>
            <w:r w:rsidRPr="00ED6690">
              <w:rPr>
                <w:rFonts w:ascii="Times New Roman" w:hAnsi="Times New Roman" w:cs="Times New Roman"/>
                <w:color w:val="auto"/>
                <w:sz w:val="24"/>
                <w:szCs w:val="24"/>
              </w:rPr>
              <w:instrText xml:space="preserve"> SEQ eq \* ARABIC </w:instrText>
            </w:r>
            <w:r w:rsidRPr="00ED6690">
              <w:rPr>
                <w:rFonts w:ascii="Times New Roman" w:hAnsi="Times New Roman" w:cs="Times New Roman"/>
                <w:color w:val="auto"/>
                <w:sz w:val="24"/>
                <w:szCs w:val="24"/>
              </w:rPr>
              <w:fldChar w:fldCharType="separate"/>
            </w:r>
            <w:r w:rsidR="00C8038C">
              <w:rPr>
                <w:rFonts w:ascii="Times New Roman" w:hAnsi="Times New Roman" w:cs="Times New Roman"/>
                <w:noProof/>
                <w:color w:val="auto"/>
                <w:sz w:val="24"/>
                <w:szCs w:val="24"/>
              </w:rPr>
              <w:t>1</w:t>
            </w:r>
            <w:r w:rsidRPr="00ED6690">
              <w:rPr>
                <w:rFonts w:ascii="Times New Roman" w:hAnsi="Times New Roman" w:cs="Times New Roman"/>
                <w:color w:val="auto"/>
                <w:sz w:val="24"/>
                <w:szCs w:val="24"/>
              </w:rPr>
              <w:fldChar w:fldCharType="end"/>
            </w:r>
            <w:r w:rsidRPr="00ED6690">
              <w:rPr>
                <w:rFonts w:ascii="Times New Roman" w:hAnsi="Times New Roman" w:cs="Times New Roman"/>
                <w:color w:val="auto"/>
                <w:sz w:val="24"/>
                <w:szCs w:val="24"/>
              </w:rPr>
              <w:t>)</w:t>
            </w:r>
          </w:p>
        </w:tc>
      </w:tr>
    </w:tbl>
    <w:p w14:paraId="48320C59" w14:textId="03001C55" w:rsidR="002A6653" w:rsidRPr="00ED6690" w:rsidRDefault="00C522F8" w:rsidP="009D7AC2">
      <w:pPr>
        <w:jc w:val="both"/>
        <w:rPr>
          <w:rFonts w:ascii="Times New Roman" w:eastAsiaTheme="minorEastAsia" w:hAnsi="Times New Roman" w:cs="Times New Roman"/>
          <w:szCs w:val="24"/>
        </w:rPr>
      </w:pPr>
      <w:r w:rsidRPr="00ED6690">
        <w:rPr>
          <w:rFonts w:ascii="Times New Roman" w:eastAsiaTheme="minorEastAsia" w:hAnsi="Times New Roman" w:cs="Times New Roman"/>
          <w:szCs w:val="24"/>
        </w:rPr>
        <w:t xml:space="preserve">Where </w:t>
      </w:r>
      <m:oMath>
        <m:sSubSup>
          <m:sSubSupPr>
            <m:ctrlPr>
              <w:rPr>
                <w:rFonts w:ascii="Cambria Math" w:eastAsiaTheme="minorEastAsia" w:hAnsi="Cambria Math" w:cs="Times New Roman"/>
                <w:i/>
                <w:szCs w:val="24"/>
              </w:rPr>
            </m:ctrlPr>
          </m:sSubSupPr>
          <m:e>
            <m:r>
              <m:rPr>
                <m:sty m:val="p"/>
              </m:rPr>
              <w:rPr>
                <w:rFonts w:ascii="Cambria Math" w:eastAsiaTheme="minorEastAsia" w:hAnsi="Cambria Math" w:cs="Times New Roman"/>
                <w:szCs w:val="24"/>
              </w:rPr>
              <m:t>Φ</m:t>
            </m:r>
          </m:e>
          <m:sub>
            <m:r>
              <w:rPr>
                <w:rFonts w:ascii="Cambria Math" w:eastAsiaTheme="minorEastAsia" w:hAnsi="Cambria Math" w:cs="Times New Roman"/>
                <w:szCs w:val="24"/>
              </w:rPr>
              <m:t>iαjβ</m:t>
            </m:r>
          </m:sub>
          <m:sup>
            <m:r>
              <w:rPr>
                <w:rFonts w:ascii="Cambria Math" w:eastAsiaTheme="minorEastAsia" w:hAnsi="Cambria Math" w:cs="Times New Roman"/>
                <w:szCs w:val="24"/>
              </w:rPr>
              <m:t>0</m:t>
            </m:r>
          </m:sup>
        </m:sSubSup>
      </m:oMath>
      <w:r w:rsidRPr="00ED6690">
        <w:rPr>
          <w:rFonts w:ascii="Times New Roman" w:eastAsiaTheme="minorEastAsia" w:hAnsi="Times New Roman" w:cs="Times New Roman"/>
          <w:szCs w:val="24"/>
        </w:rPr>
        <w:t xml:space="preserve"> is the force constant of atom </w:t>
      </w:r>
      <w:proofErr w:type="spellStart"/>
      <w:r w:rsidRPr="00ED6690">
        <w:rPr>
          <w:rFonts w:ascii="Times New Roman" w:eastAsiaTheme="minorEastAsia" w:hAnsi="Times New Roman" w:cs="Times New Roman"/>
          <w:i/>
          <w:iCs/>
          <w:szCs w:val="24"/>
        </w:rPr>
        <w:t>i</w:t>
      </w:r>
      <w:proofErr w:type="spellEnd"/>
      <w:r w:rsidRPr="00ED6690">
        <w:rPr>
          <w:rFonts w:ascii="Times New Roman" w:eastAsiaTheme="minorEastAsia" w:hAnsi="Times New Roman" w:cs="Times New Roman"/>
          <w:szCs w:val="24"/>
        </w:rPr>
        <w:t xml:space="preserve"> in the direction </w:t>
      </w:r>
      <w:r w:rsidRPr="00ED6690">
        <w:rPr>
          <w:rFonts w:ascii="Times New Roman" w:eastAsiaTheme="minorEastAsia" w:hAnsi="Times New Roman" w:cs="Times New Roman"/>
          <w:i/>
          <w:iCs/>
          <w:szCs w:val="24"/>
        </w:rPr>
        <w:t>α</w:t>
      </w:r>
      <w:r w:rsidRPr="00ED6690">
        <w:rPr>
          <w:rFonts w:ascii="Times New Roman" w:eastAsiaTheme="minorEastAsia" w:hAnsi="Times New Roman" w:cs="Times New Roman"/>
          <w:szCs w:val="24"/>
        </w:rPr>
        <w:t xml:space="preserve"> when the atom </w:t>
      </w:r>
      <w:r w:rsidRPr="00ED6690">
        <w:rPr>
          <w:rFonts w:ascii="Times New Roman" w:eastAsiaTheme="minorEastAsia" w:hAnsi="Times New Roman" w:cs="Times New Roman"/>
          <w:i/>
          <w:iCs/>
          <w:szCs w:val="24"/>
        </w:rPr>
        <w:t>j</w:t>
      </w:r>
      <w:r w:rsidRPr="00ED6690">
        <w:rPr>
          <w:rFonts w:ascii="Times New Roman" w:eastAsiaTheme="minorEastAsia" w:hAnsi="Times New Roman" w:cs="Times New Roman"/>
          <w:szCs w:val="24"/>
        </w:rPr>
        <w:t xml:space="preserve"> is displaced in the </w:t>
      </w:r>
      <w:r w:rsidRPr="00ED6690">
        <w:rPr>
          <w:rFonts w:ascii="Times New Roman" w:eastAsiaTheme="minorEastAsia" w:hAnsi="Times New Roman" w:cs="Times New Roman"/>
          <w:i/>
          <w:iCs/>
          <w:szCs w:val="24"/>
        </w:rPr>
        <w:t>β</w:t>
      </w:r>
      <w:r w:rsidRPr="00ED6690">
        <w:rPr>
          <w:rFonts w:ascii="Times New Roman" w:eastAsiaTheme="minorEastAsia" w:hAnsi="Times New Roman" w:cs="Times New Roman"/>
          <w:szCs w:val="24"/>
        </w:rPr>
        <w:t xml:space="preserve"> direction. By ass</w:t>
      </w:r>
      <w:r w:rsidR="003724FE" w:rsidRPr="00ED6690">
        <w:rPr>
          <w:rFonts w:ascii="Times New Roman" w:eastAsiaTheme="minorEastAsia" w:hAnsi="Times New Roman" w:cs="Times New Roman"/>
          <w:szCs w:val="24"/>
        </w:rPr>
        <w:t>u</w:t>
      </w:r>
      <w:r w:rsidRPr="00ED6690">
        <w:rPr>
          <w:rFonts w:ascii="Times New Roman" w:eastAsiaTheme="minorEastAsia" w:hAnsi="Times New Roman" w:cs="Times New Roman"/>
          <w:szCs w:val="24"/>
        </w:rPr>
        <w:t>m</w:t>
      </w:r>
      <w:r w:rsidR="003724FE" w:rsidRPr="00ED6690">
        <w:rPr>
          <w:rFonts w:ascii="Times New Roman" w:eastAsiaTheme="minorEastAsia" w:hAnsi="Times New Roman" w:cs="Times New Roman"/>
          <w:szCs w:val="24"/>
        </w:rPr>
        <w:t>ing the ansatz</w:t>
      </w:r>
      <w:r w:rsidRPr="00ED6690">
        <w:rPr>
          <w:rFonts w:ascii="Times New Roman" w:eastAsiaTheme="minorEastAsia" w:hAnsi="Times New Roman" w:cs="Times New Roman"/>
          <w:szCs w:val="24"/>
        </w:rPr>
        <w:t>:</w:t>
      </w:r>
    </w:p>
    <w:tbl>
      <w:tblPr>
        <w:tblStyle w:val="TableGrid"/>
        <w:tblW w:w="89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90"/>
        <w:gridCol w:w="715"/>
      </w:tblGrid>
      <w:tr w:rsidR="002B0F6F" w:rsidRPr="00ED6690" w14:paraId="18328A1E" w14:textId="77777777" w:rsidTr="00CD2C6D">
        <w:trPr>
          <w:trHeight w:val="837"/>
        </w:trPr>
        <w:tc>
          <w:tcPr>
            <w:tcW w:w="8190" w:type="dxa"/>
            <w:shd w:val="clear" w:color="auto" w:fill="auto"/>
            <w:vAlign w:val="center"/>
          </w:tcPr>
          <w:p w14:paraId="6E305AF0" w14:textId="77788F5A" w:rsidR="002B0F6F" w:rsidRPr="00ED6690" w:rsidRDefault="00787647" w:rsidP="00CD2C6D">
            <w:pPr>
              <w:spacing w:line="276" w:lineRule="auto"/>
              <w:jc w:val="both"/>
              <w:rPr>
                <w:rFonts w:ascii="Times New Roman" w:hAnsi="Times New Roman" w:cs="Times New Roman"/>
                <w:szCs w:val="24"/>
              </w:rPr>
            </w:pPr>
            <m:oMathPara>
              <m:oMath>
                <m:sSub>
                  <m:sSubPr>
                    <m:ctrlPr>
                      <w:rPr>
                        <w:rFonts w:ascii="Cambria Math" w:hAnsi="Cambria Math" w:cs="Times New Roman"/>
                        <w:i/>
                        <w:szCs w:val="24"/>
                      </w:rPr>
                    </m:ctrlPr>
                  </m:sSubPr>
                  <m:e>
                    <m:r>
                      <w:rPr>
                        <w:rFonts w:ascii="Cambria Math" w:hAnsi="Cambria Math" w:cs="Times New Roman"/>
                        <w:szCs w:val="24"/>
                      </w:rPr>
                      <m:t>u</m:t>
                    </m:r>
                  </m:e>
                  <m:sub>
                    <m:r>
                      <w:rPr>
                        <w:rFonts w:ascii="Cambria Math" w:hAnsi="Cambria Math" w:cs="Times New Roman"/>
                        <w:szCs w:val="24"/>
                      </w:rPr>
                      <m:t>iα</m:t>
                    </m:r>
                  </m:sub>
                </m:sSub>
                <m:r>
                  <w:rPr>
                    <w:rFonts w:ascii="Cambria Math" w:hAnsi="Cambria Math" w:cs="Times New Roman"/>
                    <w:szCs w:val="24"/>
                  </w:rPr>
                  <m:t>=1/</m:t>
                </m:r>
                <m:rad>
                  <m:radPr>
                    <m:degHide m:val="1"/>
                    <m:ctrlPr>
                      <w:rPr>
                        <w:rFonts w:ascii="Cambria Math" w:hAnsi="Cambria Math" w:cs="Times New Roman"/>
                        <w:i/>
                        <w:szCs w:val="24"/>
                      </w:rPr>
                    </m:ctrlPr>
                  </m:radPr>
                  <m:deg/>
                  <m:e>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M</m:t>
                        </m:r>
                      </m:e>
                      <m:sub>
                        <m:r>
                          <w:rPr>
                            <w:rFonts w:ascii="Cambria Math" w:eastAsiaTheme="minorEastAsia" w:hAnsi="Cambria Math" w:cs="Times New Roman"/>
                            <w:szCs w:val="24"/>
                          </w:rPr>
                          <m:t>i</m:t>
                        </m:r>
                      </m:sub>
                    </m:sSub>
                  </m:e>
                </m:rad>
                <m:sSub>
                  <m:sSubPr>
                    <m:ctrlPr>
                      <w:rPr>
                        <w:rFonts w:ascii="Cambria Math" w:hAnsi="Cambria Math" w:cs="Times New Roman"/>
                        <w:i/>
                        <w:szCs w:val="24"/>
                      </w:rPr>
                    </m:ctrlPr>
                  </m:sSubPr>
                  <m:e>
                    <m:acc>
                      <m:accPr>
                        <m:chr m:val="̃"/>
                        <m:ctrlPr>
                          <w:rPr>
                            <w:rFonts w:ascii="Cambria Math" w:hAnsi="Cambria Math" w:cs="Times New Roman"/>
                            <w:i/>
                            <w:szCs w:val="24"/>
                          </w:rPr>
                        </m:ctrlPr>
                      </m:accPr>
                      <m:e>
                        <m:r>
                          <w:rPr>
                            <w:rFonts w:ascii="Cambria Math" w:hAnsi="Cambria Math" w:cs="Times New Roman"/>
                            <w:szCs w:val="24"/>
                          </w:rPr>
                          <m:t>u</m:t>
                        </m:r>
                      </m:e>
                    </m:acc>
                  </m:e>
                  <m:sub>
                    <m:r>
                      <w:rPr>
                        <w:rFonts w:ascii="Cambria Math" w:hAnsi="Cambria Math" w:cs="Times New Roman"/>
                        <w:szCs w:val="24"/>
                      </w:rPr>
                      <m:t>iα</m:t>
                    </m:r>
                  </m:sub>
                </m:sSub>
                <m:r>
                  <m:rPr>
                    <m:sty m:val="p"/>
                  </m:rPr>
                  <w:rPr>
                    <w:rFonts w:ascii="Cambria Math" w:hAnsi="Cambria Math" w:cs="Times New Roman"/>
                    <w:szCs w:val="24"/>
                  </w:rPr>
                  <m:t>exp⁡</m:t>
                </m:r>
                <m:r>
                  <w:rPr>
                    <w:rFonts w:ascii="Cambria Math" w:hAnsi="Cambria Math" w:cs="Times New Roman"/>
                    <w:szCs w:val="24"/>
                  </w:rPr>
                  <m:t>(2</m:t>
                </m:r>
                <m:r>
                  <w:rPr>
                    <w:rFonts w:ascii="Cambria Math" w:hAnsi="Cambria Math" w:cs="Times New Roman"/>
                    <w:szCs w:val="24"/>
                  </w:rPr>
                  <m:t>πiυt</m:t>
                </m:r>
                <m:r>
                  <w:rPr>
                    <w:rFonts w:ascii="Cambria Math" w:hAnsi="Cambria Math" w:cs="Times New Roman"/>
                    <w:szCs w:val="24"/>
                  </w:rPr>
                  <m:t>)</m:t>
                </m:r>
              </m:oMath>
            </m:oMathPara>
          </w:p>
        </w:tc>
        <w:tc>
          <w:tcPr>
            <w:tcW w:w="715" w:type="dxa"/>
            <w:shd w:val="clear" w:color="auto" w:fill="auto"/>
            <w:vAlign w:val="center"/>
          </w:tcPr>
          <w:p w14:paraId="501D898B" w14:textId="641077A4" w:rsidR="002B0F6F" w:rsidRPr="00ED6690" w:rsidRDefault="002B0F6F" w:rsidP="00CD2C6D">
            <w:pPr>
              <w:pStyle w:val="Caption"/>
              <w:spacing w:line="276" w:lineRule="auto"/>
              <w:jc w:val="both"/>
              <w:rPr>
                <w:rFonts w:ascii="Times New Roman" w:hAnsi="Times New Roman" w:cs="Times New Roman"/>
                <w:color w:val="auto"/>
                <w:sz w:val="24"/>
                <w:szCs w:val="24"/>
              </w:rPr>
            </w:pPr>
            <w:r w:rsidRPr="00ED6690">
              <w:rPr>
                <w:rFonts w:ascii="Times New Roman" w:hAnsi="Times New Roman" w:cs="Times New Roman"/>
                <w:color w:val="auto"/>
                <w:sz w:val="24"/>
                <w:szCs w:val="24"/>
              </w:rPr>
              <w:t>(</w:t>
            </w:r>
            <w:r w:rsidR="002A5A89" w:rsidRPr="00ED6690">
              <w:rPr>
                <w:rFonts w:ascii="Times New Roman" w:hAnsi="Times New Roman" w:cs="Times New Roman"/>
                <w:color w:val="auto"/>
                <w:sz w:val="24"/>
                <w:szCs w:val="24"/>
              </w:rPr>
              <w:t>S</w:t>
            </w:r>
            <w:r w:rsidRPr="00ED6690">
              <w:rPr>
                <w:rFonts w:ascii="Times New Roman" w:hAnsi="Times New Roman" w:cs="Times New Roman"/>
                <w:color w:val="auto"/>
                <w:sz w:val="24"/>
                <w:szCs w:val="24"/>
              </w:rPr>
              <w:fldChar w:fldCharType="begin"/>
            </w:r>
            <w:r w:rsidRPr="00ED6690">
              <w:rPr>
                <w:rFonts w:ascii="Times New Roman" w:hAnsi="Times New Roman" w:cs="Times New Roman"/>
                <w:color w:val="auto"/>
                <w:sz w:val="24"/>
                <w:szCs w:val="24"/>
              </w:rPr>
              <w:instrText xml:space="preserve"> SEQ eq \* ARABIC </w:instrText>
            </w:r>
            <w:r w:rsidRPr="00ED6690">
              <w:rPr>
                <w:rFonts w:ascii="Times New Roman" w:hAnsi="Times New Roman" w:cs="Times New Roman"/>
                <w:color w:val="auto"/>
                <w:sz w:val="24"/>
                <w:szCs w:val="24"/>
              </w:rPr>
              <w:fldChar w:fldCharType="separate"/>
            </w:r>
            <w:r w:rsidR="00C8038C">
              <w:rPr>
                <w:rFonts w:ascii="Times New Roman" w:hAnsi="Times New Roman" w:cs="Times New Roman"/>
                <w:noProof/>
                <w:color w:val="auto"/>
                <w:sz w:val="24"/>
                <w:szCs w:val="24"/>
              </w:rPr>
              <w:t>2</w:t>
            </w:r>
            <w:r w:rsidRPr="00ED6690">
              <w:rPr>
                <w:rFonts w:ascii="Times New Roman" w:hAnsi="Times New Roman" w:cs="Times New Roman"/>
                <w:color w:val="auto"/>
                <w:sz w:val="24"/>
                <w:szCs w:val="24"/>
              </w:rPr>
              <w:fldChar w:fldCharType="end"/>
            </w:r>
            <w:r w:rsidRPr="00ED6690">
              <w:rPr>
                <w:rFonts w:ascii="Times New Roman" w:hAnsi="Times New Roman" w:cs="Times New Roman"/>
                <w:color w:val="auto"/>
                <w:sz w:val="24"/>
                <w:szCs w:val="24"/>
              </w:rPr>
              <w:t>)</w:t>
            </w:r>
          </w:p>
        </w:tc>
      </w:tr>
    </w:tbl>
    <w:p w14:paraId="5E74EACF" w14:textId="295496F3" w:rsidR="005F059D" w:rsidRPr="00ED6690" w:rsidRDefault="00C522F8" w:rsidP="00C522F8">
      <w:pPr>
        <w:jc w:val="both"/>
        <w:rPr>
          <w:rFonts w:ascii="Times New Roman" w:eastAsiaTheme="minorEastAsia" w:hAnsi="Times New Roman" w:cs="Times New Roman"/>
          <w:szCs w:val="24"/>
        </w:rPr>
      </w:pPr>
      <w:r w:rsidRPr="00ED6690">
        <w:rPr>
          <w:rFonts w:ascii="Times New Roman" w:eastAsiaTheme="minorEastAsia" w:hAnsi="Times New Roman" w:cs="Times New Roman"/>
          <w:szCs w:val="24"/>
        </w:rPr>
        <w:t>We can simplify Eq. (S1) to</w:t>
      </w:r>
      <w:r w:rsidR="007F7744" w:rsidRPr="00ED6690">
        <w:rPr>
          <w:rFonts w:ascii="Times New Roman" w:eastAsiaTheme="minorEastAsia" w:hAnsi="Times New Roman" w:cs="Times New Roman"/>
          <w:szCs w:val="24"/>
        </w:rPr>
        <w:t xml:space="preserve"> a matrix diagonalization:</w:t>
      </w:r>
    </w:p>
    <w:tbl>
      <w:tblPr>
        <w:tblStyle w:val="TableGrid"/>
        <w:tblW w:w="89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90"/>
        <w:gridCol w:w="715"/>
      </w:tblGrid>
      <w:tr w:rsidR="00343994" w:rsidRPr="00ED6690" w14:paraId="6F9D366B" w14:textId="77777777" w:rsidTr="00CD2C6D">
        <w:trPr>
          <w:trHeight w:val="837"/>
        </w:trPr>
        <w:tc>
          <w:tcPr>
            <w:tcW w:w="8190" w:type="dxa"/>
            <w:shd w:val="clear" w:color="auto" w:fill="auto"/>
            <w:vAlign w:val="center"/>
          </w:tcPr>
          <w:p w14:paraId="7CAEDBCC" w14:textId="77777777" w:rsidR="00343994" w:rsidRPr="00ED6690" w:rsidRDefault="00787647" w:rsidP="00CD2C6D">
            <w:pPr>
              <w:jc w:val="both"/>
              <w:rPr>
                <w:rFonts w:ascii="Times New Roman" w:eastAsiaTheme="minorEastAsia" w:hAnsi="Times New Roman" w:cs="Times New Roman"/>
                <w:szCs w:val="24"/>
              </w:rPr>
            </w:pPr>
            <m:oMathPara>
              <m:oMath>
                <m:sSup>
                  <m:sSupPr>
                    <m:ctrlPr>
                      <w:rPr>
                        <w:rFonts w:ascii="Cambria Math" w:hAnsi="Cambria Math" w:cs="Times New Roman"/>
                        <w:i/>
                        <w:szCs w:val="24"/>
                      </w:rPr>
                    </m:ctrlPr>
                  </m:sSupPr>
                  <m:e>
                    <m:r>
                      <w:rPr>
                        <w:rFonts w:ascii="Cambria Math" w:hAnsi="Cambria Math" w:cs="Times New Roman"/>
                        <w:szCs w:val="24"/>
                      </w:rPr>
                      <m:t>v</m:t>
                    </m:r>
                  </m:e>
                  <m:sup>
                    <m:r>
                      <w:rPr>
                        <w:rFonts w:ascii="Cambria Math" w:hAnsi="Cambria Math" w:cs="Times New Roman"/>
                        <w:szCs w:val="24"/>
                      </w:rPr>
                      <m:t>2</m:t>
                    </m:r>
                  </m:sup>
                </m:sSup>
                <m:sSub>
                  <m:sSubPr>
                    <m:ctrlPr>
                      <w:rPr>
                        <w:rFonts w:ascii="Cambria Math" w:hAnsi="Cambria Math" w:cs="Times New Roman"/>
                        <w:i/>
                        <w:szCs w:val="24"/>
                      </w:rPr>
                    </m:ctrlPr>
                  </m:sSubPr>
                  <m:e>
                    <m:acc>
                      <m:accPr>
                        <m:chr m:val="̃"/>
                        <m:ctrlPr>
                          <w:rPr>
                            <w:rFonts w:ascii="Cambria Math" w:hAnsi="Cambria Math" w:cs="Times New Roman"/>
                            <w:i/>
                            <w:szCs w:val="24"/>
                          </w:rPr>
                        </m:ctrlPr>
                      </m:accPr>
                      <m:e>
                        <m:r>
                          <w:rPr>
                            <w:rFonts w:ascii="Cambria Math" w:hAnsi="Cambria Math" w:cs="Times New Roman"/>
                            <w:szCs w:val="24"/>
                          </w:rPr>
                          <m:t>u</m:t>
                        </m:r>
                      </m:e>
                    </m:acc>
                  </m:e>
                  <m:sub>
                    <m:r>
                      <w:rPr>
                        <w:rFonts w:ascii="Cambria Math" w:hAnsi="Cambria Math" w:cs="Times New Roman"/>
                        <w:szCs w:val="24"/>
                      </w:rPr>
                      <m:t>iα</m:t>
                    </m:r>
                  </m:sub>
                </m:sSub>
                <m:r>
                  <w:rPr>
                    <w:rFonts w:ascii="Cambria Math" w:hAnsi="Cambria Math" w:cs="Times New Roman"/>
                    <w:szCs w:val="24"/>
                  </w:rPr>
                  <m:t>=</m:t>
                </m:r>
                <m:nary>
                  <m:naryPr>
                    <m:chr m:val="∑"/>
                    <m:limLoc m:val="undOvr"/>
                    <m:supHide m:val="1"/>
                    <m:ctrlPr>
                      <w:rPr>
                        <w:rFonts w:ascii="Cambria Math" w:hAnsi="Cambria Math" w:cs="Times New Roman"/>
                        <w:i/>
                        <w:szCs w:val="24"/>
                      </w:rPr>
                    </m:ctrlPr>
                  </m:naryPr>
                  <m:sub>
                    <m:r>
                      <w:rPr>
                        <w:rFonts w:ascii="Cambria Math" w:hAnsi="Cambria Math" w:cs="Times New Roman"/>
                        <w:szCs w:val="24"/>
                      </w:rPr>
                      <m:t>j</m:t>
                    </m:r>
                    <m:r>
                      <w:rPr>
                        <w:rFonts w:ascii="Cambria Math" w:hAnsi="Cambria Math" w:cs="Times New Roman"/>
                        <w:szCs w:val="24"/>
                      </w:rPr>
                      <m:t xml:space="preserve">, </m:t>
                    </m:r>
                    <m:r>
                      <w:rPr>
                        <w:rFonts w:ascii="Cambria Math" w:hAnsi="Cambria Math" w:cs="Times New Roman"/>
                        <w:szCs w:val="24"/>
                      </w:rPr>
                      <m:t>β</m:t>
                    </m:r>
                  </m:sub>
                  <m:sup/>
                  <m:e>
                    <m:f>
                      <m:fPr>
                        <m:ctrlPr>
                          <w:rPr>
                            <w:rFonts w:ascii="Cambria Math" w:eastAsiaTheme="minorEastAsia" w:hAnsi="Cambria Math" w:cs="Times New Roman"/>
                            <w:i/>
                            <w:szCs w:val="24"/>
                          </w:rPr>
                        </m:ctrlPr>
                      </m:fPr>
                      <m:num>
                        <m:sSubSup>
                          <m:sSubSupPr>
                            <m:ctrlPr>
                              <w:rPr>
                                <w:rFonts w:ascii="Cambria Math" w:eastAsiaTheme="minorEastAsia" w:hAnsi="Cambria Math" w:cs="Times New Roman"/>
                                <w:i/>
                                <w:szCs w:val="24"/>
                              </w:rPr>
                            </m:ctrlPr>
                          </m:sSubSupPr>
                          <m:e>
                            <m:r>
                              <m:rPr>
                                <m:sty m:val="p"/>
                              </m:rPr>
                              <w:rPr>
                                <w:rFonts w:ascii="Cambria Math" w:eastAsiaTheme="minorEastAsia" w:hAnsi="Cambria Math" w:cs="Times New Roman"/>
                                <w:szCs w:val="24"/>
                              </w:rPr>
                              <m:t>Φ</m:t>
                            </m:r>
                          </m:e>
                          <m:sub>
                            <m:r>
                              <w:rPr>
                                <w:rFonts w:ascii="Cambria Math" w:eastAsiaTheme="minorEastAsia" w:hAnsi="Cambria Math" w:cs="Times New Roman"/>
                                <w:szCs w:val="24"/>
                              </w:rPr>
                              <m:t>iαjβ</m:t>
                            </m:r>
                          </m:sub>
                          <m:sup>
                            <m:r>
                              <w:rPr>
                                <w:rFonts w:ascii="Cambria Math" w:eastAsiaTheme="minorEastAsia" w:hAnsi="Cambria Math" w:cs="Times New Roman"/>
                                <w:szCs w:val="24"/>
                              </w:rPr>
                              <m:t>0</m:t>
                            </m:r>
                          </m:sup>
                        </m:sSubSup>
                      </m:num>
                      <m:den>
                        <m:r>
                          <w:rPr>
                            <w:rFonts w:ascii="Cambria Math" w:eastAsiaTheme="minorEastAsia" w:hAnsi="Cambria Math" w:cs="Times New Roman"/>
                            <w:szCs w:val="24"/>
                          </w:rPr>
                          <m:t>4</m:t>
                        </m:r>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π</m:t>
                            </m:r>
                          </m:e>
                          <m:sup>
                            <m:r>
                              <w:rPr>
                                <w:rFonts w:ascii="Cambria Math" w:eastAsiaTheme="minorEastAsia" w:hAnsi="Cambria Math" w:cs="Times New Roman"/>
                                <w:szCs w:val="24"/>
                              </w:rPr>
                              <m:t>2</m:t>
                            </m:r>
                          </m:sup>
                        </m:sSup>
                        <m:rad>
                          <m:radPr>
                            <m:degHide m:val="1"/>
                            <m:ctrlPr>
                              <w:rPr>
                                <w:rFonts w:ascii="Cambria Math" w:eastAsiaTheme="minorEastAsia" w:hAnsi="Cambria Math" w:cs="Times New Roman"/>
                                <w:i/>
                                <w:szCs w:val="24"/>
                              </w:rPr>
                            </m:ctrlPr>
                          </m:radPr>
                          <m:deg/>
                          <m:e>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M</m:t>
                                </m:r>
                              </m:e>
                              <m:sub>
                                <m:r>
                                  <w:rPr>
                                    <w:rFonts w:ascii="Cambria Math" w:eastAsiaTheme="minorEastAsia" w:hAnsi="Cambria Math" w:cs="Times New Roman"/>
                                    <w:szCs w:val="24"/>
                                  </w:rPr>
                                  <m:t>i</m:t>
                                </m:r>
                              </m:sub>
                            </m:sSub>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M</m:t>
                                </m:r>
                              </m:e>
                              <m:sub>
                                <m:r>
                                  <w:rPr>
                                    <w:rFonts w:ascii="Cambria Math" w:eastAsiaTheme="minorEastAsia" w:hAnsi="Cambria Math" w:cs="Times New Roman"/>
                                    <w:szCs w:val="24"/>
                                  </w:rPr>
                                  <m:t>j</m:t>
                                </m:r>
                              </m:sub>
                            </m:sSub>
                          </m:e>
                        </m:rad>
                      </m:den>
                    </m:f>
                    <m:sSub>
                      <m:sSubPr>
                        <m:ctrlPr>
                          <w:rPr>
                            <w:rFonts w:ascii="Cambria Math" w:hAnsi="Cambria Math" w:cs="Times New Roman"/>
                            <w:i/>
                            <w:szCs w:val="24"/>
                          </w:rPr>
                        </m:ctrlPr>
                      </m:sSubPr>
                      <m:e>
                        <m:acc>
                          <m:accPr>
                            <m:chr m:val="̃"/>
                            <m:ctrlPr>
                              <w:rPr>
                                <w:rFonts w:ascii="Cambria Math" w:hAnsi="Cambria Math" w:cs="Times New Roman"/>
                                <w:i/>
                                <w:szCs w:val="24"/>
                              </w:rPr>
                            </m:ctrlPr>
                          </m:accPr>
                          <m:e>
                            <m:r>
                              <w:rPr>
                                <w:rFonts w:ascii="Cambria Math" w:hAnsi="Cambria Math" w:cs="Times New Roman"/>
                                <w:szCs w:val="24"/>
                              </w:rPr>
                              <m:t>u</m:t>
                            </m:r>
                          </m:e>
                        </m:acc>
                      </m:e>
                      <m:sub>
                        <m:r>
                          <w:rPr>
                            <w:rFonts w:ascii="Cambria Math" w:hAnsi="Cambria Math" w:cs="Times New Roman"/>
                            <w:szCs w:val="24"/>
                          </w:rPr>
                          <m:t>jβ</m:t>
                        </m:r>
                      </m:sub>
                    </m:sSub>
                  </m:e>
                </m:nary>
              </m:oMath>
            </m:oMathPara>
          </w:p>
          <w:p w14:paraId="5B332F06" w14:textId="77777777" w:rsidR="00343994" w:rsidRPr="00ED6690" w:rsidRDefault="00343994" w:rsidP="00CD2C6D">
            <w:pPr>
              <w:spacing w:line="276" w:lineRule="auto"/>
              <w:jc w:val="both"/>
              <w:rPr>
                <w:rFonts w:ascii="Times New Roman" w:hAnsi="Times New Roman" w:cs="Times New Roman"/>
                <w:szCs w:val="24"/>
              </w:rPr>
            </w:pPr>
          </w:p>
        </w:tc>
        <w:tc>
          <w:tcPr>
            <w:tcW w:w="715" w:type="dxa"/>
            <w:shd w:val="clear" w:color="auto" w:fill="auto"/>
            <w:vAlign w:val="center"/>
          </w:tcPr>
          <w:p w14:paraId="559FD437" w14:textId="0ECDCD91" w:rsidR="00343994" w:rsidRPr="00ED6690" w:rsidRDefault="00343994" w:rsidP="00CD2C6D">
            <w:pPr>
              <w:pStyle w:val="Caption"/>
              <w:spacing w:line="276" w:lineRule="auto"/>
              <w:jc w:val="both"/>
              <w:rPr>
                <w:rFonts w:ascii="Times New Roman" w:hAnsi="Times New Roman" w:cs="Times New Roman"/>
                <w:color w:val="auto"/>
                <w:sz w:val="24"/>
                <w:szCs w:val="24"/>
              </w:rPr>
            </w:pPr>
            <w:r w:rsidRPr="00ED6690">
              <w:rPr>
                <w:rFonts w:ascii="Times New Roman" w:hAnsi="Times New Roman" w:cs="Times New Roman"/>
                <w:color w:val="auto"/>
                <w:sz w:val="24"/>
                <w:szCs w:val="24"/>
              </w:rPr>
              <w:t>(</w:t>
            </w:r>
            <w:r w:rsidR="002A5A89" w:rsidRPr="00ED6690">
              <w:rPr>
                <w:rFonts w:ascii="Times New Roman" w:hAnsi="Times New Roman" w:cs="Times New Roman"/>
                <w:color w:val="auto"/>
                <w:sz w:val="24"/>
                <w:szCs w:val="24"/>
              </w:rPr>
              <w:t>S</w:t>
            </w:r>
            <w:r w:rsidRPr="00ED6690">
              <w:rPr>
                <w:rFonts w:ascii="Times New Roman" w:hAnsi="Times New Roman" w:cs="Times New Roman"/>
                <w:color w:val="auto"/>
                <w:sz w:val="24"/>
                <w:szCs w:val="24"/>
              </w:rPr>
              <w:fldChar w:fldCharType="begin"/>
            </w:r>
            <w:r w:rsidRPr="00ED6690">
              <w:rPr>
                <w:rFonts w:ascii="Times New Roman" w:hAnsi="Times New Roman" w:cs="Times New Roman"/>
                <w:color w:val="auto"/>
                <w:sz w:val="24"/>
                <w:szCs w:val="24"/>
              </w:rPr>
              <w:instrText xml:space="preserve"> SEQ eq \* ARABIC </w:instrText>
            </w:r>
            <w:r w:rsidRPr="00ED6690">
              <w:rPr>
                <w:rFonts w:ascii="Times New Roman" w:hAnsi="Times New Roman" w:cs="Times New Roman"/>
                <w:color w:val="auto"/>
                <w:sz w:val="24"/>
                <w:szCs w:val="24"/>
              </w:rPr>
              <w:fldChar w:fldCharType="separate"/>
            </w:r>
            <w:r w:rsidR="00C8038C">
              <w:rPr>
                <w:rFonts w:ascii="Times New Roman" w:hAnsi="Times New Roman" w:cs="Times New Roman"/>
                <w:noProof/>
                <w:color w:val="auto"/>
                <w:sz w:val="24"/>
                <w:szCs w:val="24"/>
              </w:rPr>
              <w:t>3</w:t>
            </w:r>
            <w:r w:rsidRPr="00ED6690">
              <w:rPr>
                <w:rFonts w:ascii="Times New Roman" w:hAnsi="Times New Roman" w:cs="Times New Roman"/>
                <w:color w:val="auto"/>
                <w:sz w:val="24"/>
                <w:szCs w:val="24"/>
              </w:rPr>
              <w:fldChar w:fldCharType="end"/>
            </w:r>
            <w:r w:rsidRPr="00ED6690">
              <w:rPr>
                <w:rFonts w:ascii="Times New Roman" w:hAnsi="Times New Roman" w:cs="Times New Roman"/>
                <w:color w:val="auto"/>
                <w:sz w:val="24"/>
                <w:szCs w:val="24"/>
              </w:rPr>
              <w:t>)</w:t>
            </w:r>
          </w:p>
        </w:tc>
      </w:tr>
    </w:tbl>
    <w:p w14:paraId="1580FCF2" w14:textId="576494B2" w:rsidR="00343994" w:rsidRPr="00ED6690" w:rsidRDefault="00DA756B" w:rsidP="00DA756B">
      <w:pPr>
        <w:jc w:val="both"/>
        <w:rPr>
          <w:rFonts w:ascii="Times New Roman" w:eastAsiaTheme="minorEastAsia" w:hAnsi="Times New Roman" w:cs="Times New Roman"/>
          <w:szCs w:val="24"/>
        </w:rPr>
      </w:pPr>
      <w:r w:rsidRPr="00ED6690">
        <w:rPr>
          <w:rFonts w:ascii="Times New Roman" w:hAnsi="Times New Roman" w:cs="Times New Roman"/>
          <w:szCs w:val="24"/>
        </w:rPr>
        <w:t xml:space="preserve">The vibrational frequencies can then be used to estimate </w:t>
      </w:r>
      <w:r w:rsidR="00723ED8" w:rsidRPr="00ED6690">
        <w:rPr>
          <w:rFonts w:ascii="Times New Roman" w:hAnsi="Times New Roman" w:cs="Times New Roman"/>
          <w:szCs w:val="24"/>
        </w:rPr>
        <w:t xml:space="preserve">vibrational free energy of a given system. </w:t>
      </w:r>
      <w:r w:rsidR="00E6363E" w:rsidRPr="00ED6690">
        <w:rPr>
          <w:rFonts w:ascii="Times New Roman" w:hAnsi="Times New Roman" w:cs="Times New Roman"/>
          <w:szCs w:val="24"/>
        </w:rPr>
        <w:t>C</w:t>
      </w:r>
      <w:r w:rsidR="00723ED8" w:rsidRPr="00ED6690">
        <w:rPr>
          <w:rFonts w:ascii="Times New Roman" w:hAnsi="Times New Roman" w:cs="Times New Roman"/>
          <w:szCs w:val="24"/>
        </w:rPr>
        <w:t>omparison</w:t>
      </w:r>
      <w:r w:rsidR="001750B2" w:rsidRPr="00ED6690">
        <w:rPr>
          <w:rFonts w:ascii="Times New Roman" w:hAnsi="Times New Roman" w:cs="Times New Roman"/>
          <w:szCs w:val="24"/>
        </w:rPr>
        <w:t>s</w:t>
      </w:r>
      <w:r w:rsidR="00723ED8" w:rsidRPr="00ED6690">
        <w:rPr>
          <w:rFonts w:ascii="Times New Roman" w:hAnsi="Times New Roman" w:cs="Times New Roman"/>
          <w:szCs w:val="24"/>
        </w:rPr>
        <w:t xml:space="preserve"> of the method</w:t>
      </w:r>
      <w:r w:rsidR="004B55DB" w:rsidRPr="00ED6690">
        <w:rPr>
          <w:rFonts w:ascii="Times New Roman" w:hAnsi="Times New Roman" w:cs="Times New Roman"/>
          <w:szCs w:val="24"/>
        </w:rPr>
        <w:t xml:space="preserve"> used in this work</w:t>
      </w:r>
      <w:r w:rsidR="00E6363E" w:rsidRPr="00ED6690">
        <w:rPr>
          <w:rFonts w:ascii="Times New Roman" w:hAnsi="Times New Roman" w:cs="Times New Roman"/>
          <w:szCs w:val="24"/>
        </w:rPr>
        <w:t xml:space="preserve"> (</w:t>
      </w:r>
      <w:r w:rsidR="0083085F" w:rsidRPr="00ED6690">
        <w:rPr>
          <w:rFonts w:ascii="Times New Roman" w:hAnsi="Times New Roman" w:cs="Times New Roman"/>
          <w:szCs w:val="24"/>
        </w:rPr>
        <w:t>using</w:t>
      </w:r>
      <w:r w:rsidR="00E6363E" w:rsidRPr="00ED6690">
        <w:rPr>
          <w:rFonts w:ascii="Times New Roman" w:hAnsi="Times New Roman" w:cs="Times New Roman"/>
          <w:szCs w:val="24"/>
        </w:rPr>
        <w:t xml:space="preserve"> full harmonic</w:t>
      </w:r>
      <w:r w:rsidR="0083085F" w:rsidRPr="00ED6690">
        <w:rPr>
          <w:rFonts w:ascii="Times New Roman" w:hAnsi="Times New Roman" w:cs="Times New Roman"/>
          <w:szCs w:val="24"/>
        </w:rPr>
        <w:t xml:space="preserve"> (FH)</w:t>
      </w:r>
      <w:r w:rsidR="00E6363E" w:rsidRPr="00ED6690">
        <w:rPr>
          <w:rFonts w:ascii="Times New Roman" w:hAnsi="Times New Roman" w:cs="Times New Roman"/>
          <w:szCs w:val="24"/>
        </w:rPr>
        <w:t xml:space="preserve"> region near </w:t>
      </w:r>
      <w:r w:rsidR="003D6022" w:rsidRPr="00ED6690">
        <w:rPr>
          <w:rFonts w:ascii="Times New Roman" w:hAnsi="Times New Roman" w:cs="Times New Roman"/>
          <w:szCs w:val="24"/>
        </w:rPr>
        <w:t>solute atoms and local harmonic</w:t>
      </w:r>
      <w:r w:rsidR="0083085F" w:rsidRPr="00ED6690">
        <w:rPr>
          <w:rFonts w:ascii="Times New Roman" w:hAnsi="Times New Roman" w:cs="Times New Roman"/>
          <w:szCs w:val="24"/>
        </w:rPr>
        <w:t xml:space="preserve"> (LH)</w:t>
      </w:r>
      <w:r w:rsidR="003D6022" w:rsidRPr="00ED6690">
        <w:rPr>
          <w:rFonts w:ascii="Times New Roman" w:hAnsi="Times New Roman" w:cs="Times New Roman"/>
          <w:szCs w:val="24"/>
        </w:rPr>
        <w:t xml:space="preserve"> dynamical matrices far from the substitutional sites</w:t>
      </w:r>
      <w:r w:rsidR="0083085F" w:rsidRPr="00ED6690">
        <w:rPr>
          <w:rFonts w:ascii="Times New Roman" w:hAnsi="Times New Roman" w:cs="Times New Roman"/>
          <w:szCs w:val="24"/>
        </w:rPr>
        <w:t xml:space="preserve"> for buffering</w:t>
      </w:r>
      <w:r w:rsidR="00E6363E" w:rsidRPr="00ED6690">
        <w:rPr>
          <w:rFonts w:ascii="Times New Roman" w:hAnsi="Times New Roman" w:cs="Times New Roman"/>
          <w:szCs w:val="24"/>
        </w:rPr>
        <w:t>)</w:t>
      </w:r>
      <w:r w:rsidR="001750B2" w:rsidRPr="00ED6690">
        <w:rPr>
          <w:rFonts w:ascii="Times New Roman" w:hAnsi="Times New Roman" w:cs="Times New Roman"/>
          <w:szCs w:val="24"/>
        </w:rPr>
        <w:t xml:space="preserve"> with the </w:t>
      </w:r>
      <w:r w:rsidR="0083085F" w:rsidRPr="00ED6690">
        <w:rPr>
          <w:rFonts w:ascii="Times New Roman" w:hAnsi="Times New Roman" w:cs="Times New Roman"/>
          <w:szCs w:val="24"/>
        </w:rPr>
        <w:t>LH</w:t>
      </w:r>
      <w:r w:rsidR="001750B2" w:rsidRPr="00ED6690">
        <w:rPr>
          <w:rFonts w:ascii="Times New Roman" w:hAnsi="Times New Roman" w:cs="Times New Roman"/>
          <w:szCs w:val="24"/>
        </w:rPr>
        <w:t xml:space="preserve"> approach and Monte Carlo sampling</w:t>
      </w:r>
      <w:r w:rsidR="00723ED8" w:rsidRPr="00ED6690">
        <w:rPr>
          <w:rFonts w:ascii="Times New Roman" w:hAnsi="Times New Roman" w:cs="Times New Roman"/>
          <w:szCs w:val="24"/>
        </w:rPr>
        <w:t xml:space="preserve"> for Ni(Pd)</w:t>
      </w:r>
      <w:r w:rsidR="008B45A0" w:rsidRPr="00ED6690">
        <w:rPr>
          <w:rFonts w:ascii="Times New Roman" w:hAnsi="Times New Roman" w:cs="Times New Roman"/>
          <w:szCs w:val="24"/>
        </w:rPr>
        <w:fldChar w:fldCharType="begin"/>
      </w:r>
      <w:r w:rsidR="00052644">
        <w:rPr>
          <w:rFonts w:ascii="Times New Roman" w:hAnsi="Times New Roman" w:cs="Times New Roman"/>
          <w:szCs w:val="24"/>
        </w:rPr>
        <w:instrText xml:space="preserve"> ADDIN ZOTERO_ITEM CSL_CITATION {"citationID":"3rT5TqTH","properties":{"formattedCitation":"\\super 10\\nosupersub{}","plainCitation":"10","noteIndex":0},"citationItems":[{"id":2455,"uris":["http://zotero.org/users/5159096/items/6GWLGNVC","http://zotero.org/users/5159096/items/2C2DCC5Z"],"itemData":{"id":2455,"type":"article-journal","container-title":"Physical Review B","DOI":"10.1103/PhysRevB.33.7983","issue":"12","journalAbbreviation":"Phys. Rev. B","note":"publisher: American Physical Society","page":"7983-7991","title":"Embedded-atom-method functions for the fcc metals Cu, Ag, Au, Ni, Pd, Pt, and their alloys","volume":"33","author":[{"family":"Foiles","given":"S. M."},{"family":"Baskes","given":"M. I."},{"family":"Daw","given":"M. S."}],"issued":{"date-parts":[["1986",6,15]]}}}],"schema":"https://github.com/citation-style-language/schema/raw/master/csl-citation.json"} </w:instrText>
      </w:r>
      <w:r w:rsidR="008B45A0" w:rsidRPr="00ED6690">
        <w:rPr>
          <w:rFonts w:ascii="Times New Roman" w:hAnsi="Times New Roman" w:cs="Times New Roman"/>
          <w:szCs w:val="24"/>
        </w:rPr>
        <w:fldChar w:fldCharType="separate"/>
      </w:r>
      <w:r w:rsidR="00F32ABD" w:rsidRPr="00F32ABD">
        <w:rPr>
          <w:rFonts w:ascii="Times New Roman" w:hAnsi="Times New Roman" w:cs="Times New Roman"/>
          <w:szCs w:val="24"/>
          <w:vertAlign w:val="superscript"/>
        </w:rPr>
        <w:t>10</w:t>
      </w:r>
      <w:r w:rsidR="008B45A0" w:rsidRPr="00ED6690">
        <w:rPr>
          <w:rFonts w:ascii="Times New Roman" w:hAnsi="Times New Roman" w:cs="Times New Roman"/>
          <w:szCs w:val="24"/>
        </w:rPr>
        <w:fldChar w:fldCharType="end"/>
      </w:r>
      <w:r w:rsidR="004B55DB" w:rsidRPr="00ED6690">
        <w:rPr>
          <w:rFonts w:ascii="Times New Roman" w:hAnsi="Times New Roman" w:cs="Times New Roman"/>
          <w:szCs w:val="24"/>
        </w:rPr>
        <w:t xml:space="preserve"> from Ref.</w:t>
      </w:r>
      <w:r w:rsidR="004B55DB" w:rsidRPr="00ED6690">
        <w:rPr>
          <w:rFonts w:ascii="Times New Roman" w:hAnsi="Times New Roman" w:cs="Times New Roman"/>
          <w:szCs w:val="24"/>
        </w:rPr>
        <w:fldChar w:fldCharType="begin"/>
      </w:r>
      <w:r w:rsidR="00052644">
        <w:rPr>
          <w:rFonts w:ascii="Times New Roman" w:hAnsi="Times New Roman" w:cs="Times New Roman"/>
          <w:szCs w:val="24"/>
        </w:rPr>
        <w:instrText xml:space="preserve"> ADDIN ZOTERO_ITEM CSL_CITATION {"citationID":"vDy1MwT1","properties":{"formattedCitation":"\\super 58\\nosupersub{}","plainCitation":"58","noteIndex":0},"citationItems":[{"id":10,"uris":["http://zotero.org/users/5159096/items/QHG2QCCF"],"itemData":{"id":10,"type":"article-journal","container-title":"Acta materialia","DOI":"https://doi.org/10.1016/S1359-6454(97)00002-5","ISSN":"1359-6454","issue":"8","journalAbbreviation":"Acta materialia","note":"publisher: Elsevier","page":"3191-3202","title":"Solute-atom segregation to&lt; 110&gt; symmetric tilt grain boundaries","volume":"45","author":[{"family":"Rittner","given":"J.D."},{"family":"Seidman","given":"D.N."}],"issued":{"date-parts":[["1997"]]}}}],"schema":"https://github.com/citation-style-language/schema/raw/master/csl-citation.json"} </w:instrText>
      </w:r>
      <w:r w:rsidR="004B55DB" w:rsidRPr="00ED6690">
        <w:rPr>
          <w:rFonts w:ascii="Times New Roman" w:hAnsi="Times New Roman" w:cs="Times New Roman"/>
          <w:szCs w:val="24"/>
        </w:rPr>
        <w:fldChar w:fldCharType="separate"/>
      </w:r>
      <w:r w:rsidR="00FA4EAC" w:rsidRPr="00FA4EAC">
        <w:rPr>
          <w:rFonts w:ascii="Times New Roman" w:hAnsi="Times New Roman" w:cs="Times New Roman"/>
          <w:kern w:val="0"/>
          <w:szCs w:val="24"/>
          <w:vertAlign w:val="superscript"/>
        </w:rPr>
        <w:t>58</w:t>
      </w:r>
      <w:r w:rsidR="004B55DB" w:rsidRPr="00ED6690">
        <w:rPr>
          <w:rFonts w:ascii="Times New Roman" w:hAnsi="Times New Roman" w:cs="Times New Roman"/>
          <w:szCs w:val="24"/>
        </w:rPr>
        <w:fldChar w:fldCharType="end"/>
      </w:r>
      <w:r w:rsidR="00723ED8" w:rsidRPr="00ED6690">
        <w:rPr>
          <w:rFonts w:ascii="Times New Roman" w:hAnsi="Times New Roman" w:cs="Times New Roman"/>
          <w:szCs w:val="24"/>
        </w:rPr>
        <w:t xml:space="preserve"> ha</w:t>
      </w:r>
      <w:r w:rsidR="001750B2" w:rsidRPr="00ED6690">
        <w:rPr>
          <w:rFonts w:ascii="Times New Roman" w:hAnsi="Times New Roman" w:cs="Times New Roman"/>
          <w:szCs w:val="24"/>
        </w:rPr>
        <w:t>ve</w:t>
      </w:r>
      <w:r w:rsidR="00723ED8" w:rsidRPr="00ED6690">
        <w:rPr>
          <w:rFonts w:ascii="Times New Roman" w:hAnsi="Times New Roman" w:cs="Times New Roman"/>
          <w:szCs w:val="24"/>
        </w:rPr>
        <w:t xml:space="preserve"> been demonstrated in</w:t>
      </w:r>
      <w:r w:rsidR="009A1D26" w:rsidRPr="00ED6690">
        <w:rPr>
          <w:rFonts w:ascii="Times New Roman" w:hAnsi="Times New Roman" w:cs="Times New Roman"/>
          <w:szCs w:val="24"/>
        </w:rPr>
        <w:t xml:space="preserve"> </w:t>
      </w:r>
      <w:r w:rsidR="009A1D26" w:rsidRPr="00ED6690">
        <w:rPr>
          <w:rFonts w:ascii="Times New Roman" w:hAnsi="Times New Roman" w:cs="Times New Roman"/>
          <w:szCs w:val="24"/>
        </w:rPr>
        <w:lastRenderedPageBreak/>
        <w:t>Fig. 5 of Ref.</w:t>
      </w:r>
      <w:r w:rsidR="009A1D26" w:rsidRPr="00ED6690">
        <w:rPr>
          <w:rFonts w:ascii="Times New Roman" w:hAnsi="Times New Roman" w:cs="Times New Roman"/>
          <w:szCs w:val="24"/>
        </w:rPr>
        <w:fldChar w:fldCharType="begin"/>
      </w:r>
      <w:r w:rsidR="00052644">
        <w:rPr>
          <w:rFonts w:ascii="Times New Roman" w:hAnsi="Times New Roman" w:cs="Times New Roman"/>
          <w:szCs w:val="24"/>
        </w:rPr>
        <w:instrText xml:space="preserve"> ADDIN ZOTERO_ITEM CSL_CITATION {"citationID":"qmJt4b59","properties":{"formattedCitation":"\\super 1\\nosupersub{}","plainCitation":"1","noteIndex":0},"citationItems":[{"id":1167,"uris":["http://zotero.org/users/5159096/items/ZLCFBZ4N"],"itemData":{"id":1167,"type":"article-journal","abstract":"The vibrational contributions to the energetics of grain boundary segregation are calculated for binary Ni polycrystals with solutes of Pd, Pt, Ag, Au and Cu. The computational challenge of the problem is to assess each different grain boundary site and produce full spectra of both site energies and entropies, which is addressed through a multiscale approach in which a full harmonic calculation is completed only in the vicinity of the solute atom, and a buffer region based on a local harmonic calculation effects connectivity to the bulk polycrystal. The resulting segregation free energy spectra illustrate the artificial nature of segregation temperature dependencies when the vibrational entropy is not considered, and highlight the importance of including the vibrational entropy spectrum for rigorous calculations. For a 5% solute loading level, for example, the magnitude of the artificial temperature dependence calculated ranges from 31 to 43% of the total effective segregation entropy for the various systems explored. Finally, a strong linear correlation between site segregation energy (which is not much affected by vibrational effects within the harmonic approximation) and vibrational entropy is observed in polycrystals, in agreement with prior works of coincident site lattice boundaries; this correlation promises sig­ nificant simplification of segregation calculations in polycrystals generally.","container-title":"Acta Materialia","DOI":"10.1016/j.actamat.2022.118630","ISSN":"13596454","journalAbbreviation":"Acta Materialia","language":"en","page":"118630","source":"DOI.org (Crossref)","title":"The vibrational entropy spectra of grain boundary segregation in polycrystals","volume":"245","author":[{"family":"Tuchinda","given":"Nutth"},{"family":"Schuh","given":"Christopher A."}],"issued":{"date-parts":[["2023",2]]}}}],"schema":"https://github.com/citation-style-language/schema/raw/master/csl-citation.json"} </w:instrText>
      </w:r>
      <w:r w:rsidR="009A1D26" w:rsidRPr="00ED6690">
        <w:rPr>
          <w:rFonts w:ascii="Times New Roman" w:hAnsi="Times New Roman" w:cs="Times New Roman"/>
          <w:szCs w:val="24"/>
        </w:rPr>
        <w:fldChar w:fldCharType="separate"/>
      </w:r>
      <w:r w:rsidR="00C87BD7" w:rsidRPr="00C87BD7">
        <w:rPr>
          <w:rFonts w:ascii="Times New Roman" w:hAnsi="Times New Roman" w:cs="Times New Roman"/>
          <w:szCs w:val="24"/>
          <w:vertAlign w:val="superscript"/>
        </w:rPr>
        <w:t>1</w:t>
      </w:r>
      <w:r w:rsidR="009A1D26" w:rsidRPr="00ED6690">
        <w:rPr>
          <w:rFonts w:ascii="Times New Roman" w:hAnsi="Times New Roman" w:cs="Times New Roman"/>
          <w:szCs w:val="24"/>
        </w:rPr>
        <w:fldChar w:fldCharType="end"/>
      </w:r>
      <w:r w:rsidR="009A1D26" w:rsidRPr="00ED6690">
        <w:rPr>
          <w:rFonts w:ascii="Times New Roman" w:hAnsi="Times New Roman" w:cs="Times New Roman"/>
          <w:szCs w:val="24"/>
        </w:rPr>
        <w:t>.</w:t>
      </w:r>
      <w:r w:rsidR="00634A38" w:rsidRPr="00ED6690">
        <w:rPr>
          <w:rFonts w:ascii="Times New Roman" w:hAnsi="Times New Roman" w:cs="Times New Roman"/>
          <w:szCs w:val="24"/>
        </w:rPr>
        <w:t xml:space="preserve"> We also note that the eigenvalues are calculated with double precision routines</w:t>
      </w:r>
      <w:r w:rsidR="00B16834">
        <w:rPr>
          <w:rFonts w:ascii="Times New Roman" w:hAnsi="Times New Roman" w:cs="Times New Roman"/>
          <w:szCs w:val="24"/>
        </w:rPr>
        <w:t>.</w:t>
      </w:r>
      <w:r w:rsidR="007E114F">
        <w:rPr>
          <w:rFonts w:ascii="Times New Roman" w:hAnsi="Times New Roman" w:cs="Times New Roman"/>
          <w:szCs w:val="24"/>
        </w:rPr>
        <w:t xml:space="preserve"> We include a report of </w:t>
      </w:r>
      <w:r w:rsidR="00816C0C">
        <w:rPr>
          <w:rFonts w:ascii="Times New Roman" w:hAnsi="Times New Roman" w:cs="Times New Roman"/>
          <w:szCs w:val="24"/>
        </w:rPr>
        <w:t>imaginary part</w:t>
      </w:r>
      <w:r w:rsidR="009F1EF1">
        <w:rPr>
          <w:rFonts w:ascii="Times New Roman" w:hAnsi="Times New Roman" w:cs="Times New Roman"/>
          <w:szCs w:val="24"/>
        </w:rPr>
        <w:t>s</w:t>
      </w:r>
      <w:r w:rsidR="00816C0C">
        <w:rPr>
          <w:rFonts w:ascii="Times New Roman" w:hAnsi="Times New Roman" w:cs="Times New Roman"/>
          <w:szCs w:val="24"/>
        </w:rPr>
        <w:t xml:space="preserve"> in the </w:t>
      </w:r>
      <w:r w:rsidR="001219E7">
        <w:rPr>
          <w:rFonts w:ascii="Times New Roman" w:hAnsi="Times New Roman" w:cs="Times New Roman"/>
          <w:szCs w:val="24"/>
        </w:rPr>
        <w:t>repository</w:t>
      </w:r>
      <w:r w:rsidR="001219E7">
        <w:rPr>
          <w:rFonts w:ascii="Times New Roman" w:hAnsi="Times New Roman" w:cs="Times New Roman"/>
          <w:szCs w:val="24"/>
        </w:rPr>
        <w:fldChar w:fldCharType="begin"/>
      </w:r>
      <w:r w:rsidR="00052644">
        <w:rPr>
          <w:rFonts w:ascii="Times New Roman" w:hAnsi="Times New Roman" w:cs="Times New Roman"/>
          <w:szCs w:val="24"/>
        </w:rPr>
        <w:instrText xml:space="preserve"> ADDIN ZOTERO_ITEM CSL_CITATION {"citationID":"MO5OrpsT","properties":{"formattedCitation":"\\super 59\\nosupersub{}","plainCitation":"59","noteIndex":0},"citationItems":[{"id":965,"uris":["http://zotero.org/users/5159096/items/9VP5RYB4"],"itemData":{"id":965,"type":"dataset","archive":"figshare","archive_location":"figshare","DOI":"https://doi.org/10.6084/m9.figshare.23532294 Private Share Link: https://figshare.com/s/5c938da6492c513e4360","event-place":"figshare","publisher":"figshare","publisher-place":"figshare","title":"Dataset - Computed Entropy Spectra for Grain Boundary Segregation in Polycrystals","URL":"https://figshare.com/s/5c938da6492c513e4360","author":[{"family":"Tuchinda","given":"Nutth"},{"family":"Schuh","given":"Christopher A."}]}}],"schema":"https://github.com/citation-style-language/schema/raw/master/csl-citation.json"} </w:instrText>
      </w:r>
      <w:r w:rsidR="001219E7">
        <w:rPr>
          <w:rFonts w:ascii="Times New Roman" w:hAnsi="Times New Roman" w:cs="Times New Roman"/>
          <w:szCs w:val="24"/>
        </w:rPr>
        <w:fldChar w:fldCharType="separate"/>
      </w:r>
      <w:r w:rsidR="00FA4EAC" w:rsidRPr="00FA4EAC">
        <w:rPr>
          <w:rFonts w:ascii="Times New Roman" w:hAnsi="Times New Roman" w:cs="Times New Roman"/>
          <w:kern w:val="0"/>
          <w:szCs w:val="24"/>
          <w:vertAlign w:val="superscript"/>
        </w:rPr>
        <w:t>59</w:t>
      </w:r>
      <w:r w:rsidR="001219E7">
        <w:rPr>
          <w:rFonts w:ascii="Times New Roman" w:hAnsi="Times New Roman" w:cs="Times New Roman"/>
          <w:szCs w:val="24"/>
        </w:rPr>
        <w:fldChar w:fldCharType="end"/>
      </w:r>
      <w:r w:rsidR="00816C0C">
        <w:rPr>
          <w:rFonts w:ascii="Times New Roman" w:hAnsi="Times New Roman" w:cs="Times New Roman"/>
          <w:szCs w:val="24"/>
        </w:rPr>
        <w:t xml:space="preserve">. The magnitudes </w:t>
      </w:r>
      <w:r w:rsidR="001219E7">
        <w:rPr>
          <w:rFonts w:ascii="Times New Roman" w:hAnsi="Times New Roman" w:cs="Times New Roman"/>
          <w:szCs w:val="24"/>
        </w:rPr>
        <w:t>of imaginary part</w:t>
      </w:r>
      <w:r w:rsidR="000A0FA8">
        <w:rPr>
          <w:rFonts w:ascii="Times New Roman" w:hAnsi="Times New Roman" w:cs="Times New Roman"/>
          <w:szCs w:val="24"/>
        </w:rPr>
        <w:t>s</w:t>
      </w:r>
      <w:r w:rsidR="001219E7">
        <w:rPr>
          <w:rFonts w:ascii="Times New Roman" w:hAnsi="Times New Roman" w:cs="Times New Roman"/>
          <w:szCs w:val="24"/>
        </w:rPr>
        <w:t xml:space="preserve"> are very </w:t>
      </w:r>
      <w:proofErr w:type="gramStart"/>
      <w:r w:rsidR="001219E7">
        <w:rPr>
          <w:rFonts w:ascii="Times New Roman" w:hAnsi="Times New Roman" w:cs="Times New Roman"/>
          <w:szCs w:val="24"/>
        </w:rPr>
        <w:t>small</w:t>
      </w:r>
      <w:proofErr w:type="gramEnd"/>
      <w:r w:rsidR="001219E7">
        <w:rPr>
          <w:rFonts w:ascii="Times New Roman" w:hAnsi="Times New Roman" w:cs="Times New Roman"/>
          <w:szCs w:val="24"/>
        </w:rPr>
        <w:t xml:space="preserve"> and </w:t>
      </w:r>
      <w:r w:rsidR="00F86730">
        <w:rPr>
          <w:rFonts w:ascii="Times New Roman" w:hAnsi="Times New Roman" w:cs="Times New Roman"/>
          <w:szCs w:val="24"/>
        </w:rPr>
        <w:t xml:space="preserve">the imaginary parts </w:t>
      </w:r>
      <w:r w:rsidR="009F1EF1">
        <w:rPr>
          <w:rFonts w:ascii="Times New Roman" w:hAnsi="Times New Roman" w:cs="Times New Roman"/>
          <w:szCs w:val="24"/>
        </w:rPr>
        <w:t>are therefore neglected in this work.</w:t>
      </w:r>
    </w:p>
    <w:p w14:paraId="1D06C29F" w14:textId="16F1B575" w:rsidR="004F2558" w:rsidRDefault="00B9588C" w:rsidP="00246F20">
      <w:pPr>
        <w:ind w:firstLine="360"/>
        <w:jc w:val="both"/>
        <w:rPr>
          <w:rFonts w:ascii="Times New Roman" w:hAnsi="Times New Roman" w:cs="Times New Roman"/>
          <w:szCs w:val="24"/>
        </w:rPr>
      </w:pPr>
      <w:r w:rsidRPr="00ED6690">
        <w:rPr>
          <w:rFonts w:ascii="Times New Roman" w:eastAsiaTheme="minorEastAsia" w:hAnsi="Times New Roman" w:cs="Times New Roman"/>
          <w:szCs w:val="24"/>
        </w:rPr>
        <w:t xml:space="preserve">In addition, </w:t>
      </w:r>
      <w:r w:rsidR="00716BEE">
        <w:rPr>
          <w:rFonts w:ascii="Times New Roman" w:eastAsiaTheme="minorEastAsia" w:hAnsi="Times New Roman" w:cs="Times New Roman"/>
          <w:szCs w:val="24"/>
        </w:rPr>
        <w:t xml:space="preserve">we find that </w:t>
      </w:r>
      <w:r w:rsidRPr="00ED6690">
        <w:rPr>
          <w:rFonts w:ascii="Times New Roman" w:eastAsiaTheme="minorEastAsia" w:hAnsi="Times New Roman" w:cs="Times New Roman"/>
          <w:szCs w:val="24"/>
        </w:rPr>
        <w:t>s</w:t>
      </w:r>
      <w:r w:rsidR="002276EF" w:rsidRPr="00ED6690">
        <w:rPr>
          <w:rFonts w:ascii="Times New Roman" w:eastAsiaTheme="minorEastAsia" w:hAnsi="Times New Roman" w:cs="Times New Roman"/>
          <w:szCs w:val="24"/>
        </w:rPr>
        <w:t>ystems with stronger segregation</w:t>
      </w:r>
      <w:r w:rsidR="00C341D2">
        <w:rPr>
          <w:rFonts w:ascii="Times New Roman" w:eastAsiaTheme="minorEastAsia" w:hAnsi="Times New Roman" w:cs="Times New Roman"/>
          <w:szCs w:val="24"/>
        </w:rPr>
        <w:t xml:space="preserve"> </w:t>
      </w:r>
      <w:r w:rsidR="008004CA">
        <w:rPr>
          <w:rFonts w:ascii="Times New Roman" w:eastAsiaTheme="minorEastAsia" w:hAnsi="Times New Roman" w:cs="Times New Roman"/>
          <w:szCs w:val="24"/>
        </w:rPr>
        <w:t>and</w:t>
      </w:r>
      <w:r w:rsidR="00C341D2">
        <w:rPr>
          <w:rFonts w:ascii="Times New Roman" w:eastAsiaTheme="minorEastAsia" w:hAnsi="Times New Roman" w:cs="Times New Roman"/>
          <w:szCs w:val="24"/>
        </w:rPr>
        <w:t xml:space="preserve"> </w:t>
      </w:r>
      <w:r w:rsidR="00976E72">
        <w:rPr>
          <w:rFonts w:ascii="Times New Roman" w:eastAsiaTheme="minorEastAsia" w:hAnsi="Times New Roman" w:cs="Times New Roman"/>
          <w:szCs w:val="24"/>
        </w:rPr>
        <w:t>a larger</w:t>
      </w:r>
      <w:r w:rsidR="00C341D2">
        <w:rPr>
          <w:rFonts w:ascii="Times New Roman" w:eastAsiaTheme="minorEastAsia" w:hAnsi="Times New Roman" w:cs="Times New Roman"/>
          <w:szCs w:val="24"/>
        </w:rPr>
        <w:t xml:space="preserve"> potential cutoff radius</w:t>
      </w:r>
      <w:r w:rsidR="002276EF" w:rsidRPr="00ED6690">
        <w:rPr>
          <w:rFonts w:ascii="Times New Roman" w:eastAsiaTheme="minorEastAsia" w:hAnsi="Times New Roman" w:cs="Times New Roman"/>
          <w:szCs w:val="24"/>
        </w:rPr>
        <w:t xml:space="preserve"> than</w:t>
      </w:r>
      <w:r w:rsidR="00716BEE">
        <w:rPr>
          <w:rFonts w:ascii="Times New Roman" w:eastAsiaTheme="minorEastAsia" w:hAnsi="Times New Roman" w:cs="Times New Roman"/>
          <w:szCs w:val="24"/>
        </w:rPr>
        <w:t xml:space="preserve"> the</w:t>
      </w:r>
      <w:r w:rsidR="002276EF" w:rsidRPr="00ED6690">
        <w:rPr>
          <w:rFonts w:ascii="Times New Roman" w:eastAsiaTheme="minorEastAsia" w:hAnsi="Times New Roman" w:cs="Times New Roman"/>
          <w:szCs w:val="24"/>
        </w:rPr>
        <w:t xml:space="preserve"> five Ni-based systems </w:t>
      </w:r>
      <w:r w:rsidR="00716BEE">
        <w:rPr>
          <w:rFonts w:ascii="Times New Roman" w:eastAsiaTheme="minorEastAsia" w:hAnsi="Times New Roman" w:cs="Times New Roman"/>
          <w:szCs w:val="24"/>
        </w:rPr>
        <w:t>studied in our earlier work</w:t>
      </w:r>
      <w:r w:rsidR="002276EF" w:rsidRPr="00ED6690">
        <w:rPr>
          <w:rFonts w:ascii="Times New Roman" w:eastAsiaTheme="minorEastAsia" w:hAnsi="Times New Roman" w:cs="Times New Roman"/>
          <w:szCs w:val="24"/>
        </w:rPr>
        <w:t xml:space="preserve"> in Ref.</w:t>
      </w:r>
      <w:r w:rsidR="002276EF" w:rsidRPr="00ED6690">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{"citationID":"up0aBafG","properties":{"formattedCitation":"\\super 1\\nosupersub{}","plainCitation":"1","noteIndex":0},"citationItems":[{"id":1167,"uris":["http://zotero.org/users/5159096/items/ZLCFBZ4N"],"itemData":{"id":1167,"type":"article-journal","abstract":"The vibrational contributions to the energetics of grain boundary segregation are calculated for binary Ni polycrystals with solutes of Pd, Pt, Ag, Au and Cu. The computational challenge of the problem is to assess each different grain boundary site and produce full spectra of both site energies and entropies, which is addressed through a multiscale approach in which a full harmonic calculation is completed only in the vicinity of the solute atom, and a buffer region based on a local harmonic calculation effects connectivity to the bulk polycrystal. The resulting segregation free energy spectra illustrate the artificial nature of segregation temperature dependencies when the vibrational entropy is not considered, and highlight the importance of including the vibrational entropy spectrum for rigorous calculations. For a 5% solute loading level, for example, the magnitude of the artificial temperature dependence calculated ranges from 31 to 43% of the total effective segregation entropy for the various systems explored. Finally, a strong linear correlation between site segregation energy (which is not much affected by vibrational effects within the harmonic approximation) and vibrational entropy is observed in polycrystals, in agreement with prior works of coincident site lattice boundaries; this correlation promises sig­ nificant simplification of segregation calculations in polycrystals generally.","container-title":"Acta Materialia","DOI":"10.1016/j.actamat.2022.118630","ISSN":"13596454","journalAbbreviation":"Acta Materialia","language":"en","page":"118630","source":"DOI.org (Crossref)","title":"The vibrational entropy spectra of grain boundary segregation in polycrystals","volume":"245","author":[{"family":"Tuchinda","given":"Nutth"},{"family":"Schuh","given":"Christopher A."}],"issued":{"date-parts":[["2023",2]]}}}],"schema":"https://github.com/citation-style-language/schema/raw/master/csl-citation.json"} </w:instrText>
      </w:r>
      <w:r w:rsidR="002276EF" w:rsidRPr="00ED6690">
        <w:rPr>
          <w:rFonts w:ascii="Times New Roman" w:eastAsiaTheme="minorEastAsia" w:hAnsi="Times New Roman" w:cs="Times New Roman"/>
          <w:szCs w:val="24"/>
        </w:rPr>
        <w:fldChar w:fldCharType="separate"/>
      </w:r>
      <w:r w:rsidR="00C87BD7" w:rsidRPr="00C87BD7">
        <w:rPr>
          <w:rFonts w:ascii="Times New Roman" w:hAnsi="Times New Roman" w:cs="Times New Roman"/>
          <w:szCs w:val="24"/>
          <w:vertAlign w:val="superscript"/>
        </w:rPr>
        <w:t>1</w:t>
      </w:r>
      <w:r w:rsidR="002276EF" w:rsidRPr="00ED6690">
        <w:rPr>
          <w:rFonts w:ascii="Times New Roman" w:eastAsiaTheme="minorEastAsia" w:hAnsi="Times New Roman" w:cs="Times New Roman"/>
          <w:szCs w:val="24"/>
        </w:rPr>
        <w:fldChar w:fldCharType="end"/>
      </w:r>
      <w:r w:rsidR="002276EF" w:rsidRPr="00ED6690">
        <w:rPr>
          <w:rFonts w:ascii="Times New Roman" w:eastAsiaTheme="minorEastAsia" w:hAnsi="Times New Roman" w:cs="Times New Roman"/>
          <w:szCs w:val="24"/>
        </w:rPr>
        <w:t xml:space="preserve"> may require higher cutoff radii due to the extent of atomic displacement upon relaxation. We have therefore conducted convergence tests for </w:t>
      </w:r>
      <w:r w:rsidR="00976E72">
        <w:rPr>
          <w:rFonts w:ascii="Times New Roman" w:eastAsiaTheme="minorEastAsia" w:hAnsi="Times New Roman" w:cs="Times New Roman"/>
          <w:szCs w:val="24"/>
        </w:rPr>
        <w:t>Al(Pb)</w:t>
      </w:r>
      <w:r w:rsidR="008F0635">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{"citationID":"inIzVFn8","properties":{"formattedCitation":"\\super 26\\nosupersub{}","plainCitation":"26","noteIndex":0},"citationItems":[{"id":1106,"uris":["http://zotero.org/users/5159096/items/J7XWXSLN"],"itemData":{"id":1106,"type":"article-journal","abstract":"ÐEmpirical many-body potentials of the glue-type have been constructed for the Al±Pb system using the ``force matching'' method. The potentials are ®tted to experimental data, physical quantities derived from ab initio linear mun-tin orbitals calculations and a massive quantum mechanical database of atomic forces generated using ultrasoft pseudopotentials in conjunction with ab initio molecular statics simulations. Monte Carlo simulations using these potentials have been employed to compute an Al±Pb phase diagram which is in fair agreement with experimental data. 7 2000 Acta Metallurgica Inc. Published by Elsevier Science Ltd. All rights reserved.","container-title":"Acta Materialia","DOI":"10.1016/S1359-6454(00)00002-1","ISSN":"13596454","issue":"8","journalAbbreviation":"Acta Materialia","language":"en","page":"1753-1761","source":"DOI.org (Crossref)","title":"Development of glue-type potentials for the Al–Pb system: phase diagram calculation","title-short":"Development of glue-type potentials for the Al–Pb system","volume":"48","author":[{"family":"Landa","given":"A."},{"family":"Wynblatt","given":"P."},{"family":"Siegel","given":"D.J."},{"family":"Adams","given":"J.B."},{"family":"Mryasov","given":"O.N."},{"family":"Liu","given":"X.-Y."}],"issued":{"date-parts":[["2000",5]]}}}],"schema":"https://github.com/citation-style-language/schema/raw/master/csl-citation.json"} </w:instrText>
      </w:r>
      <w:r w:rsidR="008F0635">
        <w:rPr>
          <w:rFonts w:ascii="Times New Roman" w:eastAsiaTheme="minorEastAsia" w:hAnsi="Times New Roman" w:cs="Times New Roman"/>
          <w:szCs w:val="24"/>
        </w:rPr>
        <w:fldChar w:fldCharType="separate"/>
      </w:r>
      <w:r w:rsidR="008F0635" w:rsidRPr="008F0635">
        <w:rPr>
          <w:rFonts w:ascii="Times New Roman" w:hAnsi="Times New Roman" w:cs="Times New Roman"/>
          <w:szCs w:val="24"/>
          <w:vertAlign w:val="superscript"/>
        </w:rPr>
        <w:t>26</w:t>
      </w:r>
      <w:r w:rsidR="008F0635">
        <w:rPr>
          <w:rFonts w:ascii="Times New Roman" w:eastAsiaTheme="minorEastAsia" w:hAnsi="Times New Roman" w:cs="Times New Roman"/>
          <w:szCs w:val="24"/>
        </w:rPr>
        <w:fldChar w:fldCharType="end"/>
      </w:r>
      <w:r w:rsidR="00976E72">
        <w:rPr>
          <w:rFonts w:ascii="Times New Roman" w:eastAsiaTheme="minorEastAsia" w:hAnsi="Times New Roman" w:cs="Times New Roman"/>
          <w:szCs w:val="24"/>
        </w:rPr>
        <w:t xml:space="preserve">, </w:t>
      </w:r>
      <w:r w:rsidR="002276EF" w:rsidRPr="00ED6690">
        <w:rPr>
          <w:rFonts w:ascii="Times New Roman" w:eastAsiaTheme="minorEastAsia" w:hAnsi="Times New Roman" w:cs="Times New Roman"/>
          <w:szCs w:val="24"/>
        </w:rPr>
        <w:t>Al(</w:t>
      </w:r>
      <w:proofErr w:type="spellStart"/>
      <w:r w:rsidR="002276EF" w:rsidRPr="00ED6690">
        <w:rPr>
          <w:rFonts w:ascii="Times New Roman" w:eastAsiaTheme="minorEastAsia" w:hAnsi="Times New Roman" w:cs="Times New Roman"/>
          <w:szCs w:val="24"/>
        </w:rPr>
        <w:t>Sm</w:t>
      </w:r>
      <w:proofErr w:type="spellEnd"/>
      <w:r w:rsidR="002276EF" w:rsidRPr="00ED6690">
        <w:rPr>
          <w:rFonts w:ascii="Times New Roman" w:eastAsiaTheme="minorEastAsia" w:hAnsi="Times New Roman" w:cs="Times New Roman"/>
          <w:szCs w:val="24"/>
        </w:rPr>
        <w:t>)</w:t>
      </w:r>
      <w:r w:rsidR="002276EF" w:rsidRPr="00ED6690">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{"citationID":"Q2WRlzvd","properties":{"formattedCitation":"\\super 27\\nosupersub{}","plainCitation":"27","noteIndex":0},"citationItems":[{"id":2440,"uris":["http://zotero.org/users/5159096/items/W3ASK7P6","http://zotero.org/users/5159096/items/MIKQQ8VF"],"itemData":{"id":2440,"type":"article-journal","abstract":"A semi-empirical potential for the Al90Sm10 alloy is presented. The potential provides satisfactory reproduction of pure Al properties, the formation energies of a set of Al–Sm crystal phases with Sm content about 10%, and the structure of the liquid Al90Sm10 alloy. During molecular dynamics simulation in which the liquid alloy is cooled at a rate of 1010 K s−1, the developed potential produces a glass structure with lower ab initio energy than that produced by ab initio molecular dynamics (AIMD) itself using a typical AIMD cooling rate of 8·1013 K s−1. Based on these facts the developed potential should be suitable for simulations of phase transformations in the Al90Sm10 alloy.","container-title":"Modelling and Simulation in Materials Science and Engineering","DOI":"10.1088/0965-0393/23/4/045013","ISSN":"0965-0393","issue":"4","note":"publisher: IOP Publishing","page":"045013","title":"Development of interatomic potentials appropriate for simulation of devitrification of Al90Sm10 alloy","volume":"23","author":[{"family":"Mendelev","given":"M I"},{"family":"Zhang","given":"F"},{"family":"Ye","given":"Z"},{"family":"Sun","given":"Y"},{"family":"Nguyen","given":"M C"},{"family":"Wilson","given":"S R"},{"family":"Wang","given":"C Z"},{"family":"Ho","given":"K M"}],"issued":{"date-parts":[["2015",4,23]]}},"label":"page"}],"schema":"https://github.com/citation-style-language/schema/raw/master/csl-citation.json"} </w:instrText>
      </w:r>
      <w:r w:rsidR="002276EF" w:rsidRPr="00ED6690">
        <w:rPr>
          <w:rFonts w:ascii="Times New Roman" w:eastAsiaTheme="minorEastAsia" w:hAnsi="Times New Roman" w:cs="Times New Roman"/>
          <w:szCs w:val="24"/>
        </w:rPr>
        <w:fldChar w:fldCharType="separate"/>
      </w:r>
      <w:r w:rsidR="00FA4EAC" w:rsidRPr="00FA4EAC">
        <w:rPr>
          <w:rFonts w:ascii="Times New Roman" w:hAnsi="Times New Roman" w:cs="Times New Roman"/>
          <w:kern w:val="0"/>
          <w:szCs w:val="24"/>
          <w:vertAlign w:val="superscript"/>
        </w:rPr>
        <w:t>27</w:t>
      </w:r>
      <w:r w:rsidR="002276EF" w:rsidRPr="00ED6690">
        <w:rPr>
          <w:rFonts w:ascii="Times New Roman" w:eastAsiaTheme="minorEastAsia" w:hAnsi="Times New Roman" w:cs="Times New Roman"/>
          <w:szCs w:val="24"/>
        </w:rPr>
        <w:fldChar w:fldCharType="end"/>
      </w:r>
      <w:r w:rsidR="002276EF" w:rsidRPr="00ED6690">
        <w:rPr>
          <w:rFonts w:ascii="Times New Roman" w:eastAsiaTheme="minorEastAsia" w:hAnsi="Times New Roman" w:cs="Times New Roman"/>
          <w:szCs w:val="24"/>
        </w:rPr>
        <w:t xml:space="preserve">, </w:t>
      </w:r>
      <w:r w:rsidR="00976E72">
        <w:rPr>
          <w:rFonts w:ascii="Times New Roman" w:eastAsiaTheme="minorEastAsia" w:hAnsi="Times New Roman" w:cs="Times New Roman"/>
          <w:szCs w:val="24"/>
        </w:rPr>
        <w:t>Cu(Pb)</w:t>
      </w:r>
      <w:r w:rsidR="008F0635">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{"citationID":"g7jMMLKI","properties":{"formattedCitation":"\\super 37\\nosupersub{}","plainCitation":"37","noteIndex":0},"citationItems":[{"id":626,"uris":["http://zotero.org/users/5159096/items/YHUDCBDJ"],"itemData":{"id":626,"type":"article-journal","abstract":"A simple procedure is used to formulate a Cu–Pb pair interaction function within the embedded atom (EAM) method framework. Embedding, density and pair functions for pure Cu and pure Pb are taken from previously published EAM studies. Optimization of the Cu–Pb potential was achieved by comparing with experiment the computed heats of mixing for Cu–Pb liquid alloys and the equilibrium phase diagram, the latter being determined via a thermodynamic integration technique. The topology of the temperature-composition phase diagram computed with this EAM potential is consistent with experiment and features a liquid–liquid miscibility gap, low solubility of Pb in solid Cu and a monotectic reaction at approximately 1012 K.","container-title":"Modelling and Simulation in Materials Science and Engineering","DOI":"10.1088/0965-0393/11/3/302","ISSN":"0965-0393","issue":"3","note":"publisher: IOP Publishing","page":"287-299","title":"An embedded atom method interatomic potential for the Cu Pb system","volume":"11","author":[{"family":"Hoyt","given":"J J"},{"family":"Garvin","given":"J W"},{"family":"Webb","given":"E B"},{"family":"Asta","given":"Mark"}],"issued":{"date-parts":[["2003",2,24]]}}}],"schema":"https://github.com/citation-style-language/schema/raw/master/csl-citation.json"} </w:instrText>
      </w:r>
      <w:r w:rsidR="008F0635">
        <w:rPr>
          <w:rFonts w:ascii="Times New Roman" w:eastAsiaTheme="minorEastAsia" w:hAnsi="Times New Roman" w:cs="Times New Roman"/>
          <w:szCs w:val="24"/>
        </w:rPr>
        <w:fldChar w:fldCharType="separate"/>
      </w:r>
      <w:r w:rsidR="008F0635" w:rsidRPr="008F0635">
        <w:rPr>
          <w:rFonts w:ascii="Times New Roman" w:hAnsi="Times New Roman" w:cs="Times New Roman"/>
          <w:szCs w:val="24"/>
          <w:vertAlign w:val="superscript"/>
        </w:rPr>
        <w:t>37</w:t>
      </w:r>
      <w:r w:rsidR="008F0635">
        <w:rPr>
          <w:rFonts w:ascii="Times New Roman" w:eastAsiaTheme="minorEastAsia" w:hAnsi="Times New Roman" w:cs="Times New Roman"/>
          <w:szCs w:val="24"/>
        </w:rPr>
        <w:fldChar w:fldCharType="end"/>
      </w:r>
      <w:r w:rsidR="00976E72">
        <w:rPr>
          <w:rFonts w:ascii="Times New Roman" w:eastAsiaTheme="minorEastAsia" w:hAnsi="Times New Roman" w:cs="Times New Roman"/>
          <w:szCs w:val="24"/>
        </w:rPr>
        <w:t xml:space="preserve">, </w:t>
      </w:r>
      <w:r w:rsidR="002276EF" w:rsidRPr="00ED6690">
        <w:rPr>
          <w:rFonts w:ascii="Times New Roman" w:eastAsiaTheme="minorEastAsia" w:hAnsi="Times New Roman" w:cs="Times New Roman"/>
          <w:szCs w:val="24"/>
        </w:rPr>
        <w:t>Cu(Zr)</w:t>
      </w:r>
      <w:r w:rsidR="002276EF" w:rsidRPr="00ED6690">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{"citationID":"6rQNjcF5","properties":{"formattedCitation":"\\super 38\\nosupersub{}","plainCitation":"38","noteIndex":0},"citationItems":[{"id":624,"uris":["http://zotero.org/users/5159096/items/7WSS4RCB"],"itemData":{"id":624,"type":"article-journal","abstract":"Dislocation nucleation from grain boundaries (GB) can control plastic deformation in nano-crystalline metals under certain conditions, but little is known about what controls dislocation nucleation, because when data from different materials are compared, the variations of many interacting properties tend to obscure the effects of any single property. In this study, we seek clarification by applying a unique capability of semi-empirical potentials in molecular dynamics simulations: the potentials can be modified such that all significant material properties but one, are kept constant. Using a set of potentials developed to isolate the effects of stacking fault energy, we show that for a given grain boundary, loading orientation and strain rate, the yield stress depends linearly on both the stable and unstable stacking fault energies. The coefficients of proportionality depend on the GB structure and the value of the yield stress is related to the density of the E structural units in the GB. While the impact of the stable stacking fault energy is easy to understand, the unstable stacking fault energy requires more elucidation and we provide a framework for understanding how it affects the nucleation and propagation process.","container-title":"Modelling and Simulation in Materials Science and Engineering","DOI":"10.1088/0965-0393/24/8/085017","ISSN":"0965-0393","issue":"8","note":"publisher: IOP Publishing","page":"085017","title":"Effects of stable and unstable stacking fault energy on dislocation nucleation in nano-crystalline metals","volume":"24","author":[{"family":"Borovikov","given":"Valery"},{"family":"Mendelev","given":"Mikhail I"},{"family":"King","given":"Alexander H"}],"issued":{"date-parts":[["2016",11,9]]}},"label":"page"}],"schema":"https://github.com/citation-style-language/schema/raw/master/csl-citation.json"} </w:instrText>
      </w:r>
      <w:r w:rsidR="002276EF" w:rsidRPr="00ED6690">
        <w:rPr>
          <w:rFonts w:ascii="Times New Roman" w:eastAsiaTheme="minorEastAsia" w:hAnsi="Times New Roman" w:cs="Times New Roman"/>
          <w:szCs w:val="24"/>
        </w:rPr>
        <w:fldChar w:fldCharType="separate"/>
      </w:r>
      <w:r w:rsidR="000546CC" w:rsidRPr="000546CC">
        <w:rPr>
          <w:rFonts w:ascii="Times New Roman" w:hAnsi="Times New Roman" w:cs="Times New Roman"/>
          <w:szCs w:val="24"/>
          <w:vertAlign w:val="superscript"/>
        </w:rPr>
        <w:t>38</w:t>
      </w:r>
      <w:r w:rsidR="002276EF" w:rsidRPr="00ED6690">
        <w:rPr>
          <w:rFonts w:ascii="Times New Roman" w:eastAsiaTheme="minorEastAsia" w:hAnsi="Times New Roman" w:cs="Times New Roman"/>
          <w:szCs w:val="24"/>
        </w:rPr>
        <w:fldChar w:fldCharType="end"/>
      </w:r>
      <w:r w:rsidR="00976E72">
        <w:rPr>
          <w:rFonts w:ascii="Times New Roman" w:eastAsiaTheme="minorEastAsia" w:hAnsi="Times New Roman" w:cs="Times New Roman"/>
          <w:szCs w:val="24"/>
        </w:rPr>
        <w:t>, Ni(Pd)</w:t>
      </w:r>
      <w:r w:rsidR="008F0635">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{"citationID":"U9jQZY2Z","properties":{"formattedCitation":"\\super 10\\nosupersub{}","plainCitation":"10","noteIndex":0},"citationItems":[{"id":2455,"uris":["http://zotero.org/users/5159096/items/6GWLGNVC","http://zotero.org/users/5159096/items/2C2DCC5Z"],"itemData":{"id":2455,"type":"article-journal","container-title":"Physical Review B","DOI":"10.1103/PhysRevB.33.7983","issue":"12","journalAbbreviation":"Phys. Rev. B","note":"publisher: American Physical Society","page":"7983-7991","title":"Embedded-atom-method functions for the fcc metals Cu, Ag, Au, Ni, Pd, Pt, and their alloys","volume":"33","author":[{"family":"Foiles","given":"S. M."},{"family":"Baskes","given":"M. I."},{"family":"Daw","given":"M. S."}],"issued":{"date-parts":[["1986",6,15]]}}}],"schema":"https://github.com/citation-style-language/schema/raw/master/csl-citation.json"} </w:instrText>
      </w:r>
      <w:r w:rsidR="008F0635">
        <w:rPr>
          <w:rFonts w:ascii="Times New Roman" w:eastAsiaTheme="minorEastAsia" w:hAnsi="Times New Roman" w:cs="Times New Roman"/>
          <w:szCs w:val="24"/>
        </w:rPr>
        <w:fldChar w:fldCharType="separate"/>
      </w:r>
      <w:r w:rsidR="008F0635" w:rsidRPr="008F0635">
        <w:rPr>
          <w:rFonts w:ascii="Times New Roman" w:hAnsi="Times New Roman" w:cs="Times New Roman"/>
          <w:szCs w:val="24"/>
          <w:vertAlign w:val="superscript"/>
        </w:rPr>
        <w:t>10</w:t>
      </w:r>
      <w:r w:rsidR="008F0635">
        <w:rPr>
          <w:rFonts w:ascii="Times New Roman" w:eastAsiaTheme="minorEastAsia" w:hAnsi="Times New Roman" w:cs="Times New Roman"/>
          <w:szCs w:val="24"/>
        </w:rPr>
        <w:fldChar w:fldCharType="end"/>
      </w:r>
      <w:r w:rsidR="002276EF" w:rsidRPr="00ED6690">
        <w:rPr>
          <w:rFonts w:ascii="Times New Roman" w:eastAsiaTheme="minorEastAsia" w:hAnsi="Times New Roman" w:cs="Times New Roman"/>
          <w:szCs w:val="24"/>
        </w:rPr>
        <w:t xml:space="preserve"> </w:t>
      </w:r>
      <w:r w:rsidR="002A5A89" w:rsidRPr="00ED6690">
        <w:rPr>
          <w:rFonts w:ascii="Times New Roman" w:eastAsiaTheme="minorEastAsia" w:hAnsi="Times New Roman" w:cs="Times New Roman"/>
          <w:szCs w:val="24"/>
        </w:rPr>
        <w:t>and Ni(Zr)</w:t>
      </w:r>
      <w:r w:rsidR="002A5A89" w:rsidRPr="00ED6690">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{"citationID":"fFTYgJxR","properties":{"formattedCitation":"\\super 54\\nosupersub{}","plainCitation":"54","noteIndex":0},"citationItems":[{"id":612,"uris":["http://zotero.org/users/5159096/items/AGBHI7IW"],"itemData":{"id":612,"type":"article-journal","container-title":"Philosophical Magazine","DOI":"10.1080/14786435.2014.995742","ISSN":"1478-6435","issue":"2","journalAbbreviation":"Philosophical Magazine","note":"publisher: Taylor &amp; Francis","page":"224-241","title":"Anisotropy of the solid–liquid interface properties of the Ni–Zr B33 phase from molecular dynamics simulation","volume":"95","author":[{"family":"Wilson","given":"S.R."},{"family":"Mendelev","given":"M.I."}],"issued":{"date-parts":[["2015",1,12]]}}}],"schema":"https://github.com/citation-style-language/schema/raw/master/csl-citation.json"} </w:instrText>
      </w:r>
      <w:r w:rsidR="002A5A89" w:rsidRPr="00ED6690">
        <w:rPr>
          <w:rFonts w:ascii="Times New Roman" w:eastAsiaTheme="minorEastAsia" w:hAnsi="Times New Roman" w:cs="Times New Roman"/>
          <w:szCs w:val="24"/>
        </w:rPr>
        <w:fldChar w:fldCharType="separate"/>
      </w:r>
      <w:r w:rsidR="00FA4EAC" w:rsidRPr="00FA4EAC">
        <w:rPr>
          <w:rFonts w:ascii="Times New Roman" w:hAnsi="Times New Roman" w:cs="Times New Roman"/>
          <w:kern w:val="0"/>
          <w:szCs w:val="24"/>
          <w:vertAlign w:val="superscript"/>
        </w:rPr>
        <w:t>54</w:t>
      </w:r>
      <w:r w:rsidR="002A5A89" w:rsidRPr="00ED6690">
        <w:rPr>
          <w:rFonts w:ascii="Times New Roman" w:eastAsiaTheme="minorEastAsia" w:hAnsi="Times New Roman" w:cs="Times New Roman"/>
          <w:szCs w:val="24"/>
        </w:rPr>
        <w:fldChar w:fldCharType="end"/>
      </w:r>
      <w:r w:rsidR="002A5A89" w:rsidRPr="00ED6690">
        <w:rPr>
          <w:rFonts w:ascii="Times New Roman" w:eastAsiaTheme="minorEastAsia" w:hAnsi="Times New Roman" w:cs="Times New Roman"/>
          <w:szCs w:val="24"/>
        </w:rPr>
        <w:t xml:space="preserve"> </w:t>
      </w:r>
      <w:r w:rsidR="002276EF" w:rsidRPr="00ED6690">
        <w:rPr>
          <w:rFonts w:ascii="Times New Roman" w:eastAsiaTheme="minorEastAsia" w:hAnsi="Times New Roman" w:cs="Times New Roman"/>
          <w:szCs w:val="24"/>
        </w:rPr>
        <w:t>due to their strong segregation (</w:t>
      </w:r>
      <w:r w:rsidR="0093054B">
        <w:rPr>
          <w:rFonts w:ascii="Times New Roman" w:eastAsiaTheme="minorEastAsia" w:hAnsi="Times New Roman" w:cs="Times New Roman"/>
          <w:szCs w:val="24"/>
        </w:rPr>
        <w:t>spectra</w:t>
      </w:r>
      <w:r w:rsidR="0093054B" w:rsidRPr="00ED6690">
        <w:rPr>
          <w:rFonts w:ascii="Times New Roman" w:eastAsiaTheme="minorEastAsia" w:hAnsi="Times New Roman" w:cs="Times New Roman"/>
          <w:szCs w:val="24"/>
        </w:rPr>
        <w:t xml:space="preserve"> </w:t>
      </w:r>
      <w:r w:rsidR="002276EF" w:rsidRPr="00ED6690">
        <w:rPr>
          <w:rFonts w:ascii="Times New Roman" w:eastAsiaTheme="minorEastAsia" w:hAnsi="Times New Roman" w:cs="Times New Roman"/>
          <w:szCs w:val="24"/>
        </w:rPr>
        <w:t xml:space="preserve">are listed in Supplemental Material </w:t>
      </w:r>
      <w:r w:rsidR="0093054B">
        <w:rPr>
          <w:rFonts w:ascii="Times New Roman" w:eastAsiaTheme="minorEastAsia" w:hAnsi="Times New Roman" w:cs="Times New Roman"/>
          <w:szCs w:val="24"/>
        </w:rPr>
        <w:t>2</w:t>
      </w:r>
      <w:r w:rsidR="002276EF" w:rsidRPr="00ED6690">
        <w:rPr>
          <w:rFonts w:ascii="Times New Roman" w:eastAsiaTheme="minorEastAsia" w:hAnsi="Times New Roman" w:cs="Times New Roman"/>
          <w:szCs w:val="24"/>
        </w:rPr>
        <w:t>)</w:t>
      </w:r>
      <w:r w:rsidR="00C36469">
        <w:rPr>
          <w:rFonts w:ascii="Times New Roman" w:eastAsiaTheme="minorEastAsia" w:hAnsi="Times New Roman" w:cs="Times New Roman"/>
          <w:szCs w:val="24"/>
        </w:rPr>
        <w:t xml:space="preserve"> and relatively larger EAM cutoff radii</w:t>
      </w:r>
      <w:r w:rsidR="002276EF" w:rsidRPr="00ED6690">
        <w:rPr>
          <w:rFonts w:ascii="Times New Roman" w:eastAsiaTheme="minorEastAsia" w:hAnsi="Times New Roman" w:cs="Times New Roman"/>
          <w:szCs w:val="24"/>
        </w:rPr>
        <w:t xml:space="preserve">. We conservatively choose a large FH cutoff radius of </w:t>
      </w:r>
      <w:r w:rsidR="0093054B" w:rsidRPr="00ED6690">
        <w:rPr>
          <w:rFonts w:ascii="Times New Roman" w:eastAsiaTheme="minorEastAsia" w:hAnsi="Times New Roman" w:cs="Times New Roman"/>
          <w:szCs w:val="24"/>
        </w:rPr>
        <w:t>1</w:t>
      </w:r>
      <w:r w:rsidR="0093054B">
        <w:rPr>
          <w:rFonts w:ascii="Times New Roman" w:eastAsiaTheme="minorEastAsia" w:hAnsi="Times New Roman" w:cs="Times New Roman"/>
          <w:szCs w:val="24"/>
        </w:rPr>
        <w:t>4</w:t>
      </w:r>
      <w:r w:rsidR="0093054B" w:rsidRPr="00ED6690">
        <w:rPr>
          <w:rFonts w:ascii="Times New Roman" w:eastAsiaTheme="minorEastAsia" w:hAnsi="Times New Roman" w:cs="Times New Roman"/>
          <w:szCs w:val="24"/>
        </w:rPr>
        <w:t xml:space="preserve"> </w:t>
      </w:r>
      <w:r w:rsidR="002276EF" w:rsidRPr="00ED6690">
        <w:rPr>
          <w:rFonts w:ascii="Times New Roman" w:hAnsi="Times New Roman" w:cs="Times New Roman"/>
          <w:szCs w:val="24"/>
        </w:rPr>
        <w:t>Å</w:t>
      </w:r>
      <w:r w:rsidR="002276EF" w:rsidRPr="00ED6690">
        <w:rPr>
          <w:rFonts w:ascii="Times New Roman" w:eastAsiaTheme="minorEastAsia" w:hAnsi="Times New Roman" w:cs="Times New Roman"/>
          <w:szCs w:val="24"/>
        </w:rPr>
        <w:t xml:space="preserve"> and LH cutoff radius of </w:t>
      </w:r>
      <w:r w:rsidR="0093054B" w:rsidRPr="00ED6690">
        <w:rPr>
          <w:rFonts w:ascii="Times New Roman" w:eastAsiaTheme="minorEastAsia" w:hAnsi="Times New Roman" w:cs="Times New Roman"/>
          <w:szCs w:val="24"/>
        </w:rPr>
        <w:t>1</w:t>
      </w:r>
      <w:r w:rsidR="0093054B">
        <w:rPr>
          <w:rFonts w:ascii="Times New Roman" w:eastAsiaTheme="minorEastAsia" w:hAnsi="Times New Roman" w:cs="Times New Roman"/>
          <w:szCs w:val="24"/>
        </w:rPr>
        <w:t>8</w:t>
      </w:r>
      <w:r w:rsidR="0093054B" w:rsidRPr="00ED6690">
        <w:rPr>
          <w:rFonts w:ascii="Times New Roman" w:eastAsiaTheme="minorEastAsia" w:hAnsi="Times New Roman" w:cs="Times New Roman"/>
          <w:szCs w:val="24"/>
        </w:rPr>
        <w:t xml:space="preserve"> </w:t>
      </w:r>
      <w:r w:rsidR="002276EF" w:rsidRPr="00ED6690">
        <w:rPr>
          <w:rFonts w:ascii="Times New Roman" w:hAnsi="Times New Roman" w:cs="Times New Roman"/>
          <w:szCs w:val="24"/>
        </w:rPr>
        <w:t>Å</w:t>
      </w:r>
      <w:r w:rsidR="002276EF" w:rsidRPr="00ED6690">
        <w:rPr>
          <w:rFonts w:ascii="Times New Roman" w:eastAsiaTheme="minorEastAsia" w:hAnsi="Times New Roman" w:cs="Times New Roman"/>
          <w:szCs w:val="24"/>
        </w:rPr>
        <w:t xml:space="preserve"> which provide better accuracy compared to Ref.</w:t>
      </w:r>
      <w:r w:rsidR="002276EF" w:rsidRPr="00ED6690">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{"citationID":"3rsboSVz","properties":{"formattedCitation":"\\super 1\\nosupersub{}","plainCitation":"1","noteIndex":0},"citationItems":[{"id":1167,"uris":["http://zotero.org/users/5159096/items/ZLCFBZ4N"],"itemData":{"id":1167,"type":"article-journal","abstract":"The vibrational contributions to the energetics of grain boundary segregation are calculated for binary Ni polycrystals with solutes of Pd, Pt, Ag, Au and Cu. The computational challenge of the problem is to assess each different grain boundary site and produce full spectra of both site energies and entropies, which is addressed through a multiscale approach in which a full harmonic calculation is completed only in the vicinity of the solute atom, and a buffer region based on a local harmonic calculation effects connectivity to the bulk polycrystal. The resulting segregation free energy spectra illustrate the artificial nature of segregation temperature dependencies when the vibrational entropy is not considered, and highlight the importance of including the vibrational entropy spectrum for rigorous calculations. For a 5% solute loading level, for example, the magnitude of the artificial temperature dependence calculated ranges from 31 to 43% of the total effective segregation entropy for the various systems explored. Finally, a strong linear correlation between site segregation energy (which is not much affected by vibrational effects within the harmonic approximation) and vibrational entropy is observed in polycrystals, in agreement with prior works of coincident site lattice boundaries; this correlation promises sig­ nificant simplification of segregation calculations in polycrystals generally.","container-title":"Acta Materialia","DOI":"10.1016/j.actamat.2022.118630","ISSN":"13596454","journalAbbreviation":"Acta Materialia","language":"en","page":"118630","source":"DOI.org (Crossref)","title":"The vibrational entropy spectra of grain boundary segregation in polycrystals","volume":"245","author":[{"family":"Tuchinda","given":"Nutth"},{"family":"Schuh","given":"Christopher A."}],"issued":{"date-parts":[["2023",2]]}}}],"schema":"https://github.com/citation-style-language/schema/raw/master/csl-citation.json"} </w:instrText>
      </w:r>
      <w:r w:rsidR="002276EF" w:rsidRPr="00ED6690">
        <w:rPr>
          <w:rFonts w:ascii="Times New Roman" w:eastAsiaTheme="minorEastAsia" w:hAnsi="Times New Roman" w:cs="Times New Roman"/>
          <w:szCs w:val="24"/>
        </w:rPr>
        <w:fldChar w:fldCharType="separate"/>
      </w:r>
      <w:r w:rsidR="00C87BD7" w:rsidRPr="00C87BD7">
        <w:rPr>
          <w:rFonts w:ascii="Times New Roman" w:hAnsi="Times New Roman" w:cs="Times New Roman"/>
          <w:szCs w:val="24"/>
          <w:vertAlign w:val="superscript"/>
        </w:rPr>
        <w:t>1</w:t>
      </w:r>
      <w:r w:rsidR="002276EF" w:rsidRPr="00ED6690">
        <w:rPr>
          <w:rFonts w:ascii="Times New Roman" w:eastAsiaTheme="minorEastAsia" w:hAnsi="Times New Roman" w:cs="Times New Roman"/>
          <w:szCs w:val="24"/>
        </w:rPr>
        <w:fldChar w:fldCharType="end"/>
      </w:r>
      <w:r w:rsidR="0093054B">
        <w:rPr>
          <w:rFonts w:ascii="Times New Roman" w:eastAsiaTheme="minorEastAsia" w:hAnsi="Times New Roman" w:cs="Times New Roman"/>
          <w:szCs w:val="24"/>
        </w:rPr>
        <w:t>(</w:t>
      </w:r>
      <w:r w:rsidR="005735EF">
        <w:rPr>
          <w:rFonts w:ascii="Times New Roman" w:eastAsiaTheme="minorEastAsia" w:hAnsi="Times New Roman" w:cs="Times New Roman"/>
          <w:szCs w:val="24"/>
        </w:rPr>
        <w:t xml:space="preserve">which is calculated with </w:t>
      </w:r>
      <w:r w:rsidR="00B96F15">
        <w:rPr>
          <w:rFonts w:ascii="Times New Roman" w:eastAsiaTheme="minorEastAsia" w:hAnsi="Times New Roman" w:cs="Times New Roman"/>
          <w:szCs w:val="24"/>
        </w:rPr>
        <w:t xml:space="preserve">a </w:t>
      </w:r>
      <w:r w:rsidR="005735EF">
        <w:rPr>
          <w:rFonts w:ascii="Times New Roman" w:eastAsiaTheme="minorEastAsia" w:hAnsi="Times New Roman" w:cs="Times New Roman"/>
          <w:szCs w:val="24"/>
        </w:rPr>
        <w:t xml:space="preserve">10 and 13 </w:t>
      </w:r>
      <w:r w:rsidR="005735EF" w:rsidRPr="00ED6690">
        <w:rPr>
          <w:rFonts w:ascii="Times New Roman" w:hAnsi="Times New Roman" w:cs="Times New Roman"/>
          <w:szCs w:val="24"/>
        </w:rPr>
        <w:t>Å</w:t>
      </w:r>
      <w:r w:rsidR="005735EF">
        <w:rPr>
          <w:rFonts w:ascii="Times New Roman" w:hAnsi="Times New Roman" w:cs="Times New Roman"/>
          <w:szCs w:val="24"/>
        </w:rPr>
        <w:t xml:space="preserve">  FH and LH cutoff radius respectively</w:t>
      </w:r>
      <w:r w:rsidR="0093054B">
        <w:rPr>
          <w:rFonts w:ascii="Times New Roman" w:eastAsiaTheme="minorEastAsia" w:hAnsi="Times New Roman" w:cs="Times New Roman"/>
          <w:szCs w:val="24"/>
        </w:rPr>
        <w:t>)</w:t>
      </w:r>
      <w:r w:rsidR="002276EF" w:rsidRPr="00ED6690">
        <w:rPr>
          <w:rFonts w:ascii="Times New Roman" w:eastAsiaTheme="minorEastAsia" w:hAnsi="Times New Roman" w:cs="Times New Roman"/>
          <w:szCs w:val="24"/>
        </w:rPr>
        <w:t xml:space="preserve"> for every system in this work. The choice of FH cutoff radius encapsulates roughly 50% of atoms within the LH cutoff radius.</w:t>
      </w:r>
      <w:r w:rsidR="008004CA">
        <w:rPr>
          <w:rFonts w:ascii="Times New Roman" w:eastAsiaTheme="minorEastAsia" w:hAnsi="Times New Roman" w:cs="Times New Roman"/>
          <w:szCs w:val="24"/>
        </w:rPr>
        <w:t xml:space="preserve"> </w:t>
      </w:r>
      <w:r w:rsidR="009A13FC" w:rsidRPr="00ED6690">
        <w:rPr>
          <w:rFonts w:ascii="Times New Roman" w:hAnsi="Times New Roman" w:cs="Times New Roman"/>
          <w:szCs w:val="24"/>
        </w:rPr>
        <w:t>The root mean square errors (RMSEs) are calculated relative to the largest cutoff radius tested</w:t>
      </w:r>
      <w:r w:rsidR="005F6C98">
        <w:rPr>
          <w:rFonts w:ascii="Times New Roman" w:hAnsi="Times New Roman" w:cs="Times New Roman"/>
          <w:szCs w:val="24"/>
        </w:rPr>
        <w:t xml:space="preserve"> </w:t>
      </w:r>
      <w:r w:rsidR="00682EE0">
        <w:rPr>
          <w:rFonts w:ascii="Times New Roman" w:hAnsi="Times New Roman" w:cs="Times New Roman"/>
          <w:szCs w:val="24"/>
        </w:rPr>
        <w:t>with</w:t>
      </w:r>
      <w:r w:rsidR="005F6C98">
        <w:rPr>
          <w:rFonts w:ascii="Times New Roman" w:hAnsi="Times New Roman" w:cs="Times New Roman"/>
          <w:szCs w:val="24"/>
        </w:rPr>
        <w:t xml:space="preserve"> </w:t>
      </w:r>
      <w:r w:rsidR="00404470">
        <w:rPr>
          <w:rFonts w:ascii="Times New Roman" w:hAnsi="Times New Roman" w:cs="Times New Roman"/>
          <w:szCs w:val="24"/>
        </w:rPr>
        <w:t xml:space="preserve">30 </w:t>
      </w:r>
      <w:r w:rsidR="00403E71">
        <w:rPr>
          <w:rFonts w:ascii="Times New Roman" w:hAnsi="Times New Roman" w:cs="Times New Roman"/>
          <w:szCs w:val="24"/>
        </w:rPr>
        <w:t>random GB sites</w:t>
      </w:r>
      <w:r w:rsidR="009A13FC" w:rsidRPr="00ED6690">
        <w:rPr>
          <w:rFonts w:ascii="Times New Roman" w:hAnsi="Times New Roman" w:cs="Times New Roman"/>
          <w:szCs w:val="24"/>
        </w:rPr>
        <w:t xml:space="preserve"> (</w:t>
      </w:r>
      <w:proofErr w:type="gramStart"/>
      <w:r w:rsidR="009A13FC" w:rsidRPr="00ED6690">
        <w:rPr>
          <w:rFonts w:ascii="Times New Roman" w:hAnsi="Times New Roman" w:cs="Times New Roman"/>
          <w:szCs w:val="24"/>
        </w:rPr>
        <w:t>i.e.</w:t>
      </w:r>
      <w:proofErr w:type="gramEnd"/>
      <w:r w:rsidR="009A13FC" w:rsidRPr="00ED6690">
        <w:rPr>
          <w:rFonts w:ascii="Times New Roman" w:hAnsi="Times New Roman" w:cs="Times New Roman"/>
          <w:szCs w:val="24"/>
        </w:rPr>
        <w:t xml:space="preserve"> 23 </w:t>
      </w:r>
      <w:r w:rsidRPr="00ED6690">
        <w:rPr>
          <w:rFonts w:ascii="Times New Roman" w:hAnsi="Times New Roman" w:cs="Times New Roman"/>
          <w:szCs w:val="24"/>
        </w:rPr>
        <w:t>Å</w:t>
      </w:r>
      <w:r w:rsidR="009A13FC" w:rsidRPr="00ED6690">
        <w:rPr>
          <w:rFonts w:ascii="Times New Roman" w:hAnsi="Times New Roman" w:cs="Times New Roman"/>
          <w:szCs w:val="24"/>
        </w:rPr>
        <w:t xml:space="preserve"> for LH radii and 20 </w:t>
      </w:r>
      <w:r w:rsidRPr="00ED6690">
        <w:rPr>
          <w:rFonts w:ascii="Times New Roman" w:hAnsi="Times New Roman" w:cs="Times New Roman"/>
          <w:szCs w:val="24"/>
        </w:rPr>
        <w:t>Å</w:t>
      </w:r>
      <w:r w:rsidR="009A13FC" w:rsidRPr="00ED6690">
        <w:rPr>
          <w:rFonts w:ascii="Times New Roman" w:hAnsi="Times New Roman" w:cs="Times New Roman"/>
          <w:szCs w:val="24"/>
        </w:rPr>
        <w:t xml:space="preserve"> for FH radii)</w:t>
      </w:r>
      <w:r w:rsidR="00C9072C">
        <w:rPr>
          <w:rFonts w:ascii="Times New Roman" w:hAnsi="Times New Roman" w:cs="Times New Roman"/>
          <w:szCs w:val="24"/>
        </w:rPr>
        <w:t xml:space="preserve"> and therefore are not absolute errors</w:t>
      </w:r>
      <w:r w:rsidR="009A13FC" w:rsidRPr="00ED6690">
        <w:rPr>
          <w:rFonts w:ascii="Times New Roman" w:hAnsi="Times New Roman" w:cs="Times New Roman"/>
          <w:szCs w:val="24"/>
        </w:rPr>
        <w:t>.</w:t>
      </w:r>
      <w:r w:rsidR="008004CA">
        <w:rPr>
          <w:rFonts w:ascii="Times New Roman" w:hAnsi="Times New Roman" w:cs="Times New Roman"/>
          <w:szCs w:val="24"/>
        </w:rPr>
        <w:t xml:space="preserve"> The RMSEs are plotted in Fig. S2-7 along with </w:t>
      </w:r>
      <w:r w:rsidR="00B96F15">
        <w:rPr>
          <w:rFonts w:ascii="Times New Roman" w:hAnsi="Times New Roman" w:cs="Times New Roman"/>
          <w:szCs w:val="24"/>
        </w:rPr>
        <w:t xml:space="preserve">the </w:t>
      </w:r>
      <w:r w:rsidR="008004CA">
        <w:rPr>
          <w:rFonts w:ascii="Times New Roman" w:hAnsi="Times New Roman" w:cs="Times New Roman"/>
          <w:szCs w:val="24"/>
        </w:rPr>
        <w:t>segregation vibrational entropy of 10 example sites as a function of cutoff radii.</w:t>
      </w:r>
    </w:p>
    <w:p w14:paraId="43AC9F87" w14:textId="1C918A5A" w:rsidR="00246F20" w:rsidRDefault="00246F20" w:rsidP="00246F20">
      <w:pPr>
        <w:ind w:firstLine="360"/>
        <w:jc w:val="both"/>
        <w:rPr>
          <w:rFonts w:ascii="Times New Roman" w:hAnsi="Times New Roman" w:cs="Times New Roman"/>
          <w:szCs w:val="24"/>
        </w:rPr>
      </w:pPr>
      <w:r>
        <w:rPr>
          <w:rFonts w:ascii="Times New Roman" w:hAnsi="Times New Roman" w:cs="Times New Roman"/>
          <w:szCs w:val="24"/>
        </w:rPr>
        <w:t xml:space="preserve">The comparison between </w:t>
      </w:r>
      <w:r w:rsidR="00B96F15">
        <w:rPr>
          <w:rFonts w:ascii="Times New Roman" w:hAnsi="Times New Roman" w:cs="Times New Roman"/>
          <w:szCs w:val="24"/>
        </w:rPr>
        <w:t xml:space="preserve">the </w:t>
      </w:r>
      <w:r w:rsidR="00092CE2">
        <w:rPr>
          <w:rFonts w:ascii="Times New Roman" w:hAnsi="Times New Roman" w:cs="Times New Roman"/>
          <w:szCs w:val="24"/>
        </w:rPr>
        <w:t>accelerated and full spectr</w:t>
      </w:r>
      <w:r w:rsidR="005F5489">
        <w:rPr>
          <w:rFonts w:ascii="Times New Roman" w:hAnsi="Times New Roman" w:cs="Times New Roman"/>
          <w:szCs w:val="24"/>
        </w:rPr>
        <w:t>a</w:t>
      </w:r>
      <w:r w:rsidR="00092CE2">
        <w:rPr>
          <w:rFonts w:ascii="Times New Roman" w:hAnsi="Times New Roman" w:cs="Times New Roman"/>
          <w:szCs w:val="24"/>
        </w:rPr>
        <w:t xml:space="preserve"> </w:t>
      </w:r>
      <w:r w:rsidR="00D764B2">
        <w:rPr>
          <w:rFonts w:ascii="Times New Roman" w:hAnsi="Times New Roman" w:cs="Times New Roman"/>
          <w:szCs w:val="24"/>
        </w:rPr>
        <w:t xml:space="preserve">of </w:t>
      </w:r>
      <w:r w:rsidR="00092CE2">
        <w:rPr>
          <w:rFonts w:ascii="Times New Roman" w:hAnsi="Times New Roman" w:cs="Times New Roman"/>
          <w:szCs w:val="24"/>
        </w:rPr>
        <w:t>Ni(</w:t>
      </w:r>
      <w:r w:rsidR="0060538C">
        <w:rPr>
          <w:rFonts w:ascii="Times New Roman" w:hAnsi="Times New Roman" w:cs="Times New Roman"/>
          <w:szCs w:val="24"/>
        </w:rPr>
        <w:t xml:space="preserve">Pd, </w:t>
      </w:r>
      <w:r w:rsidR="00092CE2">
        <w:rPr>
          <w:rFonts w:ascii="Times New Roman" w:hAnsi="Times New Roman" w:cs="Times New Roman"/>
          <w:szCs w:val="24"/>
        </w:rPr>
        <w:t>Pt, Ag, Au and Cu)</w:t>
      </w:r>
      <w:r w:rsidR="008C245F">
        <w:rPr>
          <w:rFonts w:ascii="Times New Roman" w:hAnsi="Times New Roman" w:cs="Times New Roman"/>
          <w:szCs w:val="24"/>
        </w:rPr>
        <w:fldChar w:fldCharType="begin"/>
      </w:r>
      <w:r w:rsidR="00052644">
        <w:rPr>
          <w:rFonts w:ascii="Times New Roman" w:hAnsi="Times New Roman" w:cs="Times New Roman"/>
          <w:szCs w:val="24"/>
        </w:rPr>
        <w:instrText xml:space="preserve"> ADDIN ZOTERO_ITEM CSL_CITATION {"citationID":"mczwUSF8","properties":{"formattedCitation":"\\super 10\\nosupersub{}","plainCitation":"10","noteIndex":0},"citationItems":[{"id":2455,"uris":["http://zotero.org/users/5159096/items/6GWLGNVC","http://zotero.org/users/5159096/items/2C2DCC5Z"],"itemData":{"id":2455,"type":"article-journal","container-title":"Physical Review B","DOI":"10.1103/PhysRevB.33.7983","issue":"12","journalAbbreviation":"Phys. Rev. B","note":"publisher: American Physical Society","page":"7983-7991","title":"Embedded-atom-method functions for the fcc metals Cu, Ag, Au, Ni, Pd, Pt, and their alloys","volume":"33","author":[{"family":"Foiles","given":"S. M."},{"family":"Baskes","given":"M. I."},{"family":"Daw","given":"M. S."}],"issued":{"date-parts":[["1986",6,15]]}}}],"schema":"https://github.com/citation-style-language/schema/raw/master/csl-citation.json"} </w:instrText>
      </w:r>
      <w:r w:rsidR="008C245F">
        <w:rPr>
          <w:rFonts w:ascii="Times New Roman" w:hAnsi="Times New Roman" w:cs="Times New Roman"/>
          <w:szCs w:val="24"/>
        </w:rPr>
        <w:fldChar w:fldCharType="separate"/>
      </w:r>
      <w:r w:rsidR="008C245F" w:rsidRPr="008C245F">
        <w:rPr>
          <w:rFonts w:ascii="Times New Roman" w:hAnsi="Times New Roman" w:cs="Times New Roman"/>
          <w:szCs w:val="24"/>
          <w:vertAlign w:val="superscript"/>
        </w:rPr>
        <w:t>10</w:t>
      </w:r>
      <w:r w:rsidR="008C245F">
        <w:rPr>
          <w:rFonts w:ascii="Times New Roman" w:hAnsi="Times New Roman" w:cs="Times New Roman"/>
          <w:szCs w:val="24"/>
        </w:rPr>
        <w:fldChar w:fldCharType="end"/>
      </w:r>
      <w:r w:rsidR="0060538C">
        <w:rPr>
          <w:rFonts w:ascii="Times New Roman" w:hAnsi="Times New Roman" w:cs="Times New Roman"/>
          <w:szCs w:val="24"/>
        </w:rPr>
        <w:t xml:space="preserve"> calculated with 10 </w:t>
      </w:r>
      <w:r w:rsidR="0060538C" w:rsidRPr="00ED6690">
        <w:rPr>
          <w:rFonts w:ascii="Times New Roman" w:hAnsi="Times New Roman" w:cs="Times New Roman"/>
          <w:szCs w:val="24"/>
        </w:rPr>
        <w:t>Å</w:t>
      </w:r>
      <w:r w:rsidR="0060538C">
        <w:rPr>
          <w:rFonts w:ascii="Times New Roman" w:hAnsi="Times New Roman" w:cs="Times New Roman"/>
          <w:szCs w:val="24"/>
        </w:rPr>
        <w:t xml:space="preserve"> LH and 13 </w:t>
      </w:r>
      <w:r w:rsidR="0060538C" w:rsidRPr="00ED6690">
        <w:rPr>
          <w:rFonts w:ascii="Times New Roman" w:hAnsi="Times New Roman" w:cs="Times New Roman"/>
          <w:szCs w:val="24"/>
        </w:rPr>
        <w:t>Å</w:t>
      </w:r>
      <w:r w:rsidR="0060538C">
        <w:rPr>
          <w:rFonts w:ascii="Times New Roman" w:hAnsi="Times New Roman" w:cs="Times New Roman"/>
          <w:szCs w:val="24"/>
        </w:rPr>
        <w:t xml:space="preserve"> FH cutoff radius</w:t>
      </w:r>
      <w:r w:rsidR="00092CE2">
        <w:rPr>
          <w:rFonts w:ascii="Times New Roman" w:hAnsi="Times New Roman" w:cs="Times New Roman"/>
          <w:szCs w:val="24"/>
        </w:rPr>
        <w:t xml:space="preserve"> are </w:t>
      </w:r>
      <w:r w:rsidR="005F5489">
        <w:rPr>
          <w:rFonts w:ascii="Times New Roman" w:hAnsi="Times New Roman" w:cs="Times New Roman"/>
          <w:szCs w:val="24"/>
        </w:rPr>
        <w:t>shown</w:t>
      </w:r>
      <w:r w:rsidR="00092CE2">
        <w:rPr>
          <w:rFonts w:ascii="Times New Roman" w:hAnsi="Times New Roman" w:cs="Times New Roman"/>
          <w:szCs w:val="24"/>
        </w:rPr>
        <w:t xml:space="preserve"> in Fig. S</w:t>
      </w:r>
      <w:r w:rsidR="007E5C73">
        <w:rPr>
          <w:rFonts w:ascii="Times New Roman" w:hAnsi="Times New Roman" w:cs="Times New Roman"/>
          <w:szCs w:val="24"/>
        </w:rPr>
        <w:t>8-12</w:t>
      </w:r>
      <w:r w:rsidR="008004CA">
        <w:rPr>
          <w:rFonts w:ascii="Times New Roman" w:hAnsi="Times New Roman" w:cs="Times New Roman"/>
          <w:szCs w:val="24"/>
        </w:rPr>
        <w:t xml:space="preserve">, </w:t>
      </w:r>
      <w:r w:rsidR="005F5489">
        <w:rPr>
          <w:rFonts w:ascii="Times New Roman" w:hAnsi="Times New Roman" w:cs="Times New Roman"/>
          <w:szCs w:val="24"/>
        </w:rPr>
        <w:t xml:space="preserve">with </w:t>
      </w:r>
      <w:r w:rsidR="008004CA">
        <w:rPr>
          <w:rFonts w:ascii="Times New Roman" w:hAnsi="Times New Roman" w:cs="Times New Roman"/>
          <w:szCs w:val="24"/>
        </w:rPr>
        <w:t xml:space="preserve">reasonable matches </w:t>
      </w:r>
      <w:r w:rsidR="004F2558">
        <w:rPr>
          <w:rFonts w:ascii="Times New Roman" w:hAnsi="Times New Roman" w:cs="Times New Roman"/>
          <w:szCs w:val="24"/>
        </w:rPr>
        <w:t>concerning</w:t>
      </w:r>
      <w:r w:rsidR="008004CA">
        <w:rPr>
          <w:rFonts w:ascii="Times New Roman" w:hAnsi="Times New Roman" w:cs="Times New Roman"/>
          <w:szCs w:val="24"/>
        </w:rPr>
        <w:t xml:space="preserve"> the isotherm prediction accuracy</w:t>
      </w:r>
      <w:r w:rsidR="00092CE2">
        <w:rPr>
          <w:rFonts w:ascii="Times New Roman" w:hAnsi="Times New Roman" w:cs="Times New Roman"/>
          <w:szCs w:val="24"/>
        </w:rPr>
        <w:t xml:space="preserve">. The polycrystal files </w:t>
      </w:r>
      <w:r w:rsidR="007E5C73">
        <w:rPr>
          <w:rFonts w:ascii="Times New Roman" w:hAnsi="Times New Roman" w:cs="Times New Roman"/>
          <w:szCs w:val="24"/>
        </w:rPr>
        <w:t>are available on the</w:t>
      </w:r>
      <w:r w:rsidR="00092CE2">
        <w:rPr>
          <w:rFonts w:ascii="Times New Roman" w:hAnsi="Times New Roman" w:cs="Times New Roman"/>
          <w:szCs w:val="24"/>
        </w:rPr>
        <w:t xml:space="preserve"> repository</w:t>
      </w:r>
      <w:r w:rsidR="008C245F">
        <w:rPr>
          <w:rFonts w:ascii="Times New Roman" w:hAnsi="Times New Roman" w:cs="Times New Roman"/>
          <w:szCs w:val="24"/>
        </w:rPr>
        <w:fldChar w:fldCharType="begin"/>
      </w:r>
      <w:r w:rsidR="00052644">
        <w:rPr>
          <w:rFonts w:ascii="Times New Roman" w:hAnsi="Times New Roman" w:cs="Times New Roman"/>
          <w:szCs w:val="24"/>
        </w:rPr>
        <w:instrText xml:space="preserve"> ADDIN ZOTERO_ITEM CSL_CITATION {"citationID":"I6q7DefR","properties":{"formattedCitation":"\\super 59\\nosupersub{}","plainCitation":"59","noteIndex":0},"citationItems":[{"id":965,"uris":["http://zotero.org/users/5159096/items/9VP5RYB4"],"itemData":{"id":965,"type":"dataset","archive":"figshare","archive_location":"figshare","DOI":"https://doi.org/10.6084/m9.figshare.23532294 Private Share Link: https://figshare.com/s/5c938da6492c513e4360","event-place":"figshare","publisher":"figshare","publisher-place":"figshare","title":"Dataset - Computed Entropy Spectra for Grain Boundary Segregation in Polycrystals","URL":"https://figshare.com/s/5c938da6492c513e4360","author":[{"family":"Tuchinda","given":"Nutth"},{"family":"Schuh","given":"Christopher A."}]}}],"schema":"https://github.com/citation-style-language/schema/raw/master/csl-citation.json"} </w:instrText>
      </w:r>
      <w:r w:rsidR="008C245F">
        <w:rPr>
          <w:rFonts w:ascii="Times New Roman" w:hAnsi="Times New Roman" w:cs="Times New Roman"/>
          <w:szCs w:val="24"/>
        </w:rPr>
        <w:fldChar w:fldCharType="separate"/>
      </w:r>
      <w:r w:rsidR="00FA4EAC" w:rsidRPr="00FA4EAC">
        <w:rPr>
          <w:rFonts w:ascii="Times New Roman" w:hAnsi="Times New Roman" w:cs="Times New Roman"/>
          <w:kern w:val="0"/>
          <w:szCs w:val="24"/>
          <w:vertAlign w:val="superscript"/>
        </w:rPr>
        <w:t>59</w:t>
      </w:r>
      <w:r w:rsidR="008C245F">
        <w:rPr>
          <w:rFonts w:ascii="Times New Roman" w:hAnsi="Times New Roman" w:cs="Times New Roman"/>
          <w:szCs w:val="24"/>
        </w:rPr>
        <w:fldChar w:fldCharType="end"/>
      </w:r>
      <w:r w:rsidR="00092CE2">
        <w:rPr>
          <w:rFonts w:ascii="Times New Roman" w:hAnsi="Times New Roman" w:cs="Times New Roman"/>
          <w:szCs w:val="24"/>
        </w:rPr>
        <w:t>.</w:t>
      </w:r>
    </w:p>
    <w:p w14:paraId="5F19D44E" w14:textId="566A6933" w:rsidR="00CD2C6D" w:rsidRPr="0023465D" w:rsidRDefault="00AC21EB" w:rsidP="005F5489">
      <w:pPr>
        <w:rPr>
          <w:rFonts w:ascii="Times New Roman" w:eastAsiaTheme="minorEastAsia" w:hAnsi="Times New Roman" w:cs="Times New Roman"/>
          <w:szCs w:val="24"/>
        </w:rPr>
      </w:pPr>
      <w:r>
        <w:rPr>
          <w:noProof/>
        </w:rPr>
        <w:drawing>
          <wp:inline distT="0" distB="0" distL="0" distR="0" wp14:anchorId="124B93C5" wp14:editId="007E35EA">
            <wp:extent cx="5943600" cy="2632075"/>
            <wp:effectExtent l="0" t="0" r="0" b="0"/>
            <wp:docPr id="21456916" name="Picture 1" descr="A picture containing text, screenshot, pl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6916" name="Picture 1" descr="A picture containing text, screenshot, plot, diagram&#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632075"/>
                    </a:xfrm>
                    <a:prstGeom prst="rect">
                      <a:avLst/>
                    </a:prstGeom>
                    <a:noFill/>
                    <a:ln>
                      <a:noFill/>
                    </a:ln>
                  </pic:spPr>
                </pic:pic>
              </a:graphicData>
            </a:graphic>
          </wp:inline>
        </w:drawing>
      </w:r>
      <w:r w:rsidDel="00220770">
        <w:rPr>
          <w:noProof/>
        </w:rPr>
        <w:t xml:space="preserve"> </w:t>
      </w:r>
    </w:p>
    <w:p w14:paraId="7CF28D33" w14:textId="4620494D" w:rsidR="00CD2C6D" w:rsidRPr="0023465D" w:rsidRDefault="00CD2C6D" w:rsidP="00CD2C6D">
      <w:pPr>
        <w:jc w:val="both"/>
        <w:rPr>
          <w:rFonts w:ascii="Times New Roman" w:eastAsiaTheme="minorEastAsia" w:hAnsi="Times New Roman" w:cs="Times New Roman"/>
          <w:szCs w:val="24"/>
        </w:rPr>
      </w:pPr>
      <w:r w:rsidRPr="002A5D45">
        <w:rPr>
          <w:rFonts w:ascii="Times New Roman" w:hAnsi="Times New Roman" w:cs="Times New Roman"/>
          <w:b/>
          <w:bCs/>
          <w:szCs w:val="24"/>
        </w:rPr>
        <w:t>Fig. S</w:t>
      </w:r>
      <w:r w:rsidRPr="002A5D45">
        <w:rPr>
          <w:rFonts w:ascii="Times New Roman" w:hAnsi="Times New Roman" w:cs="Times New Roman"/>
          <w:b/>
          <w:bCs/>
          <w:szCs w:val="24"/>
        </w:rPr>
        <w:fldChar w:fldCharType="begin"/>
      </w:r>
      <w:r w:rsidRPr="002A5D45">
        <w:rPr>
          <w:rFonts w:ascii="Times New Roman" w:hAnsi="Times New Roman" w:cs="Times New Roman"/>
          <w:b/>
          <w:bCs/>
          <w:szCs w:val="24"/>
        </w:rPr>
        <w:instrText xml:space="preserve"> SEQ Figure \* ARABIC </w:instrText>
      </w:r>
      <w:r w:rsidRPr="002A5D45">
        <w:rPr>
          <w:rFonts w:ascii="Times New Roman" w:hAnsi="Times New Roman" w:cs="Times New Roman"/>
          <w:b/>
          <w:bCs/>
          <w:szCs w:val="24"/>
        </w:rPr>
        <w:fldChar w:fldCharType="separate"/>
      </w:r>
      <w:r w:rsidR="00C8038C">
        <w:rPr>
          <w:rFonts w:ascii="Times New Roman" w:hAnsi="Times New Roman" w:cs="Times New Roman"/>
          <w:b/>
          <w:bCs/>
          <w:noProof/>
          <w:szCs w:val="24"/>
        </w:rPr>
        <w:t>1</w:t>
      </w:r>
      <w:r w:rsidRPr="002A5D45">
        <w:rPr>
          <w:rFonts w:ascii="Times New Roman" w:hAnsi="Times New Roman" w:cs="Times New Roman"/>
          <w:b/>
          <w:bCs/>
          <w:szCs w:val="24"/>
        </w:rPr>
        <w:fldChar w:fldCharType="end"/>
      </w:r>
      <w:r w:rsidRPr="0023465D">
        <w:rPr>
          <w:rFonts w:ascii="Times New Roman" w:eastAsiaTheme="minorEastAsia" w:hAnsi="Times New Roman" w:cs="Times New Roman"/>
          <w:b/>
          <w:bCs/>
          <w:szCs w:val="24"/>
        </w:rPr>
        <w:t xml:space="preserve"> </w:t>
      </w:r>
      <w:r>
        <w:rPr>
          <w:rFonts w:ascii="Times New Roman" w:eastAsiaTheme="minorEastAsia" w:hAnsi="Times New Roman" w:cs="Times New Roman"/>
          <w:b/>
          <w:bCs/>
          <w:szCs w:val="24"/>
        </w:rPr>
        <w:t>Validating Accelerated Model</w:t>
      </w:r>
      <w:r w:rsidRPr="0023465D">
        <w:rPr>
          <w:rFonts w:ascii="Times New Roman" w:eastAsiaTheme="minorEastAsia" w:hAnsi="Times New Roman" w:cs="Times New Roman"/>
          <w:b/>
          <w:bCs/>
          <w:szCs w:val="24"/>
        </w:rPr>
        <w:t>.</w:t>
      </w:r>
      <w:r>
        <w:rPr>
          <w:rFonts w:ascii="Times New Roman" w:eastAsiaTheme="minorEastAsia" w:hAnsi="Times New Roman" w:cs="Times New Roman"/>
          <w:szCs w:val="24"/>
        </w:rPr>
        <w:t xml:space="preserve"> Segregation energy spectra obtained from a full system and the accelerated model are plotted in (</w:t>
      </w:r>
      <w:r w:rsidRPr="00AD4F29">
        <w:rPr>
          <w:rFonts w:ascii="Times New Roman" w:eastAsiaTheme="minorEastAsia" w:hAnsi="Times New Roman" w:cs="Times New Roman"/>
          <w:b/>
          <w:bCs/>
          <w:szCs w:val="24"/>
        </w:rPr>
        <w:t>a</w:t>
      </w:r>
      <w:r>
        <w:rPr>
          <w:rFonts w:ascii="Times New Roman" w:eastAsiaTheme="minorEastAsia" w:hAnsi="Times New Roman" w:cs="Times New Roman"/>
          <w:szCs w:val="24"/>
        </w:rPr>
        <w:t>) for</w:t>
      </w:r>
      <w:r w:rsidRPr="0023465D">
        <w:rPr>
          <w:rFonts w:ascii="Times New Roman" w:eastAsiaTheme="minorEastAsia" w:hAnsi="Times New Roman" w:cs="Times New Roman"/>
          <w:szCs w:val="24"/>
        </w:rPr>
        <w:t xml:space="preserve"> </w:t>
      </w:r>
      <w:r>
        <w:rPr>
          <w:rFonts w:ascii="Times New Roman" w:eastAsiaTheme="minorEastAsia" w:hAnsi="Times New Roman" w:cs="Times New Roman"/>
          <w:szCs w:val="24"/>
        </w:rPr>
        <w:t>Al(Pb)</w:t>
      </w:r>
      <w:r>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{"citationID":"W8b2SJNO","properties":{"formattedCitation":"\\super 26\\nosupersub{}","plainCitation":"26","noteIndex":0},"citationItems":[{"id":1106,"uris":["http://zotero.org/users/5159096/items/J7XWXSLN"],"itemData":{"id":1106,"type":"article-journal","abstract":"ÐEmpirical many-body potentials of the glue-type have been constructed for the Al±Pb system using the ``force matching'' method. The potentials are ®tted to experimental data, physical quantities derived from ab initio linear mun-tin orbitals calculations and a massive quantum mechanical database of atomic forces generated using ultrasoft pseudopotentials in conjunction with ab initio molecular statics simulations. Monte Carlo simulations using these potentials have been employed to compute an Al±Pb phase diagram which is in fair agreement with experimental data. 7 2000 Acta Metallurgica Inc. Published by Elsevier Science Ltd. All rights reserved.","container-title":"Acta Materialia","DOI":"10.1016/S1359-6454(00)00002-1","ISSN":"13596454","issue":"8","journalAbbreviation":"Acta Materialia","language":"en","page":"1753-1761","source":"DOI.org (Crossref)","title":"Development of glue-type potentials for the Al–Pb system: phase diagram calculation","title-short":"Development of glue-type potentials for the Al–Pb system","volume":"48","author":[{"family":"Landa","given":"A."},{"family":"Wynblatt","given":"P."},{"family":"Siegel","given":"D.J."},{"family":"Adams","given":"J.B."},{"family":"Mryasov","given":"O.N."},{"family":"Liu","given":"X.-Y."}],"issued":{"date-parts":[["2000",5]]}}}],"schema":"https://github.com/citation-style-language/schema/raw/master/csl-citation.json"} </w:instrText>
      </w:r>
      <w:r>
        <w:rPr>
          <w:rFonts w:ascii="Times New Roman" w:eastAsiaTheme="minorEastAsia" w:hAnsi="Times New Roman" w:cs="Times New Roman"/>
          <w:szCs w:val="24"/>
        </w:rPr>
        <w:fldChar w:fldCharType="separate"/>
      </w:r>
      <w:r w:rsidR="008C245F" w:rsidRPr="008C245F">
        <w:rPr>
          <w:rFonts w:ascii="Times New Roman" w:hAnsi="Times New Roman" w:cs="Times New Roman"/>
          <w:szCs w:val="24"/>
          <w:vertAlign w:val="superscript"/>
        </w:rPr>
        <w:t>26</w:t>
      </w:r>
      <w:r>
        <w:rPr>
          <w:rFonts w:ascii="Times New Roman" w:eastAsiaTheme="minorEastAsia" w:hAnsi="Times New Roman" w:cs="Times New Roman"/>
          <w:szCs w:val="24"/>
        </w:rPr>
        <w:fldChar w:fldCharType="end"/>
      </w:r>
      <w:r>
        <w:rPr>
          <w:rFonts w:ascii="Times New Roman" w:eastAsiaTheme="minorEastAsia" w:hAnsi="Times New Roman" w:cs="Times New Roman"/>
          <w:szCs w:val="24"/>
        </w:rPr>
        <w:t xml:space="preserve">, </w:t>
      </w:r>
      <w:r w:rsidRPr="0023465D">
        <w:rPr>
          <w:rFonts w:ascii="Times New Roman" w:eastAsiaTheme="minorEastAsia" w:hAnsi="Times New Roman" w:cs="Times New Roman"/>
          <w:szCs w:val="24"/>
        </w:rPr>
        <w:t>Al(</w:t>
      </w:r>
      <w:proofErr w:type="spellStart"/>
      <w:r w:rsidRPr="0023465D">
        <w:rPr>
          <w:rFonts w:ascii="Times New Roman" w:eastAsiaTheme="minorEastAsia" w:hAnsi="Times New Roman" w:cs="Times New Roman"/>
          <w:szCs w:val="24"/>
        </w:rPr>
        <w:t>Sm</w:t>
      </w:r>
      <w:proofErr w:type="spellEnd"/>
      <w:r w:rsidRPr="0023465D">
        <w:rPr>
          <w:rFonts w:ascii="Times New Roman" w:eastAsiaTheme="minorEastAsia" w:hAnsi="Times New Roman" w:cs="Times New Roman"/>
          <w:szCs w:val="24"/>
        </w:rPr>
        <w:t>)</w:t>
      </w:r>
      <w:r w:rsidRPr="0023465D">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{"citationID":"HBFSQVug","properties":{"formattedCitation":"\\super 27\\nosupersub{}","plainCitation":"27","noteIndex":0},"citationItems":[{"id":2440,"uris":["http://zotero.org/users/5159096/items/W3ASK7P6","http://zotero.org/users/5159096/items/MIKQQ8VF"],"itemData":{"id":2440,"type":"article-journal","abstract":"A semi-empirical potential for the Al90Sm10 alloy is presented. The potential provides satisfactory reproduction of pure Al properties, the formation energies of a set of Al–Sm crystal phases with Sm content about 10%, and the structure of the liquid Al90Sm10 alloy. During molecular dynamics simulation in which the liquid alloy is cooled at a rate of 1010 K s−1, the developed potential produces a glass structure with lower ab initio energy than that produced by ab initio molecular dynamics (AIMD) itself using a typical AIMD cooling rate of 8·1013 K s−1. Based on these facts the developed potential should be suitable for simulations of phase transformations in the Al90Sm10 alloy.","container-title":"Modelling and Simulation in Materials Science and Engineering","DOI":"10.1088/0965-0393/23/4/045013","ISSN":"0965-0393","issue":"4","note":"publisher: IOP Publishing","page":"045013","title":"Development of interatomic potentials appropriate for simulation of devitrification of Al90Sm10 alloy","volume":"23","author":[{"family":"Mendelev","given":"M I"},{"family":"Zhang","given":"F"},{"family":"Ye","given":"Z"},{"family":"Sun","given":"Y"},{"family":"Nguyen","given":"M C"},{"family":"Wilson","given":"S R"},{"family":"Wang","given":"C Z"},{"family":"Ho","given":"K M"}],"issued":{"date-parts":[["2015",4,23]]}}}],"schema":"https://github.com/citation-style-language/schema/raw/master/csl-citation.json"} </w:instrText>
      </w:r>
      <w:r w:rsidRPr="0023465D">
        <w:rPr>
          <w:rFonts w:ascii="Times New Roman" w:eastAsiaTheme="minorEastAsia" w:hAnsi="Times New Roman" w:cs="Times New Roman"/>
          <w:szCs w:val="24"/>
        </w:rPr>
        <w:fldChar w:fldCharType="separate"/>
      </w:r>
      <w:r w:rsidR="00FA4EAC" w:rsidRPr="00FA4EAC">
        <w:rPr>
          <w:rFonts w:ascii="Times New Roman" w:hAnsi="Times New Roman" w:cs="Times New Roman"/>
          <w:kern w:val="0"/>
          <w:szCs w:val="24"/>
          <w:vertAlign w:val="superscript"/>
        </w:rPr>
        <w:t>27</w:t>
      </w:r>
      <w:r w:rsidRPr="0023465D">
        <w:rPr>
          <w:rFonts w:ascii="Times New Roman" w:eastAsiaTheme="minorEastAsia" w:hAnsi="Times New Roman" w:cs="Times New Roman"/>
          <w:szCs w:val="24"/>
        </w:rPr>
        <w:fldChar w:fldCharType="end"/>
      </w:r>
      <w:r>
        <w:rPr>
          <w:rFonts w:ascii="Times New Roman" w:eastAsiaTheme="minorEastAsia" w:hAnsi="Times New Roman" w:cs="Times New Roman"/>
          <w:szCs w:val="24"/>
        </w:rPr>
        <w:t>, Cu(Pb)</w:t>
      </w:r>
      <w:r>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{"citationID":"wy78v7yw","properties":{"formattedCitation":"\\super 37\\nosupersub{}","plainCitation":"37","noteIndex":0},"citationItems":[{"id":626,"uris":["http://zotero.org/users/5159096/items/YHUDCBDJ"],"itemData":{"id":626,"type":"article-journal","abstract":"A simple procedure is used to formulate a Cu–Pb pair interaction function within the embedded atom (EAM) method framework. Embedding, density and pair functions for pure Cu and pure Pb are taken from previously published EAM studies. Optimization of the Cu–Pb potential was achieved by comparing with experiment the computed heats of mixing for Cu–Pb liquid alloys and the equilibrium phase diagram, the latter being determined via a thermodynamic integration technique. The topology of the temperature-composition phase diagram computed with this EAM potential is consistent with experiment and features a liquid–liquid miscibility gap, low solubility of Pb in solid Cu and a monotectic reaction at approximately 1012 K.","container-title":"Modelling and Simulation in Materials Science and Engineering","DOI":"10.1088/0965-0393/11/3/302","ISSN":"0965-0393","issue":"3","note":"publisher: IOP Publishing","page":"287-299","title":"An embedded atom method interatomic potential for the Cu Pb system","volume":"11","author":[{"family":"Hoyt","given":"J J"},{"family":"Garvin","given":"J W"},{"family":"Webb","given":"E B"},{"family":"Asta","given":"Mark"}],"issued":{"date-parts":[["2003",2,24]]}}}],"schema":"https://github.com/citation-style-language/schema/raw/master/csl-citation.json"} </w:instrText>
      </w:r>
      <w:r>
        <w:rPr>
          <w:rFonts w:ascii="Times New Roman" w:eastAsiaTheme="minorEastAsia" w:hAnsi="Times New Roman" w:cs="Times New Roman"/>
          <w:szCs w:val="24"/>
        </w:rPr>
        <w:fldChar w:fldCharType="separate"/>
      </w:r>
      <w:r w:rsidR="008C245F" w:rsidRPr="008C245F">
        <w:rPr>
          <w:rFonts w:ascii="Times New Roman" w:hAnsi="Times New Roman" w:cs="Times New Roman"/>
          <w:szCs w:val="24"/>
          <w:vertAlign w:val="superscript"/>
        </w:rPr>
        <w:t>37</w:t>
      </w:r>
      <w:r>
        <w:rPr>
          <w:rFonts w:ascii="Times New Roman" w:eastAsiaTheme="minorEastAsia" w:hAnsi="Times New Roman" w:cs="Times New Roman"/>
          <w:szCs w:val="24"/>
        </w:rPr>
        <w:fldChar w:fldCharType="end"/>
      </w:r>
      <w:r>
        <w:rPr>
          <w:rFonts w:ascii="Times New Roman" w:eastAsiaTheme="minorEastAsia" w:hAnsi="Times New Roman" w:cs="Times New Roman"/>
          <w:szCs w:val="24"/>
        </w:rPr>
        <w:t xml:space="preserve">, </w:t>
      </w:r>
      <w:r w:rsidRPr="0023465D">
        <w:rPr>
          <w:rFonts w:ascii="Times New Roman" w:eastAsiaTheme="minorEastAsia" w:hAnsi="Times New Roman" w:cs="Times New Roman"/>
          <w:szCs w:val="24"/>
        </w:rPr>
        <w:t>Cu(Zr)</w:t>
      </w:r>
      <w:r w:rsidRPr="0023465D">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{"citationID":"TgDkYz3L","properties":{"formattedCitation":"\\super 38\\nosupersub{}","plainCitation":"38","noteIndex":0},"citationItems":[{"id":624,"uris":["http://zotero.org/users/5159096/items/7WSS4RCB"],"itemData":{"id":624,"type":"article-journal","abstract":"Dislocation nucleation from grain boundaries (GB) can control plastic deformation in nano-crystalline metals under certain conditions, but little is known about what controls dislocation nucleation, because when data from different materials are compared, the variations of many interacting properties tend to obscure the effects of any single property. In this study, we seek clarification by applying a unique capability of semi-empirical potentials in molecular dynamics simulations: the potentials can be modified such that all significant material properties but one, are kept constant. Using a set of potentials developed to isolate the effects of stacking fault energy, we show that for a given grain boundary, loading orientation and strain rate, the yield stress depends linearly on both the stable and unstable stacking fault energies. The coefficients of proportionality depend on the GB structure and the value of the yield stress is related to the density of the E structural units in the GB. While the impact of the stable stacking fault energy is easy to understand, the unstable stacking fault energy requires more elucidation and we provide a framework for understanding how it affects the nucleation and propagation process.","container-title":"Modelling and Simulation in Materials Science and Engineering","DOI":"10.1088/0965-0393/24/8/085017","ISSN":"0965-0393","issue":"8","note":"publisher: IOP Publishing","page":"085017","title":"Effects of stable and unstable stacking fault energy on dislocation nucleation in nano-crystalline metals","volume":"24","author":[{"family":"Borovikov","given":"Valery"},{"family":"Mendelev","given":"Mikhail I"},{"family":"King","given":"Alexander H"}],"issued":{"date-parts":[["2016",11,9]]}}}],"schema":"https://github.com/citation-style-language/schema/raw/master/csl-citation.json"} </w:instrText>
      </w:r>
      <w:r w:rsidRPr="0023465D">
        <w:rPr>
          <w:rFonts w:ascii="Times New Roman" w:eastAsiaTheme="minorEastAsia" w:hAnsi="Times New Roman" w:cs="Times New Roman"/>
          <w:szCs w:val="24"/>
        </w:rPr>
        <w:fldChar w:fldCharType="separate"/>
      </w:r>
      <w:r w:rsidR="008C245F" w:rsidRPr="008C245F">
        <w:rPr>
          <w:rFonts w:ascii="Times New Roman" w:hAnsi="Times New Roman" w:cs="Times New Roman"/>
          <w:szCs w:val="24"/>
          <w:vertAlign w:val="superscript"/>
        </w:rPr>
        <w:t>38</w:t>
      </w:r>
      <w:r w:rsidRPr="0023465D">
        <w:rPr>
          <w:rFonts w:ascii="Times New Roman" w:eastAsiaTheme="minorEastAsia" w:hAnsi="Times New Roman" w:cs="Times New Roman"/>
          <w:szCs w:val="24"/>
        </w:rPr>
        <w:fldChar w:fldCharType="end"/>
      </w:r>
      <w:r>
        <w:rPr>
          <w:rFonts w:ascii="Times New Roman" w:eastAsiaTheme="minorEastAsia" w:hAnsi="Times New Roman" w:cs="Times New Roman"/>
          <w:szCs w:val="24"/>
        </w:rPr>
        <w:t>, Ni(Pd)</w:t>
      </w:r>
      <w:r>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{"citationID":"gNl5xsGO","properties":{"formattedCitation":"\\super 10\\nosupersub{}","plainCitation":"10","noteIndex":0},"citationItems":[{"id":2455,"uris":["http://zotero.org/users/5159096/items/6GWLGNVC","http://zotero.org/users/5159096/items/2C2DCC5Z"],"itemData":{"id":2455,"type":"article-journal","container-title":"Physical Review B","DOI":"10.1103/PhysRevB.33.7983","issue":"12","journalAbbreviation":"Phys. Rev. B","note":"publisher: American Physical Society","page":"7983-7991","title":"Embedded-atom-method functions for the fcc metals Cu, Ag, Au, Ni, Pd, Pt, and their alloys","volume":"33","author":[{"family":"Foiles","given":"S. M."},{"family":"Baskes","given":"M. I."},{"family":"Daw","given":"M. S."}],"issued":{"date-parts":[["1986",6,15]]}}}],"schema":"https://github.com/citation-style-language/schema/raw/master/csl-citation.json"} </w:instrText>
      </w:r>
      <w:r>
        <w:rPr>
          <w:rFonts w:ascii="Times New Roman" w:eastAsiaTheme="minorEastAsia" w:hAnsi="Times New Roman" w:cs="Times New Roman"/>
          <w:szCs w:val="24"/>
        </w:rPr>
        <w:fldChar w:fldCharType="separate"/>
      </w:r>
      <w:r w:rsidR="008C245F" w:rsidRPr="008C245F">
        <w:rPr>
          <w:rFonts w:ascii="Times New Roman" w:hAnsi="Times New Roman" w:cs="Times New Roman"/>
          <w:szCs w:val="24"/>
          <w:vertAlign w:val="superscript"/>
        </w:rPr>
        <w:t>10</w:t>
      </w:r>
      <w:r>
        <w:rPr>
          <w:rFonts w:ascii="Times New Roman" w:eastAsiaTheme="minorEastAsia" w:hAnsi="Times New Roman" w:cs="Times New Roman"/>
          <w:szCs w:val="24"/>
        </w:rPr>
        <w:fldChar w:fldCharType="end"/>
      </w:r>
      <w:r w:rsidRPr="0023465D">
        <w:rPr>
          <w:rFonts w:ascii="Times New Roman" w:eastAsiaTheme="minorEastAsia" w:hAnsi="Times New Roman" w:cs="Times New Roman"/>
          <w:szCs w:val="24"/>
        </w:rPr>
        <w:t xml:space="preserve"> and Ni(Zr)</w:t>
      </w:r>
      <w:r w:rsidRPr="0023465D">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{"citationID":"hzQCxDXE","properties":{"formattedCitation":"\\super 54\\nosupersub{}","plainCitation":"54","noteIndex":0},"citationItems":[{"id":612,"uris":["http://zotero.org/users/5159096/items/AGBHI7IW"],"itemData":{"id":612,"type":"article-journal","container-title":"Philosophical Magazine","DOI":"10.1080/14786435.2014.995742","ISSN":"1478-6435","issue":"2","journalAbbreviation":"Philosophical Magazine","note":"publisher: Taylor &amp; Francis","page":"224-241","title":"Anisotropy of the solid–liquid interface properties of the Ni–Zr B33 phase from molecular dynamics simulation","volume":"95","author":[{"family":"Wilson","given":"S.R."},{"family":"Mendelev","given":"M.I."}],"issued":{"date-parts":[["2015",1,12]]}}}],"schema":"https://github.com/citation-style-language/schema/raw/master/csl-citation.json"} </w:instrText>
      </w:r>
      <w:r w:rsidRPr="0023465D">
        <w:rPr>
          <w:rFonts w:ascii="Times New Roman" w:eastAsiaTheme="minorEastAsia" w:hAnsi="Times New Roman" w:cs="Times New Roman"/>
          <w:szCs w:val="24"/>
        </w:rPr>
        <w:fldChar w:fldCharType="separate"/>
      </w:r>
      <w:r w:rsidR="00FA4EAC" w:rsidRPr="00FA4EAC">
        <w:rPr>
          <w:rFonts w:ascii="Times New Roman" w:hAnsi="Times New Roman" w:cs="Times New Roman"/>
          <w:kern w:val="0"/>
          <w:szCs w:val="24"/>
          <w:vertAlign w:val="superscript"/>
        </w:rPr>
        <w:t>54</w:t>
      </w:r>
      <w:r w:rsidRPr="0023465D">
        <w:rPr>
          <w:rFonts w:ascii="Times New Roman" w:eastAsiaTheme="minorEastAsia" w:hAnsi="Times New Roman" w:cs="Times New Roman"/>
          <w:szCs w:val="24"/>
        </w:rPr>
        <w:fldChar w:fldCharType="end"/>
      </w:r>
      <w:r w:rsidRPr="0023465D">
        <w:rPr>
          <w:rFonts w:ascii="Times New Roman" w:eastAsiaTheme="minorEastAsia" w:hAnsi="Times New Roman" w:cs="Times New Roman"/>
          <w:szCs w:val="24"/>
        </w:rPr>
        <w:t xml:space="preserve">. </w:t>
      </w:r>
      <w:r>
        <w:rPr>
          <w:rFonts w:ascii="Times New Roman" w:eastAsiaTheme="minorEastAsia" w:hAnsi="Times New Roman" w:cs="Times New Roman"/>
          <w:szCs w:val="24"/>
        </w:rPr>
        <w:t xml:space="preserve">Isotherms at </w:t>
      </w:r>
      <m:oMath>
        <m:r>
          <w:rPr>
            <w:rFonts w:ascii="Cambria Math" w:eastAsiaTheme="minorEastAsia" w:hAnsi="Cambria Math" w:cs="Times New Roman"/>
            <w:szCs w:val="24"/>
          </w:rPr>
          <m:t xml:space="preserve">T=600 </m:t>
        </m:r>
      </m:oMath>
      <w:r>
        <w:rPr>
          <w:rFonts w:ascii="Times New Roman" w:eastAsiaTheme="minorEastAsia" w:hAnsi="Times New Roman" w:cs="Times New Roman"/>
          <w:szCs w:val="24"/>
        </w:rPr>
        <w:t xml:space="preserve">K and </w:t>
      </w:r>
      <m:oMath>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f</m:t>
            </m:r>
          </m:e>
          <m:sup>
            <m:r>
              <w:rPr>
                <w:rFonts w:ascii="Cambria Math" w:eastAsiaTheme="minorEastAsia" w:hAnsi="Cambria Math" w:cs="Times New Roman"/>
                <w:szCs w:val="24"/>
              </w:rPr>
              <m:t>GB</m:t>
            </m:r>
          </m:sup>
        </m:sSup>
        <m:r>
          <w:rPr>
            <w:rFonts w:ascii="Cambria Math" w:eastAsiaTheme="minorEastAsia" w:hAnsi="Cambria Math" w:cs="Times New Roman"/>
            <w:szCs w:val="24"/>
          </w:rPr>
          <m:t>=0.1</m:t>
        </m:r>
      </m:oMath>
      <w:r>
        <w:rPr>
          <w:rFonts w:ascii="Times New Roman" w:eastAsiaTheme="minorEastAsia" w:hAnsi="Times New Roman" w:cs="Times New Roman"/>
          <w:szCs w:val="24"/>
        </w:rPr>
        <w:t xml:space="preserve"> are demonstrated in (</w:t>
      </w:r>
      <w:r w:rsidRPr="00C05794">
        <w:rPr>
          <w:rFonts w:ascii="Times New Roman" w:eastAsiaTheme="minorEastAsia" w:hAnsi="Times New Roman" w:cs="Times New Roman"/>
          <w:b/>
          <w:bCs/>
          <w:szCs w:val="24"/>
        </w:rPr>
        <w:t>b</w:t>
      </w:r>
      <w:r>
        <w:rPr>
          <w:rFonts w:ascii="Times New Roman" w:eastAsiaTheme="minorEastAsia" w:hAnsi="Times New Roman" w:cs="Times New Roman"/>
          <w:szCs w:val="24"/>
        </w:rPr>
        <w:t>) which follow the conditions used in Ref.</w:t>
      </w:r>
      <w:r>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{"citationID":"GTZB0Lbi","properties":{"formattedCitation":"\\super 60\\nosupersub{}","plainCitation":"60","noteIndex":0},"citationItems":[{"id":560,"uris":["http://zotero.org/users/5159096/items/UQ8KWCQ6"],"itemData":{"id":560,"type":"article-journal","abstract":"Abstract\n            The segregation of solute atoms at grain boundaries (GBs) can profoundly impact the structural properties of metallic alloys, and induce effects that range from strengthening to embrittlement. And, though known to be anisotropic, there is a limited understanding of the variation of solute segregation tendencies across the full, multidimensional GB space, which is critically important in polycrystals where much of that space is represented. Here we develop a machine learning framework that can accurately predict the segregation tendency—quantified by the segregation enthalpy spectrum—of solute atoms at GB sites in polycrystals, based solely on the undecorated (pre-segregation) local atomic environment of such sites. We proceed to use the learning framework to scan across the alloy space, and build an extensive database of segregation energy spectra for more than 250 metal-based binary alloys. The resulting machine learning models and segregation database are key to unlocking the full potential of GB segregation as an alloy design tool, and enable the design of microstructures that maximize the useful impacts of segregation.","container-title":"Nature Communications","DOI":"10.1038/s41467-020-20083-6","ISSN":"2041-1723","issue":"1","journalAbbreviation":"Nat Commun","language":"en","page":"6376","source":"DOI.org (Crossref)","title":"Learning grain boundary segregation energy spectra in polycrystals","volume":"11","author":[{"family":"Wagih","given":"Malik"},{"family":"Larsen","given":"Peter M."},{"family":"Schuh","given":"Christopher A."}],"issued":{"date-parts":[["2020",12]]}}}],"schema":"https://github.com/citation-style-language/schema/raw/master/csl-citation.json"} </w:instrText>
      </w:r>
      <w:r>
        <w:rPr>
          <w:rFonts w:ascii="Times New Roman" w:eastAsiaTheme="minorEastAsia" w:hAnsi="Times New Roman" w:cs="Times New Roman"/>
          <w:szCs w:val="24"/>
        </w:rPr>
        <w:fldChar w:fldCharType="separate"/>
      </w:r>
      <w:r w:rsidR="00FA4EAC" w:rsidRPr="00FA4EAC">
        <w:rPr>
          <w:rFonts w:ascii="Times New Roman" w:hAnsi="Times New Roman" w:cs="Times New Roman"/>
          <w:kern w:val="0"/>
          <w:szCs w:val="24"/>
          <w:vertAlign w:val="superscript"/>
        </w:rPr>
        <w:t>60</w:t>
      </w:r>
      <w:r>
        <w:rPr>
          <w:rFonts w:ascii="Times New Roman" w:eastAsiaTheme="minorEastAsia" w:hAnsi="Times New Roman" w:cs="Times New Roman"/>
          <w:szCs w:val="24"/>
        </w:rPr>
        <w:fldChar w:fldCharType="end"/>
      </w:r>
      <w:r>
        <w:rPr>
          <w:rFonts w:ascii="Times New Roman" w:eastAsiaTheme="minorEastAsia" w:hAnsi="Times New Roman" w:cs="Times New Roman"/>
          <w:szCs w:val="24"/>
        </w:rPr>
        <w:t>.</w:t>
      </w:r>
    </w:p>
    <w:p w14:paraId="1856C8B1" w14:textId="54682C54" w:rsidR="00CB7998" w:rsidRDefault="00CB7998">
      <w:pPr>
        <w:pStyle w:val="Caption"/>
        <w:rPr>
          <w:rFonts w:ascii="Times New Roman" w:hAnsi="Times New Roman" w:cs="Times New Roman"/>
          <w:b/>
          <w:bCs/>
          <w:i w:val="0"/>
          <w:iCs w:val="0"/>
          <w:color w:val="auto"/>
          <w:sz w:val="24"/>
          <w:szCs w:val="24"/>
        </w:rPr>
      </w:pPr>
      <w:r>
        <w:rPr>
          <w:noProof/>
        </w:rPr>
        <w:lastRenderedPageBreak/>
        <w:drawing>
          <wp:inline distT="0" distB="0" distL="0" distR="0" wp14:anchorId="5A6506A6" wp14:editId="11742B97">
            <wp:extent cx="5486400" cy="5486400"/>
            <wp:effectExtent l="0" t="0" r="0" b="0"/>
            <wp:docPr id="4180316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031695"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486400" cy="5486400"/>
                    </a:xfrm>
                    <a:prstGeom prst="rect">
                      <a:avLst/>
                    </a:prstGeom>
                    <a:noFill/>
                    <a:ln>
                      <a:noFill/>
                    </a:ln>
                  </pic:spPr>
                </pic:pic>
              </a:graphicData>
            </a:graphic>
          </wp:inline>
        </w:drawing>
      </w:r>
    </w:p>
    <w:p w14:paraId="4C8EE586" w14:textId="30E1EE61" w:rsidR="000E02A0" w:rsidRDefault="000E02A0">
      <w:pPr>
        <w:pStyle w:val="Caption"/>
        <w:rPr>
          <w:rFonts w:ascii="Times New Roman" w:hAnsi="Times New Roman" w:cs="Times New Roman"/>
          <w:b/>
          <w:bCs/>
          <w:i w:val="0"/>
          <w:iCs w:val="0"/>
          <w:color w:val="auto"/>
          <w:sz w:val="24"/>
          <w:szCs w:val="24"/>
        </w:rPr>
      </w:pPr>
      <w:r w:rsidRPr="005F5489">
        <w:rPr>
          <w:rFonts w:ascii="Times New Roman" w:hAnsi="Times New Roman" w:cs="Times New Roman"/>
          <w:b/>
          <w:bCs/>
          <w:i w:val="0"/>
          <w:iCs w:val="0"/>
          <w:color w:val="auto"/>
          <w:sz w:val="24"/>
          <w:szCs w:val="24"/>
        </w:rPr>
        <w:t xml:space="preserve">Fig. </w:t>
      </w:r>
      <w:r w:rsidR="00E95521" w:rsidRPr="005F5489">
        <w:rPr>
          <w:rFonts w:ascii="Times New Roman" w:hAnsi="Times New Roman" w:cs="Times New Roman"/>
          <w:b/>
          <w:bCs/>
          <w:i w:val="0"/>
          <w:iCs w:val="0"/>
          <w:color w:val="auto"/>
          <w:sz w:val="24"/>
          <w:szCs w:val="24"/>
        </w:rPr>
        <w:t>S</w:t>
      </w:r>
      <w:r w:rsidR="00E95521" w:rsidRPr="005F5489">
        <w:rPr>
          <w:rFonts w:ascii="Times New Roman" w:hAnsi="Times New Roman" w:cs="Times New Roman"/>
          <w:b/>
          <w:bCs/>
          <w:i w:val="0"/>
          <w:iCs w:val="0"/>
          <w:color w:val="auto"/>
          <w:sz w:val="24"/>
          <w:szCs w:val="24"/>
        </w:rPr>
        <w:fldChar w:fldCharType="begin"/>
      </w:r>
      <w:r w:rsidR="00E95521" w:rsidRPr="005F5489">
        <w:rPr>
          <w:rFonts w:ascii="Times New Roman" w:hAnsi="Times New Roman" w:cs="Times New Roman"/>
          <w:b/>
          <w:bCs/>
          <w:i w:val="0"/>
          <w:iCs w:val="0"/>
          <w:color w:val="auto"/>
          <w:sz w:val="24"/>
          <w:szCs w:val="24"/>
        </w:rPr>
        <w:instrText xml:space="preserve"> SEQ Figure \* ARABIC </w:instrText>
      </w:r>
      <w:r w:rsidR="00E95521" w:rsidRPr="005F5489">
        <w:rPr>
          <w:rFonts w:ascii="Times New Roman" w:hAnsi="Times New Roman" w:cs="Times New Roman"/>
          <w:b/>
          <w:bCs/>
          <w:i w:val="0"/>
          <w:iCs w:val="0"/>
          <w:color w:val="auto"/>
          <w:sz w:val="24"/>
          <w:szCs w:val="24"/>
        </w:rPr>
        <w:fldChar w:fldCharType="separate"/>
      </w:r>
      <w:r w:rsidR="00C8038C">
        <w:rPr>
          <w:rFonts w:ascii="Times New Roman" w:hAnsi="Times New Roman" w:cs="Times New Roman"/>
          <w:b/>
          <w:bCs/>
          <w:i w:val="0"/>
          <w:iCs w:val="0"/>
          <w:noProof/>
          <w:color w:val="auto"/>
          <w:sz w:val="24"/>
          <w:szCs w:val="24"/>
        </w:rPr>
        <w:t>2</w:t>
      </w:r>
      <w:r w:rsidR="00E95521" w:rsidRPr="005F5489">
        <w:rPr>
          <w:rFonts w:ascii="Times New Roman" w:hAnsi="Times New Roman" w:cs="Times New Roman"/>
          <w:b/>
          <w:bCs/>
          <w:i w:val="0"/>
          <w:iCs w:val="0"/>
          <w:color w:val="auto"/>
          <w:sz w:val="24"/>
          <w:szCs w:val="24"/>
        </w:rPr>
        <w:fldChar w:fldCharType="end"/>
      </w:r>
      <w:r w:rsidRPr="005F5489">
        <w:rPr>
          <w:rFonts w:ascii="Times New Roman" w:hAnsi="Times New Roman" w:cs="Times New Roman"/>
          <w:b/>
          <w:bCs/>
          <w:i w:val="0"/>
          <w:iCs w:val="0"/>
          <w:color w:val="auto"/>
          <w:sz w:val="24"/>
          <w:szCs w:val="24"/>
        </w:rPr>
        <w:t xml:space="preserve"> Convergence of Al(Pb)</w:t>
      </w:r>
      <w:r w:rsidRPr="005F5489">
        <w:rPr>
          <w:rFonts w:ascii="Times New Roman" w:hAnsi="Times New Roman" w:cs="Times New Roman"/>
          <w:b/>
          <w:bCs/>
          <w:i w:val="0"/>
          <w:iCs w:val="0"/>
          <w:color w:val="auto"/>
          <w:sz w:val="24"/>
          <w:szCs w:val="24"/>
        </w:rPr>
        <w:fldChar w:fldCharType="begin"/>
      </w:r>
      <w:r w:rsidR="00787647">
        <w:rPr>
          <w:rFonts w:ascii="Times New Roman" w:hAnsi="Times New Roman" w:cs="Times New Roman"/>
          <w:b/>
          <w:bCs/>
          <w:i w:val="0"/>
          <w:iCs w:val="0"/>
          <w:color w:val="auto"/>
          <w:sz w:val="24"/>
          <w:szCs w:val="24"/>
        </w:rPr>
        <w:instrText xml:space="preserve"> ADDIN ZOTERO_ITEM CSL_CITATION {"citationID":"uVrCZg7x","properties":{"formattedCitation":"\\super 26\\nosupersub{}","plainCitation":"26","noteIndex":0},"citationItems":[{"id":1106,"uris":["http://zotero.org/users/5159096/items/J7XWXSLN"],"itemData":{"id":1106,"type":"article-journal","abstract":"ÐEmpirical many-body potentials of the glue-type have been constructed for the Al±Pb system using the ``force matching'' method. The potentials are ®tted to experimental data, physical quantities derived from ab initio linear mun-tin orbitals calculations and a massive quantum mechanical database of atomic forces generated using ultrasoft pseudopotentials in conjunction with ab initio molecular statics simulations. Monte Carlo simulations using these potentials have been employed to compute an Al±Pb phase diagram which is in fair agreement with experimental data. 7 2000 Acta Metallurgica Inc. Published by Elsevier Science Ltd. All rights reserved.","container-title":"Acta Materialia","DOI":"10.1016/S1359-6454(00)00002-1","ISSN":"13596454","issue":"8","journalAbbreviation":"Acta Materialia","language":"en","page":"1753-1761","source":"DOI.org (Crossref)","title":"Development of glue-type potentials for the Al–Pb system: phase diagram calculation","title-short":"Development of glue-type potentials for the Al–Pb system","volume":"48","author":[{"family":"Landa","given":"A."},{"family":"Wynblatt","given":"P."},{"family":"Siegel","given":"D.J."},{"family":"Adams","given":"J.B."},{"family":"Mryasov","given":"O.N."},{"family":"Liu","given":"X.-Y."}],"issued":{"date-parts":[["2000",5]]}}}],"schema":"https://github.com/citation-style-language/schema/raw/master/csl-citation.json"} </w:instrText>
      </w:r>
      <w:r w:rsidRPr="005F5489">
        <w:rPr>
          <w:rFonts w:ascii="Times New Roman" w:hAnsi="Times New Roman" w:cs="Times New Roman"/>
          <w:b/>
          <w:bCs/>
          <w:i w:val="0"/>
          <w:iCs w:val="0"/>
          <w:color w:val="auto"/>
          <w:sz w:val="24"/>
          <w:szCs w:val="24"/>
        </w:rPr>
        <w:fldChar w:fldCharType="separate"/>
      </w:r>
      <w:r w:rsidR="00787647" w:rsidRPr="00787647">
        <w:rPr>
          <w:rFonts w:ascii="Times New Roman" w:hAnsi="Times New Roman" w:cs="Times New Roman"/>
          <w:kern w:val="0"/>
          <w:sz w:val="24"/>
          <w:szCs w:val="24"/>
          <w:vertAlign w:val="superscript"/>
        </w:rPr>
        <w:t>26</w:t>
      </w:r>
      <w:r w:rsidRPr="005F5489">
        <w:rPr>
          <w:rFonts w:ascii="Times New Roman" w:hAnsi="Times New Roman" w:cs="Times New Roman"/>
          <w:b/>
          <w:bCs/>
          <w:i w:val="0"/>
          <w:iCs w:val="0"/>
          <w:color w:val="auto"/>
          <w:sz w:val="24"/>
          <w:szCs w:val="24"/>
        </w:rPr>
        <w:fldChar w:fldCharType="end"/>
      </w:r>
      <w:r w:rsidRPr="005F5489">
        <w:rPr>
          <w:rFonts w:ascii="Times New Roman" w:hAnsi="Times New Roman" w:cs="Times New Roman"/>
          <w:b/>
          <w:bCs/>
          <w:i w:val="0"/>
          <w:iCs w:val="0"/>
          <w:color w:val="auto"/>
          <w:sz w:val="24"/>
          <w:szCs w:val="24"/>
        </w:rPr>
        <w:t>.</w:t>
      </w:r>
    </w:p>
    <w:p w14:paraId="04058714" w14:textId="1CBB3563" w:rsidR="00CB7998" w:rsidRPr="005F5489" w:rsidRDefault="00CB7998" w:rsidP="00CB7998">
      <w:pPr>
        <w:rPr>
          <w:sz w:val="22"/>
        </w:rPr>
      </w:pPr>
      <w:r>
        <w:rPr>
          <w:noProof/>
        </w:rPr>
        <w:lastRenderedPageBreak/>
        <w:drawing>
          <wp:inline distT="0" distB="0" distL="0" distR="0" wp14:anchorId="4B8CA1F0" wp14:editId="13FAA40C">
            <wp:extent cx="5486400" cy="5486400"/>
            <wp:effectExtent l="0" t="0" r="0" b="0"/>
            <wp:docPr id="1595448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44841"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486400" cy="5486400"/>
                    </a:xfrm>
                    <a:prstGeom prst="rect">
                      <a:avLst/>
                    </a:prstGeom>
                    <a:noFill/>
                    <a:ln>
                      <a:noFill/>
                    </a:ln>
                  </pic:spPr>
                </pic:pic>
              </a:graphicData>
            </a:graphic>
          </wp:inline>
        </w:drawing>
      </w:r>
    </w:p>
    <w:p w14:paraId="01DCA687" w14:textId="2D68CA26" w:rsidR="009879B9" w:rsidRPr="00ED6690" w:rsidRDefault="009879B9" w:rsidP="00533862">
      <w:pPr>
        <w:rPr>
          <w:rFonts w:ascii="Times New Roman" w:hAnsi="Times New Roman" w:cs="Times New Roman"/>
          <w:b/>
          <w:bCs/>
          <w:szCs w:val="24"/>
        </w:rPr>
      </w:pPr>
    </w:p>
    <w:p w14:paraId="6613F9A2" w14:textId="6A341E4B" w:rsidR="009879B9" w:rsidRDefault="009879B9" w:rsidP="00533862">
      <w:pPr>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3</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Convergence of Al(</w:t>
      </w:r>
      <w:proofErr w:type="spellStart"/>
      <w:r w:rsidRPr="00ED6690">
        <w:rPr>
          <w:rFonts w:ascii="Times New Roman" w:hAnsi="Times New Roman" w:cs="Times New Roman"/>
          <w:b/>
          <w:bCs/>
          <w:szCs w:val="24"/>
        </w:rPr>
        <w:t>Sm</w:t>
      </w:r>
      <w:proofErr w:type="spellEnd"/>
      <w:r w:rsidRPr="00ED6690">
        <w:rPr>
          <w:rFonts w:ascii="Times New Roman" w:hAnsi="Times New Roman" w:cs="Times New Roman"/>
          <w:b/>
          <w:bCs/>
          <w:szCs w:val="24"/>
        </w:rPr>
        <w:t>)</w:t>
      </w:r>
      <w:r w:rsidR="000A5DA1" w:rsidRPr="00ED6690">
        <w:rPr>
          <w:rFonts w:ascii="Times New Roman" w:hAnsi="Times New Roman" w:cs="Times New Roman"/>
          <w:b/>
          <w:bCs/>
          <w:szCs w:val="24"/>
        </w:rPr>
        <w:fldChar w:fldCharType="begin"/>
      </w:r>
      <w:r w:rsidR="00052644">
        <w:rPr>
          <w:rFonts w:ascii="Times New Roman" w:hAnsi="Times New Roman" w:cs="Times New Roman"/>
          <w:b/>
          <w:bCs/>
          <w:szCs w:val="24"/>
        </w:rPr>
        <w:instrText xml:space="preserve"> ADDIN ZOTERO_ITEM CSL_CITATION {"citationID":"YSbjnWHN","properties":{"formattedCitation":"\\super 27\\nosupersub{}","plainCitation":"27","noteIndex":0},"citationItems":[{"id":2440,"uris":["http://zotero.org/users/5159096/items/W3ASK7P6","http://zotero.org/users/5159096/items/MIKQQ8VF"],"itemData":{"id":2440,"type":"article-journal","abstract":"A semi-empirical potential for the Al90Sm10 alloy is presented. The potential provides satisfactory reproduction of pure Al properties, the formation energies of a set of Al–Sm crystal phases with Sm content about 10%, and the structure of the liquid Al90Sm10 alloy. During molecular dynamics simulation in which the liquid alloy is cooled at a rate of 1010 K s−1, the developed potential produces a glass structure with lower ab initio energy than that produced by ab initio molecular dynamics (AIMD) itself using a typical AIMD cooling rate of 8·1013 K s−1. Based on these facts the developed potential should be suitable for simulations of phase transformations in the Al90Sm10 alloy.","container-title":"Modelling and Simulation in Materials Science and Engineering","DOI":"10.1088/0965-0393/23/4/045013","ISSN":"0965-0393","issue":"4","note":"publisher: IOP Publishing","page":"045013","title":"Development of interatomic potentials appropriate for simulation of devitrification of Al90Sm10 alloy","volume":"23","author":[{"family":"Mendelev","given":"M I"},{"family":"Zhang","given":"F"},{"family":"Ye","given":"Z"},{"family":"Sun","given":"Y"},{"family":"Nguyen","given":"M C"},{"family":"Wilson","given":"S R"},{"family":"Wang","given":"C Z"},{"family":"Ho","given":"K M"}],"issued":{"date-parts":[["2015",4,23]]}},"label":"page"}],"schema":"https://github.com/citation-style-language/schema/raw/master/csl-citation.json"} </w:instrText>
      </w:r>
      <w:r w:rsidR="000A5DA1" w:rsidRPr="00ED6690">
        <w:rPr>
          <w:rFonts w:ascii="Times New Roman" w:hAnsi="Times New Roman" w:cs="Times New Roman"/>
          <w:b/>
          <w:bCs/>
          <w:szCs w:val="24"/>
        </w:rPr>
        <w:fldChar w:fldCharType="separate"/>
      </w:r>
      <w:r w:rsidR="00052644" w:rsidRPr="00052644">
        <w:rPr>
          <w:rFonts w:ascii="Times New Roman" w:hAnsi="Times New Roman" w:cs="Times New Roman"/>
          <w:kern w:val="0"/>
          <w:szCs w:val="24"/>
          <w:vertAlign w:val="superscript"/>
        </w:rPr>
        <w:t>27</w:t>
      </w:r>
      <w:r w:rsidR="000A5DA1" w:rsidRPr="00ED6690">
        <w:rPr>
          <w:rFonts w:ascii="Times New Roman" w:hAnsi="Times New Roman" w:cs="Times New Roman"/>
          <w:b/>
          <w:bCs/>
          <w:szCs w:val="24"/>
        </w:rPr>
        <w:fldChar w:fldCharType="end"/>
      </w:r>
      <w:r w:rsidRPr="00ED6690">
        <w:rPr>
          <w:rFonts w:ascii="Times New Roman" w:hAnsi="Times New Roman" w:cs="Times New Roman"/>
          <w:b/>
          <w:bCs/>
          <w:szCs w:val="24"/>
        </w:rPr>
        <w:t>.</w:t>
      </w:r>
    </w:p>
    <w:p w14:paraId="19DB46F2" w14:textId="2140869A" w:rsidR="00F66561" w:rsidRDefault="00CB7998" w:rsidP="00533862">
      <w:pPr>
        <w:rPr>
          <w:rFonts w:ascii="Times New Roman" w:hAnsi="Times New Roman" w:cs="Times New Roman"/>
          <w:b/>
          <w:bCs/>
          <w:szCs w:val="24"/>
        </w:rPr>
      </w:pPr>
      <w:r>
        <w:rPr>
          <w:noProof/>
        </w:rPr>
        <w:lastRenderedPageBreak/>
        <w:drawing>
          <wp:inline distT="0" distB="0" distL="0" distR="0" wp14:anchorId="0FB5BEC8" wp14:editId="1AA05572">
            <wp:extent cx="5486400" cy="5486400"/>
            <wp:effectExtent l="0" t="0" r="0" b="0"/>
            <wp:docPr id="14784308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430851"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486400" cy="5486400"/>
                    </a:xfrm>
                    <a:prstGeom prst="rect">
                      <a:avLst/>
                    </a:prstGeom>
                    <a:noFill/>
                    <a:ln>
                      <a:noFill/>
                    </a:ln>
                  </pic:spPr>
                </pic:pic>
              </a:graphicData>
            </a:graphic>
          </wp:inline>
        </w:drawing>
      </w:r>
    </w:p>
    <w:p w14:paraId="1BC71824" w14:textId="7ECBB37F" w:rsidR="000E02A0" w:rsidRPr="00ED6690" w:rsidRDefault="000E02A0" w:rsidP="000E02A0">
      <w:pPr>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4</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Convergence of </w:t>
      </w:r>
      <w:r>
        <w:rPr>
          <w:rFonts w:ascii="Times New Roman" w:hAnsi="Times New Roman" w:cs="Times New Roman"/>
          <w:b/>
          <w:bCs/>
          <w:szCs w:val="24"/>
        </w:rPr>
        <w:t>Cu(Pb</w:t>
      </w:r>
      <w:r w:rsidRPr="00ED6690">
        <w:rPr>
          <w:rFonts w:ascii="Times New Roman" w:hAnsi="Times New Roman" w:cs="Times New Roman"/>
          <w:b/>
          <w:bCs/>
          <w:szCs w:val="24"/>
        </w:rPr>
        <w:t>)</w:t>
      </w:r>
      <w:r w:rsidRPr="00ED6690">
        <w:rPr>
          <w:rFonts w:ascii="Times New Roman" w:hAnsi="Times New Roman" w:cs="Times New Roman"/>
          <w:b/>
          <w:bCs/>
          <w:szCs w:val="24"/>
        </w:rPr>
        <w:fldChar w:fldCharType="begin"/>
      </w:r>
      <w:r w:rsidR="00052644">
        <w:rPr>
          <w:rFonts w:ascii="Times New Roman" w:hAnsi="Times New Roman" w:cs="Times New Roman"/>
          <w:b/>
          <w:bCs/>
          <w:szCs w:val="24"/>
        </w:rPr>
        <w:instrText xml:space="preserve"> ADDIN ZOTERO_ITEM CSL_CITATION {"citationID":"GEicY5iJ","properties":{"formattedCitation":"\\super 37\\nosupersub{}","plainCitation":"37","noteIndex":0},"citationItems":[{"id":626,"uris":["http://zotero.org/users/5159096/items/YHUDCBDJ"],"itemData":{"id":626,"type":"article-journal","abstract":"A simple procedure is used to formulate a Cu–Pb pair interaction function within the embedded atom (EAM) method framework. Embedding, density and pair functions for pure Cu and pure Pb are taken from previously published EAM studies. Optimization of the Cu–Pb potential was achieved by comparing with experiment the computed heats of mixing for Cu–Pb liquid alloys and the equilibrium phase diagram, the latter being determined via a thermodynamic integration technique. The topology of the temperature-composition phase diagram computed with this EAM potential is consistent with experiment and features a liquid–liquid miscibility gap, low solubility of Pb in solid Cu and a monotectic reaction at approximately 1012 K.","container-title":"Modelling and Simulation in Materials Science and Engineering","DOI":"10.1088/0965-0393/11/3/302","ISSN":"0965-0393","issue":"3","note":"publisher: IOP Publishing","page":"287-299","title":"An embedded atom method interatomic potential for the Cu Pb system","volume":"11","author":[{"family":"Hoyt","given":"J J"},{"family":"Garvin","given":"J W"},{"family":"Webb","given":"E B"},{"family":"Asta","given":"Mark"}],"issued":{"date-parts":[["2003",2,24]]}}}],"schema":"https://github.com/citation-style-language/schema/raw/master/csl-citation.json"} </w:instrText>
      </w:r>
      <w:r w:rsidRPr="00ED6690">
        <w:rPr>
          <w:rFonts w:ascii="Times New Roman" w:hAnsi="Times New Roman" w:cs="Times New Roman"/>
          <w:b/>
          <w:bCs/>
          <w:szCs w:val="24"/>
        </w:rPr>
        <w:fldChar w:fldCharType="separate"/>
      </w:r>
      <w:r w:rsidR="00052644" w:rsidRPr="00052644">
        <w:rPr>
          <w:rFonts w:ascii="Times New Roman" w:hAnsi="Times New Roman" w:cs="Times New Roman"/>
          <w:kern w:val="0"/>
          <w:szCs w:val="24"/>
          <w:vertAlign w:val="superscript"/>
        </w:rPr>
        <w:t>37</w:t>
      </w:r>
      <w:r w:rsidRPr="00ED6690">
        <w:rPr>
          <w:rFonts w:ascii="Times New Roman" w:hAnsi="Times New Roman" w:cs="Times New Roman"/>
          <w:b/>
          <w:bCs/>
          <w:szCs w:val="24"/>
        </w:rPr>
        <w:fldChar w:fldCharType="end"/>
      </w:r>
      <w:r w:rsidRPr="00ED6690">
        <w:rPr>
          <w:rFonts w:ascii="Times New Roman" w:hAnsi="Times New Roman" w:cs="Times New Roman"/>
          <w:b/>
          <w:bCs/>
          <w:szCs w:val="24"/>
        </w:rPr>
        <w:t>.</w:t>
      </w:r>
    </w:p>
    <w:p w14:paraId="3EC64508" w14:textId="3282B45F" w:rsidR="009879B9" w:rsidRPr="00ED6690" w:rsidRDefault="00CB7998" w:rsidP="00533862">
      <w:pPr>
        <w:rPr>
          <w:rFonts w:ascii="Times New Roman" w:hAnsi="Times New Roman" w:cs="Times New Roman"/>
          <w:b/>
          <w:bCs/>
          <w:szCs w:val="24"/>
        </w:rPr>
      </w:pPr>
      <w:r>
        <w:rPr>
          <w:noProof/>
        </w:rPr>
        <w:lastRenderedPageBreak/>
        <w:drawing>
          <wp:inline distT="0" distB="0" distL="0" distR="0" wp14:anchorId="256AFE9B" wp14:editId="3C476952">
            <wp:extent cx="5486400" cy="5486400"/>
            <wp:effectExtent l="0" t="0" r="0" b="0"/>
            <wp:docPr id="8184568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456856"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486400" cy="5486400"/>
                    </a:xfrm>
                    <a:prstGeom prst="rect">
                      <a:avLst/>
                    </a:prstGeom>
                    <a:noFill/>
                    <a:ln>
                      <a:noFill/>
                    </a:ln>
                  </pic:spPr>
                </pic:pic>
              </a:graphicData>
            </a:graphic>
          </wp:inline>
        </w:drawing>
      </w:r>
    </w:p>
    <w:p w14:paraId="3786D26A" w14:textId="3033E7B8" w:rsidR="009879B9" w:rsidRPr="00ED6690" w:rsidRDefault="009879B9" w:rsidP="009879B9">
      <w:pPr>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5</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Convergence of Cu(Zr)</w:t>
      </w:r>
      <w:r w:rsidR="000A5DA1" w:rsidRPr="00ED6690">
        <w:rPr>
          <w:rFonts w:ascii="Times New Roman" w:hAnsi="Times New Roman" w:cs="Times New Roman"/>
          <w:b/>
          <w:bCs/>
          <w:szCs w:val="24"/>
        </w:rPr>
        <w:fldChar w:fldCharType="begin"/>
      </w:r>
      <w:r w:rsidR="00052644">
        <w:rPr>
          <w:rFonts w:ascii="Times New Roman" w:hAnsi="Times New Roman" w:cs="Times New Roman"/>
          <w:b/>
          <w:bCs/>
          <w:szCs w:val="24"/>
        </w:rPr>
        <w:instrText xml:space="preserve"> ADDIN ZOTERO_ITEM CSL_CITATION {"citationID":"iBgBNRsi","properties":{"formattedCitation":"\\super 38\\nosupersub{}","plainCitation":"38","noteIndex":0},"citationItems":[{"id":624,"uris":["http://zotero.org/users/5159096/items/7WSS4RCB"],"itemData":{"id":624,"type":"article-journal","abstract":"Dislocation nucleation from grain boundaries (GB) can control plastic deformation in nano-crystalline metals under certain conditions, but little is known about what controls dislocation nucleation, because when data from different materials are compared, the variations of many interacting properties tend to obscure the effects of any single property. In this study, we seek clarification by applying a unique capability of semi-empirical potentials in molecular dynamics simulations: the potentials can be modified such that all significant material properties but one, are kept constant. Using a set of potentials developed to isolate the effects of stacking fault energy, we show that for a given grain boundary, loading orientation and strain rate, the yield stress depends linearly on both the stable and unstable stacking fault energies. The coefficients of proportionality depend on the GB structure and the value of the yield stress is related to the density of the E structural units in the GB. While the impact of the stable stacking fault energy is easy to understand, the unstable stacking fault energy requires more elucidation and we provide a framework for understanding how it affects the nucleation and propagation process.","container-title":"Modelling and Simulation in Materials Science and Engineering","DOI":"10.1088/0965-0393/24/8/085017","ISSN":"0965-0393","issue":"8","note":"publisher: IOP Publishing","page":"085017","title":"Effects of stable and unstable stacking fault energy on dislocation nucleation in nano-crystalline metals","volume":"24","author":[{"family":"Borovikov","given":"Valery"},{"family":"Mendelev","given":"Mikhail I"},{"family":"King","given":"Alexander H"}],"issued":{"date-parts":[["2016",11,9]]}}}],"schema":"https://github.com/citation-style-language/schema/raw/master/csl-citation.json"} </w:instrText>
      </w:r>
      <w:r w:rsidR="000A5DA1" w:rsidRPr="00ED6690">
        <w:rPr>
          <w:rFonts w:ascii="Times New Roman" w:hAnsi="Times New Roman" w:cs="Times New Roman"/>
          <w:b/>
          <w:bCs/>
          <w:szCs w:val="24"/>
        </w:rPr>
        <w:fldChar w:fldCharType="separate"/>
      </w:r>
      <w:r w:rsidR="000546CC" w:rsidRPr="000546CC">
        <w:rPr>
          <w:rFonts w:ascii="Times New Roman" w:hAnsi="Times New Roman" w:cs="Times New Roman"/>
          <w:szCs w:val="24"/>
          <w:vertAlign w:val="superscript"/>
        </w:rPr>
        <w:t>38</w:t>
      </w:r>
      <w:r w:rsidR="000A5DA1" w:rsidRPr="00ED6690">
        <w:rPr>
          <w:rFonts w:ascii="Times New Roman" w:hAnsi="Times New Roman" w:cs="Times New Roman"/>
          <w:b/>
          <w:bCs/>
          <w:szCs w:val="24"/>
        </w:rPr>
        <w:fldChar w:fldCharType="end"/>
      </w:r>
      <w:r w:rsidRPr="00ED6690">
        <w:rPr>
          <w:rFonts w:ascii="Times New Roman" w:hAnsi="Times New Roman" w:cs="Times New Roman"/>
          <w:b/>
          <w:bCs/>
          <w:szCs w:val="24"/>
        </w:rPr>
        <w:t>.</w:t>
      </w:r>
    </w:p>
    <w:p w14:paraId="2A1660A8" w14:textId="22038084" w:rsidR="009879B9" w:rsidRDefault="00CB7998" w:rsidP="00533862">
      <w:pPr>
        <w:rPr>
          <w:rFonts w:ascii="Times New Roman" w:hAnsi="Times New Roman" w:cs="Times New Roman"/>
          <w:b/>
          <w:bCs/>
          <w:szCs w:val="24"/>
        </w:rPr>
      </w:pPr>
      <w:r>
        <w:rPr>
          <w:noProof/>
        </w:rPr>
        <w:lastRenderedPageBreak/>
        <w:drawing>
          <wp:inline distT="0" distB="0" distL="0" distR="0" wp14:anchorId="12AB43FE" wp14:editId="4CE30519">
            <wp:extent cx="5486400" cy="5486400"/>
            <wp:effectExtent l="0" t="0" r="0" b="0"/>
            <wp:docPr id="1194298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29824"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486400" cy="5486400"/>
                    </a:xfrm>
                    <a:prstGeom prst="rect">
                      <a:avLst/>
                    </a:prstGeom>
                    <a:noFill/>
                    <a:ln>
                      <a:noFill/>
                    </a:ln>
                  </pic:spPr>
                </pic:pic>
              </a:graphicData>
            </a:graphic>
          </wp:inline>
        </w:drawing>
      </w:r>
    </w:p>
    <w:p w14:paraId="3D770DFB" w14:textId="2FE5FC3C" w:rsidR="000E02A0" w:rsidRPr="00ED6690" w:rsidRDefault="000E02A0" w:rsidP="000E02A0">
      <w:pPr>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6</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Convergence of Ni(</w:t>
      </w:r>
      <w:r>
        <w:rPr>
          <w:rFonts w:ascii="Times New Roman" w:hAnsi="Times New Roman" w:cs="Times New Roman"/>
          <w:b/>
          <w:bCs/>
          <w:szCs w:val="24"/>
        </w:rPr>
        <w:t>Pd</w:t>
      </w:r>
      <w:r w:rsidRPr="00ED6690">
        <w:rPr>
          <w:rFonts w:ascii="Times New Roman" w:hAnsi="Times New Roman" w:cs="Times New Roman"/>
          <w:b/>
          <w:bCs/>
          <w:szCs w:val="24"/>
        </w:rPr>
        <w:t>)</w:t>
      </w:r>
      <w:r w:rsidRPr="00ED6690">
        <w:rPr>
          <w:rFonts w:ascii="Times New Roman" w:hAnsi="Times New Roman" w:cs="Times New Roman"/>
          <w:b/>
          <w:bCs/>
          <w:szCs w:val="24"/>
        </w:rPr>
        <w:fldChar w:fldCharType="begin"/>
      </w:r>
      <w:r w:rsidR="00052644">
        <w:rPr>
          <w:rFonts w:ascii="Times New Roman" w:hAnsi="Times New Roman" w:cs="Times New Roman"/>
          <w:b/>
          <w:bCs/>
          <w:szCs w:val="24"/>
        </w:rPr>
        <w:instrText xml:space="preserve"> ADDIN ZOTERO_ITEM CSL_CITATION {"citationID":"RdpZpqq3","properties":{"formattedCitation":"\\super 10\\nosupersub{}","plainCitation":"10","noteIndex":0},"citationItems":[{"id":2455,"uris":["http://zotero.org/users/5159096/items/6GWLGNVC","http://zotero.org/users/5159096/items/2C2DCC5Z"],"itemData":{"id":2455,"type":"article-journal","container-title":"Physical Review B","DOI":"10.1103/PhysRevB.33.7983","issue":"12","journalAbbreviation":"Phys. Rev. B","note":"publisher: American Physical Society","page":"7983-7991","title":"Embedded-atom-method functions for the fcc metals Cu, Ag, Au, Ni, Pd, Pt, and their alloys","volume":"33","author":[{"family":"Foiles","given":"S. M."},{"family":"Baskes","given":"M. I."},{"family":"Daw","given":"M. S."}],"issued":{"date-parts":[["1986",6,15]]}}}],"schema":"https://github.com/citation-style-language/schema/raw/master/csl-citation.json"} </w:instrText>
      </w:r>
      <w:r w:rsidRPr="00ED6690">
        <w:rPr>
          <w:rFonts w:ascii="Times New Roman" w:hAnsi="Times New Roman" w:cs="Times New Roman"/>
          <w:b/>
          <w:bCs/>
          <w:szCs w:val="24"/>
        </w:rPr>
        <w:fldChar w:fldCharType="separate"/>
      </w:r>
      <w:r w:rsidR="002B0072" w:rsidRPr="002B0072">
        <w:rPr>
          <w:rFonts w:ascii="Times New Roman" w:hAnsi="Times New Roman" w:cs="Times New Roman"/>
          <w:szCs w:val="24"/>
          <w:vertAlign w:val="superscript"/>
        </w:rPr>
        <w:t>10</w:t>
      </w:r>
      <w:r w:rsidRPr="00ED6690">
        <w:rPr>
          <w:rFonts w:ascii="Times New Roman" w:hAnsi="Times New Roman" w:cs="Times New Roman"/>
          <w:b/>
          <w:bCs/>
          <w:szCs w:val="24"/>
        </w:rPr>
        <w:fldChar w:fldCharType="end"/>
      </w:r>
      <w:r w:rsidRPr="00ED6690">
        <w:rPr>
          <w:rFonts w:ascii="Times New Roman" w:hAnsi="Times New Roman" w:cs="Times New Roman"/>
          <w:b/>
          <w:bCs/>
          <w:szCs w:val="24"/>
        </w:rPr>
        <w:t>.</w:t>
      </w:r>
    </w:p>
    <w:p w14:paraId="50898BED" w14:textId="30D6EFA2" w:rsidR="00533862" w:rsidRPr="00ED6690" w:rsidRDefault="00CB7998" w:rsidP="00533862">
      <w:pPr>
        <w:rPr>
          <w:rFonts w:ascii="Times New Roman" w:hAnsi="Times New Roman" w:cs="Times New Roman"/>
          <w:b/>
          <w:bCs/>
          <w:szCs w:val="24"/>
        </w:rPr>
      </w:pPr>
      <w:r>
        <w:rPr>
          <w:noProof/>
        </w:rPr>
        <w:lastRenderedPageBreak/>
        <w:drawing>
          <wp:inline distT="0" distB="0" distL="0" distR="0" wp14:anchorId="53535AEA" wp14:editId="5FDD6E72">
            <wp:extent cx="5486400" cy="5486400"/>
            <wp:effectExtent l="0" t="0" r="0" b="0"/>
            <wp:docPr id="152767975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679753"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486400" cy="5486400"/>
                    </a:xfrm>
                    <a:prstGeom prst="rect">
                      <a:avLst/>
                    </a:prstGeom>
                    <a:noFill/>
                    <a:ln>
                      <a:noFill/>
                    </a:ln>
                  </pic:spPr>
                </pic:pic>
              </a:graphicData>
            </a:graphic>
          </wp:inline>
        </w:drawing>
      </w:r>
    </w:p>
    <w:p w14:paraId="7C13CF75" w14:textId="36E2A53F" w:rsidR="009879B9" w:rsidRPr="00ED6690" w:rsidRDefault="009879B9" w:rsidP="009879B9">
      <w:pPr>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7</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Convergence of Ni(Zr)</w:t>
      </w:r>
      <w:r w:rsidR="00160669" w:rsidRPr="00ED6690">
        <w:rPr>
          <w:rFonts w:ascii="Times New Roman" w:hAnsi="Times New Roman" w:cs="Times New Roman"/>
          <w:b/>
          <w:bCs/>
          <w:szCs w:val="24"/>
        </w:rPr>
        <w:fldChar w:fldCharType="begin"/>
      </w:r>
      <w:r w:rsidR="00052644">
        <w:rPr>
          <w:rFonts w:ascii="Times New Roman" w:hAnsi="Times New Roman" w:cs="Times New Roman"/>
          <w:b/>
          <w:bCs/>
          <w:szCs w:val="24"/>
        </w:rPr>
        <w:instrText xml:space="preserve"> ADDIN ZOTERO_ITEM CSL_CITATION {"citationID":"YTokNbI1","properties":{"formattedCitation":"\\super 54\\nosupersub{}","plainCitation":"54","noteIndex":0},"citationItems":[{"id":612,"uris":["http://zotero.org/users/5159096/items/AGBHI7IW"],"itemData":{"id":612,"type":"article-journal","container-title":"Philosophical Magazine","DOI":"10.1080/14786435.2014.995742","ISSN":"1478-6435","issue":"2","journalAbbreviation":"Philosophical Magazine","note":"publisher: Taylor &amp; Francis","page":"224-241","title":"Anisotropy of the solid–liquid interface properties of the Ni–Zr B33 phase from molecular dynamics simulation","volume":"95","author":[{"family":"Wilson","given":"S.R."},{"family":"Mendelev","given":"M.I."}],"issued":{"date-parts":[["2015",1,12]]}}}],"schema":"https://github.com/citation-style-language/schema/raw/master/csl-citation.json"} </w:instrText>
      </w:r>
      <w:r w:rsidR="00160669" w:rsidRPr="00ED6690">
        <w:rPr>
          <w:rFonts w:ascii="Times New Roman" w:hAnsi="Times New Roman" w:cs="Times New Roman"/>
          <w:b/>
          <w:bCs/>
          <w:szCs w:val="24"/>
        </w:rPr>
        <w:fldChar w:fldCharType="separate"/>
      </w:r>
      <w:r w:rsidR="00FA4EAC" w:rsidRPr="00FA4EAC">
        <w:rPr>
          <w:rFonts w:ascii="Times New Roman" w:hAnsi="Times New Roman" w:cs="Times New Roman"/>
          <w:kern w:val="0"/>
          <w:szCs w:val="24"/>
          <w:vertAlign w:val="superscript"/>
        </w:rPr>
        <w:t>54</w:t>
      </w:r>
      <w:r w:rsidR="00160669" w:rsidRPr="00ED6690">
        <w:rPr>
          <w:rFonts w:ascii="Times New Roman" w:hAnsi="Times New Roman" w:cs="Times New Roman"/>
          <w:b/>
          <w:bCs/>
          <w:szCs w:val="24"/>
        </w:rPr>
        <w:fldChar w:fldCharType="end"/>
      </w:r>
      <w:r w:rsidRPr="00ED6690">
        <w:rPr>
          <w:rFonts w:ascii="Times New Roman" w:hAnsi="Times New Roman" w:cs="Times New Roman"/>
          <w:b/>
          <w:bCs/>
          <w:szCs w:val="24"/>
        </w:rPr>
        <w:t>.</w:t>
      </w:r>
    </w:p>
    <w:p w14:paraId="5FC3BEB3" w14:textId="24613DF4" w:rsidR="009879B9" w:rsidRPr="00ED6690" w:rsidRDefault="007906DB" w:rsidP="00533862">
      <w:pPr>
        <w:rPr>
          <w:rFonts w:ascii="Times New Roman" w:hAnsi="Times New Roman" w:cs="Times New Roman"/>
          <w:b/>
          <w:bCs/>
          <w:szCs w:val="24"/>
        </w:rPr>
      </w:pPr>
      <w:r>
        <w:rPr>
          <w:noProof/>
        </w:rPr>
        <w:lastRenderedPageBreak/>
        <w:drawing>
          <wp:inline distT="0" distB="0" distL="0" distR="0" wp14:anchorId="04DB50DC" wp14:editId="410CE01D">
            <wp:extent cx="4982165" cy="2740191"/>
            <wp:effectExtent l="0" t="0" r="9525"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4982165" cy="2740191"/>
                    </a:xfrm>
                    <a:prstGeom prst="rect">
                      <a:avLst/>
                    </a:prstGeom>
                    <a:noFill/>
                    <a:ln>
                      <a:noFill/>
                    </a:ln>
                  </pic:spPr>
                </pic:pic>
              </a:graphicData>
            </a:graphic>
          </wp:inline>
        </w:drawing>
      </w:r>
    </w:p>
    <w:p w14:paraId="1BB5F88B" w14:textId="726B203E" w:rsidR="00FC4D68" w:rsidRPr="00ED6690" w:rsidRDefault="00FC4D68" w:rsidP="005F5489">
      <w:pPr>
        <w:jc w:val="both"/>
        <w:rPr>
          <w:rFonts w:ascii="Times New Roman" w:hAnsi="Times New Roman" w:cs="Times New Roman"/>
          <w:b/>
          <w:bCs/>
          <w:szCs w:val="24"/>
        </w:rPr>
      </w:pPr>
      <w:r w:rsidRPr="00ED6690">
        <w:rPr>
          <w:rFonts w:ascii="Times New Roman" w:hAnsi="Times New Roman" w:cs="Times New Roman"/>
          <w:b/>
          <w:bCs/>
          <w:szCs w:val="24"/>
        </w:rPr>
        <w:t xml:space="preserve">Fig. </w:t>
      </w:r>
      <w:r>
        <w:rPr>
          <w:rFonts w:ascii="Times New Roman" w:hAnsi="Times New Roman" w:cs="Times New Roman"/>
          <w:b/>
          <w:bCs/>
          <w:szCs w:val="24"/>
        </w:rPr>
        <w:t>S</w:t>
      </w:r>
      <w:r>
        <w:rPr>
          <w:rFonts w:ascii="Times New Roman" w:hAnsi="Times New Roman" w:cs="Times New Roman"/>
          <w:b/>
          <w:bCs/>
          <w:szCs w:val="24"/>
        </w:rPr>
        <w:fldChar w:fldCharType="begin"/>
      </w:r>
      <w:r>
        <w:rPr>
          <w:rFonts w:ascii="Times New Roman" w:hAnsi="Times New Roman" w:cs="Times New Roman"/>
          <w:b/>
          <w:bCs/>
          <w:szCs w:val="24"/>
        </w:rPr>
        <w:instrText xml:space="preserve"> SEQ Figure \* ARABIC </w:instrText>
      </w:r>
      <w:r>
        <w:rPr>
          <w:rFonts w:ascii="Times New Roman" w:hAnsi="Times New Roman" w:cs="Times New Roman"/>
          <w:b/>
          <w:bCs/>
          <w:szCs w:val="24"/>
        </w:rPr>
        <w:fldChar w:fldCharType="separate"/>
      </w:r>
      <w:r w:rsidR="00C8038C">
        <w:rPr>
          <w:rFonts w:ascii="Times New Roman" w:hAnsi="Times New Roman" w:cs="Times New Roman"/>
          <w:b/>
          <w:bCs/>
          <w:noProof/>
          <w:szCs w:val="24"/>
        </w:rPr>
        <w:t>8</w:t>
      </w:r>
      <w:r>
        <w:rPr>
          <w:rFonts w:ascii="Times New Roman" w:hAnsi="Times New Roman" w:cs="Times New Roman"/>
          <w:b/>
          <w:bCs/>
          <w:szCs w:val="24"/>
        </w:rPr>
        <w:fldChar w:fldCharType="end"/>
      </w:r>
      <w:r w:rsidRPr="00ED6690">
        <w:rPr>
          <w:rFonts w:ascii="Times New Roman" w:hAnsi="Times New Roman" w:cs="Times New Roman"/>
          <w:b/>
          <w:bCs/>
          <w:szCs w:val="24"/>
        </w:rPr>
        <w:t xml:space="preserve"> </w:t>
      </w:r>
      <w:proofErr w:type="gramStart"/>
      <w:r w:rsidRPr="00FC4D68">
        <w:rPr>
          <w:rFonts w:ascii="Times New Roman" w:hAnsi="Times New Roman" w:cs="Times New Roman"/>
          <w:b/>
          <w:bCs/>
          <w:szCs w:val="24"/>
        </w:rPr>
        <w:t>Ni(</w:t>
      </w:r>
      <w:proofErr w:type="gramEnd"/>
      <w:r w:rsidRPr="00FC4D68">
        <w:rPr>
          <w:rFonts w:ascii="Times New Roman" w:hAnsi="Times New Roman" w:cs="Times New Roman"/>
          <w:b/>
          <w:bCs/>
          <w:szCs w:val="24"/>
        </w:rPr>
        <w:t>Pd) Segregation Energy-Entropy Spectrum</w:t>
      </w:r>
      <w:r>
        <w:rPr>
          <w:rFonts w:ascii="Times New Roman" w:hAnsi="Times New Roman" w:cs="Times New Roman"/>
          <w:szCs w:val="24"/>
        </w:rPr>
        <w:t>. The spectrum</w:t>
      </w:r>
      <w:r w:rsidRPr="005F5489">
        <w:rPr>
          <w:rFonts w:ascii="Times New Roman" w:hAnsi="Times New Roman" w:cs="Times New Roman"/>
          <w:szCs w:val="24"/>
        </w:rPr>
        <w:t xml:space="preserve"> from the accelerated model and a </w:t>
      </w:r>
      <w:r w:rsidRPr="00FC4D68">
        <w:rPr>
          <w:rFonts w:ascii="Times New Roman" w:eastAsiaTheme="minorEastAsia" w:hAnsi="Times New Roman" w:cs="Times New Roman"/>
          <w:szCs w:val="24"/>
        </w:rPr>
        <w:t>13×13×13-</w:t>
      </w:r>
      <w:r w:rsidRPr="005F5489">
        <w:rPr>
          <w:rFonts w:ascii="Times New Roman" w:hAnsi="Times New Roman" w:cs="Times New Roman"/>
          <w:szCs w:val="24"/>
        </w:rPr>
        <w:t>nm polycrystal</w:t>
      </w:r>
      <w:r>
        <w:rPr>
          <w:rFonts w:ascii="Times New Roman" w:hAnsi="Times New Roman" w:cs="Times New Roman"/>
          <w:szCs w:val="24"/>
        </w:rPr>
        <w:t xml:space="preserve"> are plotted in (a). </w:t>
      </w:r>
      <w:r>
        <w:rPr>
          <w:rFonts w:ascii="Times New Roman" w:eastAsiaTheme="minorEastAsia" w:hAnsi="Times New Roman" w:cs="Times New Roman"/>
          <w:szCs w:val="24"/>
        </w:rPr>
        <w:t xml:space="preserve">The spectra are estimated via a bivariate Gaussian distribution and used to </w:t>
      </w:r>
      <w:proofErr w:type="gramStart"/>
      <w:r>
        <w:rPr>
          <w:rFonts w:ascii="Times New Roman" w:eastAsiaTheme="minorEastAsia" w:hAnsi="Times New Roman" w:cs="Times New Roman"/>
          <w:szCs w:val="24"/>
        </w:rPr>
        <w:t>calculated</w:t>
      </w:r>
      <w:proofErr w:type="gramEnd"/>
      <w:r>
        <w:rPr>
          <w:rFonts w:ascii="Times New Roman" w:eastAsiaTheme="minorEastAsia" w:hAnsi="Times New Roman" w:cs="Times New Roman"/>
          <w:szCs w:val="24"/>
        </w:rPr>
        <w:t xml:space="preserve"> the GB concentrations shown in (b) at a large grain size limit with </w:t>
      </w:r>
      <w:proofErr w:type="spellStart"/>
      <w:r w:rsidRPr="00134EAF">
        <w:rPr>
          <w:rFonts w:ascii="Times New Roman" w:eastAsiaTheme="minorEastAsia" w:hAnsi="Times New Roman" w:cs="Times New Roman"/>
          <w:i/>
          <w:iCs/>
          <w:szCs w:val="24"/>
        </w:rPr>
        <w:t>X</w:t>
      </w:r>
      <w:r w:rsidRPr="00134EAF">
        <w:rPr>
          <w:rFonts w:ascii="Times New Roman" w:eastAsiaTheme="minorEastAsia" w:hAnsi="Times New Roman" w:cs="Times New Roman"/>
          <w:i/>
          <w:iCs/>
          <w:szCs w:val="24"/>
          <w:vertAlign w:val="superscript"/>
        </w:rPr>
        <w:t>tot</w:t>
      </w:r>
      <w:proofErr w:type="spellEnd"/>
      <w:r>
        <w:rPr>
          <w:rFonts w:ascii="Times New Roman" w:eastAsiaTheme="minorEastAsia" w:hAnsi="Times New Roman" w:cs="Times New Roman"/>
          <w:szCs w:val="24"/>
        </w:rPr>
        <w:t xml:space="preserve"> = </w:t>
      </w:r>
      <w:r w:rsidR="009C6029">
        <w:rPr>
          <w:rFonts w:ascii="Times New Roman" w:eastAsiaTheme="minorEastAsia" w:hAnsi="Times New Roman" w:cs="Times New Roman"/>
          <w:szCs w:val="24"/>
        </w:rPr>
        <w:t>1</w:t>
      </w:r>
      <w:r>
        <w:rPr>
          <w:rFonts w:ascii="Times New Roman" w:eastAsiaTheme="minorEastAsia" w:hAnsi="Times New Roman" w:cs="Times New Roman"/>
          <w:szCs w:val="24"/>
        </w:rPr>
        <w:t xml:space="preserve"> at. %.</w:t>
      </w:r>
    </w:p>
    <w:p w14:paraId="52AE1977" w14:textId="332F3453" w:rsidR="009879B9" w:rsidRPr="00ED6690" w:rsidRDefault="007906DB" w:rsidP="00533862">
      <w:pPr>
        <w:rPr>
          <w:rFonts w:ascii="Times New Roman" w:hAnsi="Times New Roman" w:cs="Times New Roman"/>
          <w:b/>
          <w:bCs/>
          <w:szCs w:val="24"/>
        </w:rPr>
      </w:pPr>
      <w:r>
        <w:rPr>
          <w:noProof/>
        </w:rPr>
        <w:drawing>
          <wp:inline distT="0" distB="0" distL="0" distR="0" wp14:anchorId="247BB023" wp14:editId="016F42C3">
            <wp:extent cx="4982165" cy="2740191"/>
            <wp:effectExtent l="0" t="0" r="9525"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4982165" cy="2740191"/>
                    </a:xfrm>
                    <a:prstGeom prst="rect">
                      <a:avLst/>
                    </a:prstGeom>
                    <a:noFill/>
                    <a:ln>
                      <a:noFill/>
                    </a:ln>
                  </pic:spPr>
                </pic:pic>
              </a:graphicData>
            </a:graphic>
          </wp:inline>
        </w:drawing>
      </w:r>
    </w:p>
    <w:p w14:paraId="29A7466C" w14:textId="72CC6DA8" w:rsidR="00FC4D68" w:rsidRDefault="00FC4D68" w:rsidP="00FC4D68">
      <w:pPr>
        <w:jc w:val="both"/>
        <w:rPr>
          <w:rFonts w:ascii="Times New Roman" w:eastAsiaTheme="minorEastAsia" w:hAnsi="Times New Roman" w:cs="Times New Roman"/>
          <w:szCs w:val="24"/>
        </w:rPr>
      </w:pPr>
      <w:r w:rsidRPr="00ED6690">
        <w:rPr>
          <w:rFonts w:ascii="Times New Roman" w:hAnsi="Times New Roman" w:cs="Times New Roman"/>
          <w:b/>
          <w:bCs/>
          <w:szCs w:val="24"/>
        </w:rPr>
        <w:t xml:space="preserve">Fig. </w:t>
      </w:r>
      <w:r>
        <w:rPr>
          <w:rFonts w:ascii="Times New Roman" w:hAnsi="Times New Roman" w:cs="Times New Roman"/>
          <w:b/>
          <w:bCs/>
          <w:szCs w:val="24"/>
        </w:rPr>
        <w:t>S</w:t>
      </w:r>
      <w:r>
        <w:rPr>
          <w:rFonts w:ascii="Times New Roman" w:hAnsi="Times New Roman" w:cs="Times New Roman"/>
          <w:b/>
          <w:bCs/>
          <w:szCs w:val="24"/>
        </w:rPr>
        <w:fldChar w:fldCharType="begin"/>
      </w:r>
      <w:r>
        <w:rPr>
          <w:rFonts w:ascii="Times New Roman" w:hAnsi="Times New Roman" w:cs="Times New Roman"/>
          <w:b/>
          <w:bCs/>
          <w:szCs w:val="24"/>
        </w:rPr>
        <w:instrText xml:space="preserve"> SEQ Figure \* ARABIC </w:instrText>
      </w:r>
      <w:r>
        <w:rPr>
          <w:rFonts w:ascii="Times New Roman" w:hAnsi="Times New Roman" w:cs="Times New Roman"/>
          <w:b/>
          <w:bCs/>
          <w:szCs w:val="24"/>
        </w:rPr>
        <w:fldChar w:fldCharType="separate"/>
      </w:r>
      <w:r w:rsidR="00C8038C">
        <w:rPr>
          <w:rFonts w:ascii="Times New Roman" w:hAnsi="Times New Roman" w:cs="Times New Roman"/>
          <w:b/>
          <w:bCs/>
          <w:noProof/>
          <w:szCs w:val="24"/>
        </w:rPr>
        <w:t>9</w:t>
      </w:r>
      <w:r>
        <w:rPr>
          <w:rFonts w:ascii="Times New Roman" w:hAnsi="Times New Roman" w:cs="Times New Roman"/>
          <w:b/>
          <w:bCs/>
          <w:szCs w:val="24"/>
        </w:rPr>
        <w:fldChar w:fldCharType="end"/>
      </w:r>
      <w:r w:rsidRPr="00ED6690">
        <w:rPr>
          <w:rFonts w:ascii="Times New Roman" w:hAnsi="Times New Roman" w:cs="Times New Roman"/>
          <w:b/>
          <w:bCs/>
          <w:szCs w:val="24"/>
        </w:rPr>
        <w:t xml:space="preserve"> </w:t>
      </w:r>
      <w:proofErr w:type="gramStart"/>
      <w:r w:rsidRPr="00134EAF">
        <w:rPr>
          <w:rFonts w:ascii="Times New Roman" w:hAnsi="Times New Roman" w:cs="Times New Roman"/>
          <w:b/>
          <w:bCs/>
          <w:szCs w:val="24"/>
        </w:rPr>
        <w:t>Ni(</w:t>
      </w:r>
      <w:proofErr w:type="gramEnd"/>
      <w:r w:rsidRPr="00134EAF">
        <w:rPr>
          <w:rFonts w:ascii="Times New Roman" w:hAnsi="Times New Roman" w:cs="Times New Roman"/>
          <w:b/>
          <w:bCs/>
          <w:szCs w:val="24"/>
        </w:rPr>
        <w:t>P</w:t>
      </w:r>
      <w:r>
        <w:rPr>
          <w:rFonts w:ascii="Times New Roman" w:hAnsi="Times New Roman" w:cs="Times New Roman"/>
          <w:b/>
          <w:bCs/>
          <w:szCs w:val="24"/>
        </w:rPr>
        <w:t>t</w:t>
      </w:r>
      <w:r w:rsidRPr="00134EAF">
        <w:rPr>
          <w:rFonts w:ascii="Times New Roman" w:hAnsi="Times New Roman" w:cs="Times New Roman"/>
          <w:b/>
          <w:bCs/>
          <w:szCs w:val="24"/>
        </w:rPr>
        <w:t>) Segregation Energy-Entropy Spectrum</w:t>
      </w:r>
      <w:r>
        <w:rPr>
          <w:rFonts w:ascii="Times New Roman" w:hAnsi="Times New Roman" w:cs="Times New Roman"/>
          <w:szCs w:val="24"/>
        </w:rPr>
        <w:t>. The spectrum</w:t>
      </w:r>
      <w:r w:rsidRPr="00134EAF">
        <w:rPr>
          <w:rFonts w:ascii="Times New Roman" w:hAnsi="Times New Roman" w:cs="Times New Roman"/>
          <w:szCs w:val="24"/>
        </w:rPr>
        <w:t xml:space="preserve"> from the accelerated model and a </w:t>
      </w:r>
      <w:r w:rsidRPr="00134EAF">
        <w:rPr>
          <w:rFonts w:ascii="Times New Roman" w:eastAsiaTheme="minorEastAsia" w:hAnsi="Times New Roman" w:cs="Times New Roman"/>
          <w:szCs w:val="24"/>
        </w:rPr>
        <w:t>13×13×13-</w:t>
      </w:r>
      <w:r w:rsidRPr="00134EAF">
        <w:rPr>
          <w:rFonts w:ascii="Times New Roman" w:hAnsi="Times New Roman" w:cs="Times New Roman"/>
          <w:szCs w:val="24"/>
        </w:rPr>
        <w:t>nm polycrystal</w:t>
      </w:r>
      <w:r>
        <w:rPr>
          <w:rFonts w:ascii="Times New Roman" w:hAnsi="Times New Roman" w:cs="Times New Roman"/>
          <w:szCs w:val="24"/>
        </w:rPr>
        <w:t xml:space="preserve"> are plotted in (a). </w:t>
      </w:r>
      <w:r>
        <w:rPr>
          <w:rFonts w:ascii="Times New Roman" w:eastAsiaTheme="minorEastAsia" w:hAnsi="Times New Roman" w:cs="Times New Roman"/>
          <w:szCs w:val="24"/>
        </w:rPr>
        <w:t xml:space="preserve">The spectra are estimated via a bivariate Gaussian distribution and used to </w:t>
      </w:r>
      <w:proofErr w:type="gramStart"/>
      <w:r>
        <w:rPr>
          <w:rFonts w:ascii="Times New Roman" w:eastAsiaTheme="minorEastAsia" w:hAnsi="Times New Roman" w:cs="Times New Roman"/>
          <w:szCs w:val="24"/>
        </w:rPr>
        <w:t>calculated</w:t>
      </w:r>
      <w:proofErr w:type="gramEnd"/>
      <w:r>
        <w:rPr>
          <w:rFonts w:ascii="Times New Roman" w:eastAsiaTheme="minorEastAsia" w:hAnsi="Times New Roman" w:cs="Times New Roman"/>
          <w:szCs w:val="24"/>
        </w:rPr>
        <w:t xml:space="preserve"> the GB concentrations shown in (b) at a large grain size limit with </w:t>
      </w:r>
      <w:proofErr w:type="spellStart"/>
      <w:r w:rsidRPr="00134EAF">
        <w:rPr>
          <w:rFonts w:ascii="Times New Roman" w:eastAsiaTheme="minorEastAsia" w:hAnsi="Times New Roman" w:cs="Times New Roman"/>
          <w:i/>
          <w:iCs/>
          <w:szCs w:val="24"/>
        </w:rPr>
        <w:t>X</w:t>
      </w:r>
      <w:r w:rsidRPr="00134EAF">
        <w:rPr>
          <w:rFonts w:ascii="Times New Roman" w:eastAsiaTheme="minorEastAsia" w:hAnsi="Times New Roman" w:cs="Times New Roman"/>
          <w:i/>
          <w:iCs/>
          <w:szCs w:val="24"/>
          <w:vertAlign w:val="superscript"/>
        </w:rPr>
        <w:t>tot</w:t>
      </w:r>
      <w:proofErr w:type="spellEnd"/>
      <w:r>
        <w:rPr>
          <w:rFonts w:ascii="Times New Roman" w:eastAsiaTheme="minorEastAsia" w:hAnsi="Times New Roman" w:cs="Times New Roman"/>
          <w:szCs w:val="24"/>
        </w:rPr>
        <w:t xml:space="preserve"> = </w:t>
      </w:r>
      <w:r w:rsidR="009C6029">
        <w:rPr>
          <w:rFonts w:ascii="Times New Roman" w:eastAsiaTheme="minorEastAsia" w:hAnsi="Times New Roman" w:cs="Times New Roman"/>
          <w:szCs w:val="24"/>
        </w:rPr>
        <w:t>1</w:t>
      </w:r>
      <w:r>
        <w:rPr>
          <w:rFonts w:ascii="Times New Roman" w:eastAsiaTheme="minorEastAsia" w:hAnsi="Times New Roman" w:cs="Times New Roman"/>
          <w:szCs w:val="24"/>
        </w:rPr>
        <w:t xml:space="preserve"> at. %.</w:t>
      </w:r>
    </w:p>
    <w:p w14:paraId="0A24F584" w14:textId="65FAB447" w:rsidR="007906DB" w:rsidRPr="00ED6690" w:rsidRDefault="007906DB" w:rsidP="00FC4D68">
      <w:pPr>
        <w:jc w:val="both"/>
        <w:rPr>
          <w:rFonts w:ascii="Times New Roman" w:hAnsi="Times New Roman" w:cs="Times New Roman"/>
          <w:b/>
          <w:bCs/>
          <w:szCs w:val="24"/>
        </w:rPr>
      </w:pPr>
      <w:r>
        <w:rPr>
          <w:noProof/>
        </w:rPr>
        <w:lastRenderedPageBreak/>
        <w:drawing>
          <wp:inline distT="0" distB="0" distL="0" distR="0" wp14:anchorId="0D630B3A" wp14:editId="11306497">
            <wp:extent cx="4982165" cy="2740191"/>
            <wp:effectExtent l="0" t="0" r="9525"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4982165" cy="2740191"/>
                    </a:xfrm>
                    <a:prstGeom prst="rect">
                      <a:avLst/>
                    </a:prstGeom>
                    <a:noFill/>
                    <a:ln>
                      <a:noFill/>
                    </a:ln>
                  </pic:spPr>
                </pic:pic>
              </a:graphicData>
            </a:graphic>
          </wp:inline>
        </w:drawing>
      </w:r>
    </w:p>
    <w:p w14:paraId="114571E8" w14:textId="7DA4ECF7" w:rsidR="00FC4D68" w:rsidRDefault="00FC4D68" w:rsidP="00FC4D68">
      <w:pPr>
        <w:jc w:val="both"/>
        <w:rPr>
          <w:rFonts w:ascii="Times New Roman" w:eastAsiaTheme="minorEastAsia" w:hAnsi="Times New Roman" w:cs="Times New Roman"/>
          <w:szCs w:val="24"/>
        </w:rPr>
      </w:pPr>
      <w:r w:rsidRPr="00ED6690">
        <w:rPr>
          <w:rFonts w:ascii="Times New Roman" w:hAnsi="Times New Roman" w:cs="Times New Roman"/>
          <w:b/>
          <w:bCs/>
          <w:szCs w:val="24"/>
        </w:rPr>
        <w:t xml:space="preserve">Fig. </w:t>
      </w:r>
      <w:r>
        <w:rPr>
          <w:rFonts w:ascii="Times New Roman" w:hAnsi="Times New Roman" w:cs="Times New Roman"/>
          <w:b/>
          <w:bCs/>
          <w:szCs w:val="24"/>
        </w:rPr>
        <w:t>S</w:t>
      </w:r>
      <w:r>
        <w:rPr>
          <w:rFonts w:ascii="Times New Roman" w:hAnsi="Times New Roman" w:cs="Times New Roman"/>
          <w:b/>
          <w:bCs/>
          <w:szCs w:val="24"/>
        </w:rPr>
        <w:fldChar w:fldCharType="begin"/>
      </w:r>
      <w:r>
        <w:rPr>
          <w:rFonts w:ascii="Times New Roman" w:hAnsi="Times New Roman" w:cs="Times New Roman"/>
          <w:b/>
          <w:bCs/>
          <w:szCs w:val="24"/>
        </w:rPr>
        <w:instrText xml:space="preserve"> SEQ Figure \* ARABIC </w:instrText>
      </w:r>
      <w:r>
        <w:rPr>
          <w:rFonts w:ascii="Times New Roman" w:hAnsi="Times New Roman" w:cs="Times New Roman"/>
          <w:b/>
          <w:bCs/>
          <w:szCs w:val="24"/>
        </w:rPr>
        <w:fldChar w:fldCharType="separate"/>
      </w:r>
      <w:r w:rsidR="00C8038C">
        <w:rPr>
          <w:rFonts w:ascii="Times New Roman" w:hAnsi="Times New Roman" w:cs="Times New Roman"/>
          <w:b/>
          <w:bCs/>
          <w:noProof/>
          <w:szCs w:val="24"/>
        </w:rPr>
        <w:t>10</w:t>
      </w:r>
      <w:r>
        <w:rPr>
          <w:rFonts w:ascii="Times New Roman" w:hAnsi="Times New Roman" w:cs="Times New Roman"/>
          <w:b/>
          <w:bCs/>
          <w:szCs w:val="24"/>
        </w:rPr>
        <w:fldChar w:fldCharType="end"/>
      </w:r>
      <w:r w:rsidRPr="00ED6690">
        <w:rPr>
          <w:rFonts w:ascii="Times New Roman" w:hAnsi="Times New Roman" w:cs="Times New Roman"/>
          <w:b/>
          <w:bCs/>
          <w:szCs w:val="24"/>
        </w:rPr>
        <w:t xml:space="preserve"> </w:t>
      </w:r>
      <w:proofErr w:type="gramStart"/>
      <w:r w:rsidRPr="00134EAF">
        <w:rPr>
          <w:rFonts w:ascii="Times New Roman" w:hAnsi="Times New Roman" w:cs="Times New Roman"/>
          <w:b/>
          <w:bCs/>
          <w:szCs w:val="24"/>
        </w:rPr>
        <w:t>Ni(</w:t>
      </w:r>
      <w:proofErr w:type="gramEnd"/>
      <w:r>
        <w:rPr>
          <w:rFonts w:ascii="Times New Roman" w:hAnsi="Times New Roman" w:cs="Times New Roman"/>
          <w:b/>
          <w:bCs/>
          <w:szCs w:val="24"/>
        </w:rPr>
        <w:t>Ag</w:t>
      </w:r>
      <w:r w:rsidRPr="00134EAF">
        <w:rPr>
          <w:rFonts w:ascii="Times New Roman" w:hAnsi="Times New Roman" w:cs="Times New Roman"/>
          <w:b/>
          <w:bCs/>
          <w:szCs w:val="24"/>
        </w:rPr>
        <w:t>) Segregation Energy-Entropy Spectrum</w:t>
      </w:r>
      <w:r>
        <w:rPr>
          <w:rFonts w:ascii="Times New Roman" w:hAnsi="Times New Roman" w:cs="Times New Roman"/>
          <w:szCs w:val="24"/>
        </w:rPr>
        <w:t>. The spectrum</w:t>
      </w:r>
      <w:r w:rsidRPr="00134EAF">
        <w:rPr>
          <w:rFonts w:ascii="Times New Roman" w:hAnsi="Times New Roman" w:cs="Times New Roman"/>
          <w:szCs w:val="24"/>
        </w:rPr>
        <w:t xml:space="preserve"> from the accelerated model and a </w:t>
      </w:r>
      <w:r w:rsidRPr="00134EAF">
        <w:rPr>
          <w:rFonts w:ascii="Times New Roman" w:eastAsiaTheme="minorEastAsia" w:hAnsi="Times New Roman" w:cs="Times New Roman"/>
          <w:szCs w:val="24"/>
        </w:rPr>
        <w:t>13×13×13-</w:t>
      </w:r>
      <w:r w:rsidRPr="00134EAF">
        <w:rPr>
          <w:rFonts w:ascii="Times New Roman" w:hAnsi="Times New Roman" w:cs="Times New Roman"/>
          <w:szCs w:val="24"/>
        </w:rPr>
        <w:t>nm polycrystal</w:t>
      </w:r>
      <w:r>
        <w:rPr>
          <w:rFonts w:ascii="Times New Roman" w:hAnsi="Times New Roman" w:cs="Times New Roman"/>
          <w:szCs w:val="24"/>
        </w:rPr>
        <w:t xml:space="preserve"> are plotted in (a). </w:t>
      </w:r>
      <w:r>
        <w:rPr>
          <w:rFonts w:ascii="Times New Roman" w:eastAsiaTheme="minorEastAsia" w:hAnsi="Times New Roman" w:cs="Times New Roman"/>
          <w:szCs w:val="24"/>
        </w:rPr>
        <w:t xml:space="preserve">The spectra are estimated via a bivariate Gaussian distribution and used to </w:t>
      </w:r>
      <w:proofErr w:type="gramStart"/>
      <w:r>
        <w:rPr>
          <w:rFonts w:ascii="Times New Roman" w:eastAsiaTheme="minorEastAsia" w:hAnsi="Times New Roman" w:cs="Times New Roman"/>
          <w:szCs w:val="24"/>
        </w:rPr>
        <w:t>calculated</w:t>
      </w:r>
      <w:proofErr w:type="gramEnd"/>
      <w:r>
        <w:rPr>
          <w:rFonts w:ascii="Times New Roman" w:eastAsiaTheme="minorEastAsia" w:hAnsi="Times New Roman" w:cs="Times New Roman"/>
          <w:szCs w:val="24"/>
        </w:rPr>
        <w:t xml:space="preserve"> the GB concentrations shown in (b) at a large grain size limit with </w:t>
      </w:r>
      <w:proofErr w:type="spellStart"/>
      <w:r w:rsidRPr="00134EAF">
        <w:rPr>
          <w:rFonts w:ascii="Times New Roman" w:eastAsiaTheme="minorEastAsia" w:hAnsi="Times New Roman" w:cs="Times New Roman"/>
          <w:i/>
          <w:iCs/>
          <w:szCs w:val="24"/>
        </w:rPr>
        <w:t>X</w:t>
      </w:r>
      <w:r w:rsidRPr="00134EAF">
        <w:rPr>
          <w:rFonts w:ascii="Times New Roman" w:eastAsiaTheme="minorEastAsia" w:hAnsi="Times New Roman" w:cs="Times New Roman"/>
          <w:i/>
          <w:iCs/>
          <w:szCs w:val="24"/>
          <w:vertAlign w:val="superscript"/>
        </w:rPr>
        <w:t>tot</w:t>
      </w:r>
      <w:proofErr w:type="spellEnd"/>
      <w:r>
        <w:rPr>
          <w:rFonts w:ascii="Times New Roman" w:eastAsiaTheme="minorEastAsia" w:hAnsi="Times New Roman" w:cs="Times New Roman"/>
          <w:szCs w:val="24"/>
        </w:rPr>
        <w:t xml:space="preserve"> = </w:t>
      </w:r>
      <w:r w:rsidR="009C6029">
        <w:rPr>
          <w:rFonts w:ascii="Times New Roman" w:eastAsiaTheme="minorEastAsia" w:hAnsi="Times New Roman" w:cs="Times New Roman"/>
          <w:szCs w:val="24"/>
        </w:rPr>
        <w:t>1</w:t>
      </w:r>
      <w:r>
        <w:rPr>
          <w:rFonts w:ascii="Times New Roman" w:eastAsiaTheme="minorEastAsia" w:hAnsi="Times New Roman" w:cs="Times New Roman"/>
          <w:szCs w:val="24"/>
        </w:rPr>
        <w:t xml:space="preserve"> at. %.</w:t>
      </w:r>
    </w:p>
    <w:p w14:paraId="64447208" w14:textId="3C58ABFB" w:rsidR="007906DB" w:rsidRPr="00ED6690" w:rsidRDefault="007906DB" w:rsidP="00FC4D68">
      <w:pPr>
        <w:jc w:val="both"/>
        <w:rPr>
          <w:rFonts w:ascii="Times New Roman" w:hAnsi="Times New Roman" w:cs="Times New Roman"/>
          <w:b/>
          <w:bCs/>
          <w:szCs w:val="24"/>
        </w:rPr>
      </w:pPr>
      <w:r>
        <w:rPr>
          <w:noProof/>
        </w:rPr>
        <w:drawing>
          <wp:inline distT="0" distB="0" distL="0" distR="0" wp14:anchorId="06FEDE75" wp14:editId="3A00F463">
            <wp:extent cx="4982165" cy="2740191"/>
            <wp:effectExtent l="0" t="0" r="9525"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4982165" cy="2740191"/>
                    </a:xfrm>
                    <a:prstGeom prst="rect">
                      <a:avLst/>
                    </a:prstGeom>
                    <a:noFill/>
                    <a:ln>
                      <a:noFill/>
                    </a:ln>
                  </pic:spPr>
                </pic:pic>
              </a:graphicData>
            </a:graphic>
          </wp:inline>
        </w:drawing>
      </w:r>
    </w:p>
    <w:p w14:paraId="302F8E80" w14:textId="725A40C5" w:rsidR="00FC4D68" w:rsidRDefault="00FC4D68" w:rsidP="00FC4D68">
      <w:pPr>
        <w:jc w:val="both"/>
        <w:rPr>
          <w:rFonts w:ascii="Times New Roman" w:eastAsiaTheme="minorEastAsia" w:hAnsi="Times New Roman" w:cs="Times New Roman"/>
          <w:szCs w:val="24"/>
        </w:rPr>
      </w:pPr>
      <w:r w:rsidRPr="00ED6690">
        <w:rPr>
          <w:rFonts w:ascii="Times New Roman" w:hAnsi="Times New Roman" w:cs="Times New Roman"/>
          <w:b/>
          <w:bCs/>
          <w:szCs w:val="24"/>
        </w:rPr>
        <w:t xml:space="preserve">Fig. </w:t>
      </w:r>
      <w:r>
        <w:rPr>
          <w:rFonts w:ascii="Times New Roman" w:hAnsi="Times New Roman" w:cs="Times New Roman"/>
          <w:b/>
          <w:bCs/>
          <w:szCs w:val="24"/>
        </w:rPr>
        <w:t>S</w:t>
      </w:r>
      <w:r>
        <w:rPr>
          <w:rFonts w:ascii="Times New Roman" w:hAnsi="Times New Roman" w:cs="Times New Roman"/>
          <w:b/>
          <w:bCs/>
          <w:szCs w:val="24"/>
        </w:rPr>
        <w:fldChar w:fldCharType="begin"/>
      </w:r>
      <w:r>
        <w:rPr>
          <w:rFonts w:ascii="Times New Roman" w:hAnsi="Times New Roman" w:cs="Times New Roman"/>
          <w:b/>
          <w:bCs/>
          <w:szCs w:val="24"/>
        </w:rPr>
        <w:instrText xml:space="preserve"> SEQ Figure \* ARABIC </w:instrText>
      </w:r>
      <w:r>
        <w:rPr>
          <w:rFonts w:ascii="Times New Roman" w:hAnsi="Times New Roman" w:cs="Times New Roman"/>
          <w:b/>
          <w:bCs/>
          <w:szCs w:val="24"/>
        </w:rPr>
        <w:fldChar w:fldCharType="separate"/>
      </w:r>
      <w:r w:rsidR="00C8038C">
        <w:rPr>
          <w:rFonts w:ascii="Times New Roman" w:hAnsi="Times New Roman" w:cs="Times New Roman"/>
          <w:b/>
          <w:bCs/>
          <w:noProof/>
          <w:szCs w:val="24"/>
        </w:rPr>
        <w:t>11</w:t>
      </w:r>
      <w:r>
        <w:rPr>
          <w:rFonts w:ascii="Times New Roman" w:hAnsi="Times New Roman" w:cs="Times New Roman"/>
          <w:b/>
          <w:bCs/>
          <w:szCs w:val="24"/>
        </w:rPr>
        <w:fldChar w:fldCharType="end"/>
      </w:r>
      <w:r w:rsidRPr="00ED6690">
        <w:rPr>
          <w:rFonts w:ascii="Times New Roman" w:hAnsi="Times New Roman" w:cs="Times New Roman"/>
          <w:b/>
          <w:bCs/>
          <w:szCs w:val="24"/>
        </w:rPr>
        <w:t xml:space="preserve"> </w:t>
      </w:r>
      <w:proofErr w:type="gramStart"/>
      <w:r w:rsidRPr="00134EAF">
        <w:rPr>
          <w:rFonts w:ascii="Times New Roman" w:hAnsi="Times New Roman" w:cs="Times New Roman"/>
          <w:b/>
          <w:bCs/>
          <w:szCs w:val="24"/>
        </w:rPr>
        <w:t>Ni(</w:t>
      </w:r>
      <w:proofErr w:type="gramEnd"/>
      <w:r>
        <w:rPr>
          <w:rFonts w:ascii="Times New Roman" w:hAnsi="Times New Roman" w:cs="Times New Roman"/>
          <w:b/>
          <w:bCs/>
          <w:szCs w:val="24"/>
        </w:rPr>
        <w:t>Au</w:t>
      </w:r>
      <w:r w:rsidRPr="00134EAF">
        <w:rPr>
          <w:rFonts w:ascii="Times New Roman" w:hAnsi="Times New Roman" w:cs="Times New Roman"/>
          <w:b/>
          <w:bCs/>
          <w:szCs w:val="24"/>
        </w:rPr>
        <w:t>) Segregation Energy-Entropy Spectrum</w:t>
      </w:r>
      <w:r>
        <w:rPr>
          <w:rFonts w:ascii="Times New Roman" w:hAnsi="Times New Roman" w:cs="Times New Roman"/>
          <w:szCs w:val="24"/>
        </w:rPr>
        <w:t>. The spectrum</w:t>
      </w:r>
      <w:r w:rsidRPr="00134EAF">
        <w:rPr>
          <w:rFonts w:ascii="Times New Roman" w:hAnsi="Times New Roman" w:cs="Times New Roman"/>
          <w:szCs w:val="24"/>
        </w:rPr>
        <w:t xml:space="preserve"> from the accelerated model and a </w:t>
      </w:r>
      <w:r w:rsidRPr="00134EAF">
        <w:rPr>
          <w:rFonts w:ascii="Times New Roman" w:eastAsiaTheme="minorEastAsia" w:hAnsi="Times New Roman" w:cs="Times New Roman"/>
          <w:szCs w:val="24"/>
        </w:rPr>
        <w:t>13×13×13-</w:t>
      </w:r>
      <w:r w:rsidRPr="00134EAF">
        <w:rPr>
          <w:rFonts w:ascii="Times New Roman" w:hAnsi="Times New Roman" w:cs="Times New Roman"/>
          <w:szCs w:val="24"/>
        </w:rPr>
        <w:t>nm polycrystal</w:t>
      </w:r>
      <w:r>
        <w:rPr>
          <w:rFonts w:ascii="Times New Roman" w:hAnsi="Times New Roman" w:cs="Times New Roman"/>
          <w:szCs w:val="24"/>
        </w:rPr>
        <w:t xml:space="preserve"> are plotted in (a). </w:t>
      </w:r>
      <w:r>
        <w:rPr>
          <w:rFonts w:ascii="Times New Roman" w:eastAsiaTheme="minorEastAsia" w:hAnsi="Times New Roman" w:cs="Times New Roman"/>
          <w:szCs w:val="24"/>
        </w:rPr>
        <w:t xml:space="preserve">The spectra are estimated via a bivariate Gaussian distribution and used to </w:t>
      </w:r>
      <w:proofErr w:type="gramStart"/>
      <w:r>
        <w:rPr>
          <w:rFonts w:ascii="Times New Roman" w:eastAsiaTheme="minorEastAsia" w:hAnsi="Times New Roman" w:cs="Times New Roman"/>
          <w:szCs w:val="24"/>
        </w:rPr>
        <w:t>calculated</w:t>
      </w:r>
      <w:proofErr w:type="gramEnd"/>
      <w:r>
        <w:rPr>
          <w:rFonts w:ascii="Times New Roman" w:eastAsiaTheme="minorEastAsia" w:hAnsi="Times New Roman" w:cs="Times New Roman"/>
          <w:szCs w:val="24"/>
        </w:rPr>
        <w:t xml:space="preserve"> the GB concentrations shown in (b) at a large grain size limit with </w:t>
      </w:r>
      <w:proofErr w:type="spellStart"/>
      <w:r w:rsidRPr="00134EAF">
        <w:rPr>
          <w:rFonts w:ascii="Times New Roman" w:eastAsiaTheme="minorEastAsia" w:hAnsi="Times New Roman" w:cs="Times New Roman"/>
          <w:i/>
          <w:iCs/>
          <w:szCs w:val="24"/>
        </w:rPr>
        <w:t>X</w:t>
      </w:r>
      <w:r w:rsidRPr="00134EAF">
        <w:rPr>
          <w:rFonts w:ascii="Times New Roman" w:eastAsiaTheme="minorEastAsia" w:hAnsi="Times New Roman" w:cs="Times New Roman"/>
          <w:i/>
          <w:iCs/>
          <w:szCs w:val="24"/>
          <w:vertAlign w:val="superscript"/>
        </w:rPr>
        <w:t>tot</w:t>
      </w:r>
      <w:proofErr w:type="spellEnd"/>
      <w:r>
        <w:rPr>
          <w:rFonts w:ascii="Times New Roman" w:eastAsiaTheme="minorEastAsia" w:hAnsi="Times New Roman" w:cs="Times New Roman"/>
          <w:szCs w:val="24"/>
        </w:rPr>
        <w:t xml:space="preserve"> = </w:t>
      </w:r>
      <w:r w:rsidR="009C6029">
        <w:rPr>
          <w:rFonts w:ascii="Times New Roman" w:eastAsiaTheme="minorEastAsia" w:hAnsi="Times New Roman" w:cs="Times New Roman"/>
          <w:szCs w:val="24"/>
        </w:rPr>
        <w:t>1</w:t>
      </w:r>
      <w:r>
        <w:rPr>
          <w:rFonts w:ascii="Times New Roman" w:eastAsiaTheme="minorEastAsia" w:hAnsi="Times New Roman" w:cs="Times New Roman"/>
          <w:szCs w:val="24"/>
        </w:rPr>
        <w:t xml:space="preserve"> at. %.</w:t>
      </w:r>
    </w:p>
    <w:p w14:paraId="646C128F" w14:textId="188C8FDD" w:rsidR="007906DB" w:rsidRPr="00ED6690" w:rsidRDefault="007906DB" w:rsidP="00FC4D68">
      <w:pPr>
        <w:jc w:val="both"/>
        <w:rPr>
          <w:rFonts w:ascii="Times New Roman" w:hAnsi="Times New Roman" w:cs="Times New Roman"/>
          <w:b/>
          <w:bCs/>
          <w:szCs w:val="24"/>
        </w:rPr>
      </w:pPr>
      <w:r>
        <w:rPr>
          <w:noProof/>
        </w:rPr>
        <w:lastRenderedPageBreak/>
        <w:drawing>
          <wp:inline distT="0" distB="0" distL="0" distR="0" wp14:anchorId="047B3B55" wp14:editId="3C2BA8F8">
            <wp:extent cx="4982165" cy="2740191"/>
            <wp:effectExtent l="0" t="0" r="9525"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4982165" cy="2740191"/>
                    </a:xfrm>
                    <a:prstGeom prst="rect">
                      <a:avLst/>
                    </a:prstGeom>
                    <a:noFill/>
                    <a:ln>
                      <a:noFill/>
                    </a:ln>
                  </pic:spPr>
                </pic:pic>
              </a:graphicData>
            </a:graphic>
          </wp:inline>
        </w:drawing>
      </w:r>
    </w:p>
    <w:p w14:paraId="083C6529" w14:textId="691BDC14" w:rsidR="00FC4D68" w:rsidRPr="00ED6690" w:rsidRDefault="00FC4D68" w:rsidP="00FC4D68">
      <w:pPr>
        <w:jc w:val="both"/>
        <w:rPr>
          <w:rFonts w:ascii="Times New Roman" w:hAnsi="Times New Roman" w:cs="Times New Roman"/>
          <w:b/>
          <w:bCs/>
          <w:szCs w:val="24"/>
        </w:rPr>
      </w:pPr>
      <w:r w:rsidRPr="00ED6690">
        <w:rPr>
          <w:rFonts w:ascii="Times New Roman" w:hAnsi="Times New Roman" w:cs="Times New Roman"/>
          <w:b/>
          <w:bCs/>
          <w:szCs w:val="24"/>
        </w:rPr>
        <w:t xml:space="preserve">Fig. </w:t>
      </w:r>
      <w:r>
        <w:rPr>
          <w:rFonts w:ascii="Times New Roman" w:hAnsi="Times New Roman" w:cs="Times New Roman"/>
          <w:b/>
          <w:bCs/>
          <w:szCs w:val="24"/>
        </w:rPr>
        <w:t>S</w:t>
      </w:r>
      <w:r>
        <w:rPr>
          <w:rFonts w:ascii="Times New Roman" w:hAnsi="Times New Roman" w:cs="Times New Roman"/>
          <w:b/>
          <w:bCs/>
          <w:szCs w:val="24"/>
        </w:rPr>
        <w:fldChar w:fldCharType="begin"/>
      </w:r>
      <w:r>
        <w:rPr>
          <w:rFonts w:ascii="Times New Roman" w:hAnsi="Times New Roman" w:cs="Times New Roman"/>
          <w:b/>
          <w:bCs/>
          <w:szCs w:val="24"/>
        </w:rPr>
        <w:instrText xml:space="preserve"> SEQ Figure \* ARABIC </w:instrText>
      </w:r>
      <w:r>
        <w:rPr>
          <w:rFonts w:ascii="Times New Roman" w:hAnsi="Times New Roman" w:cs="Times New Roman"/>
          <w:b/>
          <w:bCs/>
          <w:szCs w:val="24"/>
        </w:rPr>
        <w:fldChar w:fldCharType="separate"/>
      </w:r>
      <w:r w:rsidR="00C8038C">
        <w:rPr>
          <w:rFonts w:ascii="Times New Roman" w:hAnsi="Times New Roman" w:cs="Times New Roman"/>
          <w:b/>
          <w:bCs/>
          <w:noProof/>
          <w:szCs w:val="24"/>
        </w:rPr>
        <w:t>12</w:t>
      </w:r>
      <w:r>
        <w:rPr>
          <w:rFonts w:ascii="Times New Roman" w:hAnsi="Times New Roman" w:cs="Times New Roman"/>
          <w:b/>
          <w:bCs/>
          <w:szCs w:val="24"/>
        </w:rPr>
        <w:fldChar w:fldCharType="end"/>
      </w:r>
      <w:r w:rsidRPr="00ED6690">
        <w:rPr>
          <w:rFonts w:ascii="Times New Roman" w:hAnsi="Times New Roman" w:cs="Times New Roman"/>
          <w:b/>
          <w:bCs/>
          <w:szCs w:val="24"/>
        </w:rPr>
        <w:t xml:space="preserve"> </w:t>
      </w:r>
      <w:proofErr w:type="gramStart"/>
      <w:r w:rsidRPr="00134EAF">
        <w:rPr>
          <w:rFonts w:ascii="Times New Roman" w:hAnsi="Times New Roman" w:cs="Times New Roman"/>
          <w:b/>
          <w:bCs/>
          <w:szCs w:val="24"/>
        </w:rPr>
        <w:t>Ni(</w:t>
      </w:r>
      <w:proofErr w:type="gramEnd"/>
      <w:r>
        <w:rPr>
          <w:rFonts w:ascii="Times New Roman" w:hAnsi="Times New Roman" w:cs="Times New Roman"/>
          <w:b/>
          <w:bCs/>
          <w:szCs w:val="24"/>
        </w:rPr>
        <w:t>Cu</w:t>
      </w:r>
      <w:r w:rsidRPr="00134EAF">
        <w:rPr>
          <w:rFonts w:ascii="Times New Roman" w:hAnsi="Times New Roman" w:cs="Times New Roman"/>
          <w:b/>
          <w:bCs/>
          <w:szCs w:val="24"/>
        </w:rPr>
        <w:t>) Segregation Energy-Entropy Spectrum</w:t>
      </w:r>
      <w:r>
        <w:rPr>
          <w:rFonts w:ascii="Times New Roman" w:hAnsi="Times New Roman" w:cs="Times New Roman"/>
          <w:szCs w:val="24"/>
        </w:rPr>
        <w:t>. The spectrum</w:t>
      </w:r>
      <w:r w:rsidRPr="00134EAF">
        <w:rPr>
          <w:rFonts w:ascii="Times New Roman" w:hAnsi="Times New Roman" w:cs="Times New Roman"/>
          <w:szCs w:val="24"/>
        </w:rPr>
        <w:t xml:space="preserve"> from the accelerated model and a </w:t>
      </w:r>
      <w:r w:rsidRPr="00134EAF">
        <w:rPr>
          <w:rFonts w:ascii="Times New Roman" w:eastAsiaTheme="minorEastAsia" w:hAnsi="Times New Roman" w:cs="Times New Roman"/>
          <w:szCs w:val="24"/>
        </w:rPr>
        <w:t>13×13×13-</w:t>
      </w:r>
      <w:r w:rsidRPr="00134EAF">
        <w:rPr>
          <w:rFonts w:ascii="Times New Roman" w:hAnsi="Times New Roman" w:cs="Times New Roman"/>
          <w:szCs w:val="24"/>
        </w:rPr>
        <w:t>nm polycrystal</w:t>
      </w:r>
      <w:r>
        <w:rPr>
          <w:rFonts w:ascii="Times New Roman" w:hAnsi="Times New Roman" w:cs="Times New Roman"/>
          <w:szCs w:val="24"/>
        </w:rPr>
        <w:t xml:space="preserve"> are plotted in (a). </w:t>
      </w:r>
      <w:r>
        <w:rPr>
          <w:rFonts w:ascii="Times New Roman" w:eastAsiaTheme="minorEastAsia" w:hAnsi="Times New Roman" w:cs="Times New Roman"/>
          <w:szCs w:val="24"/>
        </w:rPr>
        <w:t xml:space="preserve">The spectra are estimated via a bivariate Gaussian distribution and used to </w:t>
      </w:r>
      <w:proofErr w:type="gramStart"/>
      <w:r>
        <w:rPr>
          <w:rFonts w:ascii="Times New Roman" w:eastAsiaTheme="minorEastAsia" w:hAnsi="Times New Roman" w:cs="Times New Roman"/>
          <w:szCs w:val="24"/>
        </w:rPr>
        <w:t>calculated</w:t>
      </w:r>
      <w:proofErr w:type="gramEnd"/>
      <w:r>
        <w:rPr>
          <w:rFonts w:ascii="Times New Roman" w:eastAsiaTheme="minorEastAsia" w:hAnsi="Times New Roman" w:cs="Times New Roman"/>
          <w:szCs w:val="24"/>
        </w:rPr>
        <w:t xml:space="preserve"> the GB concentrations shown in (b) at a large grain size limit with </w:t>
      </w:r>
      <w:proofErr w:type="spellStart"/>
      <w:r w:rsidRPr="00134EAF">
        <w:rPr>
          <w:rFonts w:ascii="Times New Roman" w:eastAsiaTheme="minorEastAsia" w:hAnsi="Times New Roman" w:cs="Times New Roman"/>
          <w:i/>
          <w:iCs/>
          <w:szCs w:val="24"/>
        </w:rPr>
        <w:t>X</w:t>
      </w:r>
      <w:r w:rsidRPr="00134EAF">
        <w:rPr>
          <w:rFonts w:ascii="Times New Roman" w:eastAsiaTheme="minorEastAsia" w:hAnsi="Times New Roman" w:cs="Times New Roman"/>
          <w:i/>
          <w:iCs/>
          <w:szCs w:val="24"/>
          <w:vertAlign w:val="superscript"/>
        </w:rPr>
        <w:t>tot</w:t>
      </w:r>
      <w:proofErr w:type="spellEnd"/>
      <w:r>
        <w:rPr>
          <w:rFonts w:ascii="Times New Roman" w:eastAsiaTheme="minorEastAsia" w:hAnsi="Times New Roman" w:cs="Times New Roman"/>
          <w:szCs w:val="24"/>
        </w:rPr>
        <w:t xml:space="preserve"> = </w:t>
      </w:r>
      <w:r w:rsidR="00F4611F">
        <w:rPr>
          <w:rFonts w:ascii="Times New Roman" w:eastAsiaTheme="minorEastAsia" w:hAnsi="Times New Roman" w:cs="Times New Roman"/>
          <w:szCs w:val="24"/>
        </w:rPr>
        <w:t>1</w:t>
      </w:r>
      <w:r>
        <w:rPr>
          <w:rFonts w:ascii="Times New Roman" w:eastAsiaTheme="minorEastAsia" w:hAnsi="Times New Roman" w:cs="Times New Roman"/>
          <w:szCs w:val="24"/>
        </w:rPr>
        <w:t xml:space="preserve"> at. %.</w:t>
      </w:r>
    </w:p>
    <w:p w14:paraId="279B8196" w14:textId="77777777" w:rsidR="009879B9" w:rsidRPr="00ED6690" w:rsidRDefault="009879B9" w:rsidP="00533862">
      <w:pPr>
        <w:rPr>
          <w:rFonts w:ascii="Times New Roman" w:hAnsi="Times New Roman" w:cs="Times New Roman"/>
          <w:b/>
          <w:bCs/>
          <w:szCs w:val="24"/>
        </w:rPr>
      </w:pPr>
    </w:p>
    <w:p w14:paraId="5AB9A730" w14:textId="77777777" w:rsidR="009879B9" w:rsidRPr="00ED6690" w:rsidRDefault="009879B9" w:rsidP="00533862">
      <w:pPr>
        <w:rPr>
          <w:rFonts w:ascii="Times New Roman" w:hAnsi="Times New Roman" w:cs="Times New Roman"/>
          <w:b/>
          <w:bCs/>
          <w:szCs w:val="24"/>
        </w:rPr>
      </w:pPr>
    </w:p>
    <w:p w14:paraId="53D66803" w14:textId="77777777" w:rsidR="009879B9" w:rsidRPr="00ED6690" w:rsidRDefault="009879B9" w:rsidP="00533862">
      <w:pPr>
        <w:rPr>
          <w:rFonts w:ascii="Times New Roman" w:hAnsi="Times New Roman" w:cs="Times New Roman"/>
          <w:b/>
          <w:bCs/>
          <w:szCs w:val="24"/>
        </w:rPr>
      </w:pPr>
    </w:p>
    <w:p w14:paraId="1DD1871E" w14:textId="77777777" w:rsidR="009879B9" w:rsidRPr="00ED6690" w:rsidRDefault="009879B9" w:rsidP="00533862">
      <w:pPr>
        <w:rPr>
          <w:rFonts w:ascii="Times New Roman" w:hAnsi="Times New Roman" w:cs="Times New Roman"/>
          <w:b/>
          <w:bCs/>
          <w:szCs w:val="24"/>
        </w:rPr>
      </w:pPr>
    </w:p>
    <w:p w14:paraId="557DA94C" w14:textId="77777777" w:rsidR="009879B9" w:rsidRPr="00ED6690" w:rsidRDefault="009879B9" w:rsidP="00533862">
      <w:pPr>
        <w:rPr>
          <w:rFonts w:ascii="Times New Roman" w:hAnsi="Times New Roman" w:cs="Times New Roman"/>
          <w:b/>
          <w:bCs/>
          <w:szCs w:val="24"/>
        </w:rPr>
      </w:pPr>
    </w:p>
    <w:p w14:paraId="0BCD0065" w14:textId="6FD16F96" w:rsidR="009879B9" w:rsidRDefault="009879B9" w:rsidP="00533862">
      <w:pPr>
        <w:rPr>
          <w:rFonts w:ascii="Times New Roman" w:hAnsi="Times New Roman" w:cs="Times New Roman"/>
          <w:b/>
          <w:bCs/>
          <w:szCs w:val="24"/>
        </w:rPr>
      </w:pPr>
    </w:p>
    <w:p w14:paraId="50B2C228" w14:textId="74CF4B53" w:rsidR="008004CA" w:rsidRDefault="008004CA" w:rsidP="00533862">
      <w:pPr>
        <w:rPr>
          <w:rFonts w:ascii="Times New Roman" w:hAnsi="Times New Roman" w:cs="Times New Roman"/>
          <w:b/>
          <w:bCs/>
          <w:szCs w:val="24"/>
        </w:rPr>
      </w:pPr>
    </w:p>
    <w:p w14:paraId="4F89A457" w14:textId="6E727ABD" w:rsidR="008004CA" w:rsidRDefault="008004CA" w:rsidP="00533862">
      <w:pPr>
        <w:rPr>
          <w:rFonts w:ascii="Times New Roman" w:hAnsi="Times New Roman" w:cs="Times New Roman"/>
          <w:b/>
          <w:bCs/>
          <w:szCs w:val="24"/>
        </w:rPr>
      </w:pPr>
    </w:p>
    <w:p w14:paraId="38DB9C65" w14:textId="5C0BB2B8" w:rsidR="008004CA" w:rsidRDefault="008004CA" w:rsidP="00533862">
      <w:pPr>
        <w:rPr>
          <w:rFonts w:ascii="Times New Roman" w:hAnsi="Times New Roman" w:cs="Times New Roman"/>
          <w:b/>
          <w:bCs/>
          <w:szCs w:val="24"/>
        </w:rPr>
      </w:pPr>
    </w:p>
    <w:p w14:paraId="47D4297D" w14:textId="314888C9" w:rsidR="008004CA" w:rsidRDefault="008004CA" w:rsidP="00533862">
      <w:pPr>
        <w:rPr>
          <w:rFonts w:ascii="Times New Roman" w:hAnsi="Times New Roman" w:cs="Times New Roman"/>
          <w:b/>
          <w:bCs/>
          <w:szCs w:val="24"/>
        </w:rPr>
      </w:pPr>
    </w:p>
    <w:p w14:paraId="46B461D5" w14:textId="111A07EA" w:rsidR="008004CA" w:rsidRDefault="008004CA" w:rsidP="00533862">
      <w:pPr>
        <w:rPr>
          <w:rFonts w:ascii="Times New Roman" w:hAnsi="Times New Roman" w:cs="Times New Roman"/>
          <w:b/>
          <w:bCs/>
          <w:szCs w:val="24"/>
        </w:rPr>
      </w:pPr>
    </w:p>
    <w:p w14:paraId="2EAE6630" w14:textId="73931288" w:rsidR="008004CA" w:rsidRDefault="008004CA" w:rsidP="00533862">
      <w:pPr>
        <w:rPr>
          <w:rFonts w:ascii="Times New Roman" w:hAnsi="Times New Roman" w:cs="Times New Roman"/>
          <w:b/>
          <w:bCs/>
          <w:szCs w:val="24"/>
        </w:rPr>
      </w:pPr>
    </w:p>
    <w:p w14:paraId="6C3AD61A" w14:textId="28349676" w:rsidR="008004CA" w:rsidRDefault="008004CA" w:rsidP="00533862">
      <w:pPr>
        <w:rPr>
          <w:rFonts w:ascii="Times New Roman" w:hAnsi="Times New Roman" w:cs="Times New Roman"/>
          <w:b/>
          <w:bCs/>
          <w:szCs w:val="24"/>
        </w:rPr>
      </w:pPr>
    </w:p>
    <w:p w14:paraId="047CFFD1" w14:textId="4A6EAB53" w:rsidR="008004CA" w:rsidRDefault="008004CA" w:rsidP="00533862">
      <w:pPr>
        <w:rPr>
          <w:rFonts w:ascii="Times New Roman" w:hAnsi="Times New Roman" w:cs="Times New Roman"/>
          <w:b/>
          <w:bCs/>
          <w:szCs w:val="24"/>
        </w:rPr>
      </w:pPr>
    </w:p>
    <w:p w14:paraId="2E129195" w14:textId="77777777" w:rsidR="008004CA" w:rsidRPr="00ED6690" w:rsidRDefault="008004CA" w:rsidP="00533862">
      <w:pPr>
        <w:rPr>
          <w:rFonts w:ascii="Times New Roman" w:hAnsi="Times New Roman" w:cs="Times New Roman"/>
          <w:b/>
          <w:bCs/>
          <w:szCs w:val="24"/>
        </w:rPr>
      </w:pPr>
    </w:p>
    <w:p w14:paraId="2EEE9BAA" w14:textId="5A73F78A" w:rsidR="002540C5" w:rsidRPr="00ED6690" w:rsidRDefault="0067783C" w:rsidP="002540C5">
      <w:pPr>
        <w:pStyle w:val="ListParagraph"/>
        <w:numPr>
          <w:ilvl w:val="0"/>
          <w:numId w:val="1"/>
        </w:numPr>
        <w:rPr>
          <w:rFonts w:ascii="Times New Roman" w:hAnsi="Times New Roman" w:cs="Times New Roman"/>
          <w:b/>
          <w:bCs/>
          <w:szCs w:val="24"/>
        </w:rPr>
      </w:pPr>
      <w:r w:rsidRPr="00ED6690">
        <w:rPr>
          <w:rFonts w:ascii="Times New Roman" w:hAnsi="Times New Roman" w:cs="Times New Roman"/>
          <w:b/>
          <w:bCs/>
          <w:szCs w:val="24"/>
        </w:rPr>
        <w:lastRenderedPageBreak/>
        <w:t xml:space="preserve">Segregation Energy </w:t>
      </w:r>
      <w:r w:rsidR="002540C5" w:rsidRPr="00ED6690">
        <w:rPr>
          <w:rFonts w:ascii="Times New Roman" w:hAnsi="Times New Roman" w:cs="Times New Roman"/>
          <w:b/>
          <w:bCs/>
          <w:szCs w:val="24"/>
        </w:rPr>
        <w:t>Validation</w:t>
      </w:r>
      <w:r w:rsidR="00A01235" w:rsidRPr="00ED6690">
        <w:rPr>
          <w:rFonts w:ascii="Times New Roman" w:hAnsi="Times New Roman" w:cs="Times New Roman"/>
          <w:b/>
          <w:bCs/>
          <w:szCs w:val="24"/>
        </w:rPr>
        <w:t>s</w:t>
      </w:r>
      <w:r w:rsidR="00FF4BB0" w:rsidRPr="00ED6690">
        <w:rPr>
          <w:rFonts w:ascii="Times New Roman" w:hAnsi="Times New Roman" w:cs="Times New Roman"/>
          <w:b/>
          <w:bCs/>
          <w:szCs w:val="24"/>
        </w:rPr>
        <w:t xml:space="preserve"> and Spectra</w:t>
      </w:r>
    </w:p>
    <w:p w14:paraId="36BFB215" w14:textId="54E3414B" w:rsidR="000346ED" w:rsidRPr="00ED6690" w:rsidRDefault="00975D7A" w:rsidP="005F5489">
      <w:pPr>
        <w:jc w:val="both"/>
        <w:rPr>
          <w:rFonts w:ascii="Times New Roman" w:hAnsi="Times New Roman" w:cs="Times New Roman"/>
          <w:szCs w:val="24"/>
        </w:rPr>
      </w:pPr>
      <w:r>
        <w:rPr>
          <w:noProof/>
        </w:rPr>
        <w:drawing>
          <wp:inline distT="0" distB="0" distL="0" distR="0" wp14:anchorId="5417C46A" wp14:editId="566A723B">
            <wp:extent cx="5423989" cy="7231986"/>
            <wp:effectExtent l="0" t="0" r="5715" b="7620"/>
            <wp:docPr id="38920570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205706"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423989" cy="7231986"/>
                    </a:xfrm>
                    <a:prstGeom prst="rect">
                      <a:avLst/>
                    </a:prstGeom>
                    <a:noFill/>
                    <a:ln>
                      <a:noFill/>
                    </a:ln>
                  </pic:spPr>
                </pic:pic>
              </a:graphicData>
            </a:graphic>
          </wp:inline>
        </w:drawing>
      </w:r>
    </w:p>
    <w:p w14:paraId="4483C110" w14:textId="192EB0E4" w:rsidR="00975D7A" w:rsidRDefault="00975D7A" w:rsidP="00975D7A">
      <w:pPr>
        <w:rPr>
          <w:rFonts w:ascii="Times New Roman" w:hAnsi="Times New Roman" w:cs="Times New Roman"/>
          <w:b/>
          <w:bCs/>
          <w:szCs w:val="24"/>
        </w:rPr>
      </w:pPr>
    </w:p>
    <w:p w14:paraId="0A3D507A" w14:textId="2D4CCEB0" w:rsidR="00975D7A" w:rsidRPr="00ED6690" w:rsidRDefault="00975D7A" w:rsidP="00975D7A">
      <w:pPr>
        <w:rPr>
          <w:rFonts w:ascii="Times New Roman" w:hAnsi="Times New Roman" w:cs="Times New Roman"/>
          <w:b/>
          <w:bCs/>
          <w:szCs w:val="24"/>
        </w:rPr>
      </w:pPr>
      <w:r w:rsidRPr="00ED6690">
        <w:rPr>
          <w:rFonts w:ascii="Times New Roman" w:hAnsi="Times New Roman" w:cs="Times New Roman"/>
          <w:b/>
          <w:bCs/>
          <w:szCs w:val="24"/>
        </w:rPr>
        <w:t xml:space="preserve">Fig. </w:t>
      </w:r>
      <w:r>
        <w:rPr>
          <w:rFonts w:ascii="Times New Roman" w:hAnsi="Times New Roman" w:cs="Times New Roman"/>
          <w:b/>
          <w:bCs/>
          <w:szCs w:val="24"/>
        </w:rPr>
        <w:t>S</w:t>
      </w:r>
      <w:r>
        <w:rPr>
          <w:rFonts w:ascii="Times New Roman" w:hAnsi="Times New Roman" w:cs="Times New Roman"/>
          <w:b/>
          <w:bCs/>
          <w:szCs w:val="24"/>
        </w:rPr>
        <w:fldChar w:fldCharType="begin"/>
      </w:r>
      <w:r>
        <w:rPr>
          <w:rFonts w:ascii="Times New Roman" w:hAnsi="Times New Roman" w:cs="Times New Roman"/>
          <w:b/>
          <w:bCs/>
          <w:szCs w:val="24"/>
        </w:rPr>
        <w:instrText xml:space="preserve"> SEQ Figure \* ARABIC </w:instrText>
      </w:r>
      <w:r>
        <w:rPr>
          <w:rFonts w:ascii="Times New Roman" w:hAnsi="Times New Roman" w:cs="Times New Roman"/>
          <w:b/>
          <w:bCs/>
          <w:szCs w:val="24"/>
        </w:rPr>
        <w:fldChar w:fldCharType="separate"/>
      </w:r>
      <w:r w:rsidR="00C8038C">
        <w:rPr>
          <w:rFonts w:ascii="Times New Roman" w:hAnsi="Times New Roman" w:cs="Times New Roman"/>
          <w:b/>
          <w:bCs/>
          <w:noProof/>
          <w:szCs w:val="24"/>
        </w:rPr>
        <w:t>13</w:t>
      </w:r>
      <w:r>
        <w:rPr>
          <w:rFonts w:ascii="Times New Roman" w:hAnsi="Times New Roman" w:cs="Times New Roman"/>
          <w:b/>
          <w:bCs/>
          <w:szCs w:val="24"/>
        </w:rPr>
        <w:fldChar w:fldCharType="end"/>
      </w:r>
      <w:r w:rsidRPr="00ED6690">
        <w:rPr>
          <w:rFonts w:ascii="Times New Roman" w:hAnsi="Times New Roman" w:cs="Times New Roman"/>
          <w:b/>
          <w:bCs/>
          <w:szCs w:val="24"/>
        </w:rPr>
        <w:t xml:space="preserve"> Segregation Energy Spectra for A</w:t>
      </w:r>
      <w:r>
        <w:rPr>
          <w:rFonts w:ascii="Times New Roman" w:hAnsi="Times New Roman" w:cs="Times New Roman"/>
          <w:b/>
          <w:bCs/>
          <w:szCs w:val="24"/>
        </w:rPr>
        <w:t>g</w:t>
      </w:r>
      <w:r w:rsidRPr="00ED6690">
        <w:rPr>
          <w:rFonts w:ascii="Times New Roman" w:hAnsi="Times New Roman" w:cs="Times New Roman"/>
          <w:b/>
          <w:bCs/>
          <w:szCs w:val="24"/>
        </w:rPr>
        <w:t xml:space="preserve">-based Alloys </w:t>
      </w:r>
      <w:r>
        <w:rPr>
          <w:rFonts w:ascii="Times New Roman" w:hAnsi="Times New Roman" w:cs="Times New Roman"/>
          <w:b/>
          <w:bCs/>
          <w:szCs w:val="24"/>
        </w:rPr>
        <w:t xml:space="preserve">in </w:t>
      </w:r>
      <w:r w:rsidRPr="00ED6690">
        <w:rPr>
          <w:rFonts w:ascii="Times New Roman" w:hAnsi="Times New Roman" w:cs="Times New Roman"/>
          <w:b/>
          <w:bCs/>
          <w:szCs w:val="24"/>
        </w:rPr>
        <w:t>eV</w:t>
      </w:r>
    </w:p>
    <w:p w14:paraId="095A2537" w14:textId="04619D2A" w:rsidR="00975D7A" w:rsidRPr="00ED6690" w:rsidRDefault="00975D7A" w:rsidP="006C205E">
      <w:pPr>
        <w:jc w:val="both"/>
        <w:rPr>
          <w:rFonts w:ascii="Times New Roman" w:hAnsi="Times New Roman" w:cs="Times New Roman"/>
          <w:szCs w:val="24"/>
        </w:rPr>
      </w:pPr>
      <w:r>
        <w:rPr>
          <w:noProof/>
        </w:rPr>
        <w:lastRenderedPageBreak/>
        <w:drawing>
          <wp:inline distT="0" distB="0" distL="0" distR="0" wp14:anchorId="4EBA5FAC" wp14:editId="506D80A4">
            <wp:extent cx="6258296" cy="4088765"/>
            <wp:effectExtent l="0" t="0" r="0" b="6985"/>
            <wp:docPr id="74538987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389873" name="Picture 8"/>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833" r="-2715"/>
                    <a:stretch/>
                  </pic:blipFill>
                  <pic:spPr bwMode="auto">
                    <a:xfrm>
                      <a:off x="0" y="0"/>
                      <a:ext cx="6259268" cy="4089400"/>
                    </a:xfrm>
                    <a:prstGeom prst="rect">
                      <a:avLst/>
                    </a:prstGeom>
                    <a:noFill/>
                    <a:ln>
                      <a:noFill/>
                    </a:ln>
                    <a:extLst>
                      <a:ext uri="{53640926-AAD7-44D8-BBD7-CCE9431645EC}">
                        <a14:shadowObscured xmlns:a14="http://schemas.microsoft.com/office/drawing/2010/main"/>
                      </a:ext>
                    </a:extLst>
                  </pic:spPr>
                </pic:pic>
              </a:graphicData>
            </a:graphic>
          </wp:inline>
        </w:drawing>
      </w:r>
    </w:p>
    <w:p w14:paraId="618A1848" w14:textId="65878998" w:rsidR="002540C5" w:rsidRDefault="00DC3DA2" w:rsidP="002540C5">
      <w:pPr>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14</w:t>
      </w:r>
      <w:r w:rsidR="00E95521">
        <w:rPr>
          <w:rFonts w:ascii="Times New Roman" w:hAnsi="Times New Roman" w:cs="Times New Roman"/>
          <w:b/>
          <w:bCs/>
          <w:szCs w:val="24"/>
        </w:rPr>
        <w:fldChar w:fldCharType="end"/>
      </w:r>
      <w:r w:rsidR="00A86F96" w:rsidRPr="00ED6690">
        <w:rPr>
          <w:rFonts w:ascii="Times New Roman" w:hAnsi="Times New Roman" w:cs="Times New Roman"/>
          <w:b/>
          <w:bCs/>
          <w:szCs w:val="24"/>
        </w:rPr>
        <w:t xml:space="preserve"> </w:t>
      </w:r>
      <w:r w:rsidRPr="00ED6690">
        <w:rPr>
          <w:rFonts w:ascii="Times New Roman" w:hAnsi="Times New Roman" w:cs="Times New Roman"/>
          <w:b/>
          <w:bCs/>
          <w:szCs w:val="24"/>
        </w:rPr>
        <w:t>Segregation Energy Spectra for A</w:t>
      </w:r>
      <w:r>
        <w:rPr>
          <w:rFonts w:ascii="Times New Roman" w:hAnsi="Times New Roman" w:cs="Times New Roman"/>
          <w:b/>
          <w:bCs/>
          <w:szCs w:val="24"/>
        </w:rPr>
        <w:t>g</w:t>
      </w:r>
      <w:r w:rsidRPr="00ED6690">
        <w:rPr>
          <w:rFonts w:ascii="Times New Roman" w:hAnsi="Times New Roman" w:cs="Times New Roman"/>
          <w:b/>
          <w:bCs/>
          <w:szCs w:val="24"/>
        </w:rPr>
        <w:t xml:space="preserve">-based Alloys </w:t>
      </w:r>
      <w:r w:rsidR="00A86F96">
        <w:rPr>
          <w:rFonts w:ascii="Times New Roman" w:hAnsi="Times New Roman" w:cs="Times New Roman"/>
          <w:b/>
          <w:bCs/>
          <w:szCs w:val="24"/>
        </w:rPr>
        <w:t xml:space="preserve">in </w:t>
      </w:r>
      <w:r w:rsidRPr="00ED6690">
        <w:rPr>
          <w:rFonts w:ascii="Times New Roman" w:hAnsi="Times New Roman" w:cs="Times New Roman"/>
          <w:b/>
          <w:bCs/>
          <w:szCs w:val="24"/>
        </w:rPr>
        <w:t>eV</w:t>
      </w:r>
      <w:r w:rsidR="00975D7A" w:rsidRPr="00ED6690">
        <w:rPr>
          <w:rFonts w:ascii="Times New Roman" w:hAnsi="Times New Roman" w:cs="Times New Roman"/>
          <w:b/>
          <w:bCs/>
          <w:szCs w:val="24"/>
        </w:rPr>
        <w:t xml:space="preserve"> (cont., 2).</w:t>
      </w:r>
    </w:p>
    <w:p w14:paraId="77205226" w14:textId="719A7A5B" w:rsidR="00DC3DA2" w:rsidRPr="00ED6690" w:rsidRDefault="00975D7A" w:rsidP="002540C5">
      <w:pPr>
        <w:rPr>
          <w:rFonts w:ascii="Times New Roman" w:hAnsi="Times New Roman" w:cs="Times New Roman"/>
          <w:b/>
          <w:bCs/>
          <w:szCs w:val="24"/>
        </w:rPr>
      </w:pPr>
      <w:r>
        <w:rPr>
          <w:noProof/>
        </w:rPr>
        <w:drawing>
          <wp:inline distT="0" distB="0" distL="0" distR="0" wp14:anchorId="053151AD" wp14:editId="029A3469">
            <wp:extent cx="5943599" cy="7924799"/>
            <wp:effectExtent l="0" t="0" r="635" b="635"/>
            <wp:docPr id="139538176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381769"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5943599" cy="7924799"/>
                    </a:xfrm>
                    <a:prstGeom prst="rect">
                      <a:avLst/>
                    </a:prstGeom>
                    <a:noFill/>
                    <a:ln>
                      <a:noFill/>
                    </a:ln>
                  </pic:spPr>
                </pic:pic>
              </a:graphicData>
            </a:graphic>
          </wp:inline>
        </w:drawing>
      </w:r>
    </w:p>
    <w:p w14:paraId="10BB0AD2" w14:textId="1D96F029" w:rsidR="00A01235" w:rsidRPr="00ED6690" w:rsidRDefault="00A01235" w:rsidP="002540C5">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15</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Segregation Energy Spectra</w:t>
      </w:r>
      <w:r w:rsidR="0068761C" w:rsidRPr="00ED6690">
        <w:rPr>
          <w:rFonts w:ascii="Times New Roman" w:hAnsi="Times New Roman" w:cs="Times New Roman"/>
          <w:b/>
          <w:bCs/>
          <w:szCs w:val="24"/>
        </w:rPr>
        <w:t xml:space="preserve"> for Al-based Alloys</w:t>
      </w:r>
      <w:r w:rsidR="0088683E" w:rsidRPr="00ED6690">
        <w:rPr>
          <w:rFonts w:ascii="Times New Roman" w:hAnsi="Times New Roman" w:cs="Times New Roman"/>
          <w:b/>
          <w:bCs/>
          <w:szCs w:val="24"/>
        </w:rPr>
        <w:t xml:space="preserve"> </w:t>
      </w:r>
      <w:r w:rsidR="00A86F96">
        <w:rPr>
          <w:rFonts w:ascii="Times New Roman" w:hAnsi="Times New Roman" w:cs="Times New Roman"/>
          <w:b/>
          <w:bCs/>
          <w:szCs w:val="24"/>
        </w:rPr>
        <w:t xml:space="preserve">in </w:t>
      </w:r>
      <w:r w:rsidR="0088683E" w:rsidRPr="00ED6690">
        <w:rPr>
          <w:rFonts w:ascii="Times New Roman" w:hAnsi="Times New Roman" w:cs="Times New Roman"/>
          <w:b/>
          <w:bCs/>
          <w:szCs w:val="24"/>
        </w:rPr>
        <w:t>eV</w:t>
      </w:r>
      <w:r w:rsidRPr="00ED6690">
        <w:rPr>
          <w:rFonts w:ascii="Times New Roman" w:hAnsi="Times New Roman" w:cs="Times New Roman"/>
          <w:b/>
          <w:bCs/>
          <w:szCs w:val="24"/>
        </w:rPr>
        <w:t>.</w:t>
      </w:r>
    </w:p>
    <w:p w14:paraId="718067DF" w14:textId="33FFB254" w:rsidR="0068761C" w:rsidRPr="00ED6690" w:rsidRDefault="00975D7A" w:rsidP="002540C5">
      <w:pPr>
        <w:rPr>
          <w:rFonts w:ascii="Times New Roman" w:hAnsi="Times New Roman" w:cs="Times New Roman"/>
          <w:b/>
          <w:bCs/>
          <w:szCs w:val="24"/>
        </w:rPr>
      </w:pPr>
      <w:r>
        <w:rPr>
          <w:noProof/>
        </w:rPr>
        <w:drawing>
          <wp:inline distT="0" distB="0" distL="0" distR="0" wp14:anchorId="46E5C7BC" wp14:editId="7CE00AED">
            <wp:extent cx="5943599" cy="7924799"/>
            <wp:effectExtent l="0" t="0" r="635" b="635"/>
            <wp:docPr id="186435199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351995" name="Picture 10"/>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5943599" cy="7924799"/>
                    </a:xfrm>
                    <a:prstGeom prst="rect">
                      <a:avLst/>
                    </a:prstGeom>
                    <a:noFill/>
                    <a:ln>
                      <a:noFill/>
                    </a:ln>
                  </pic:spPr>
                </pic:pic>
              </a:graphicData>
            </a:graphic>
          </wp:inline>
        </w:drawing>
      </w:r>
    </w:p>
    <w:p w14:paraId="1EA6B116" w14:textId="654745EC" w:rsidR="0068761C" w:rsidRPr="00ED6690" w:rsidRDefault="0068761C" w:rsidP="0068761C">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16</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Segregation Energy Spectra for Al-based Alloys</w:t>
      </w:r>
      <w:r w:rsidR="0088683E" w:rsidRPr="00ED6690">
        <w:rPr>
          <w:rFonts w:ascii="Times New Roman" w:hAnsi="Times New Roman" w:cs="Times New Roman"/>
          <w:b/>
          <w:bCs/>
          <w:szCs w:val="24"/>
        </w:rPr>
        <w:t xml:space="preserve"> </w:t>
      </w:r>
      <w:r w:rsidR="00A86F96">
        <w:rPr>
          <w:rFonts w:ascii="Times New Roman" w:hAnsi="Times New Roman" w:cs="Times New Roman"/>
          <w:b/>
          <w:bCs/>
          <w:szCs w:val="24"/>
        </w:rPr>
        <w:t xml:space="preserve">in </w:t>
      </w:r>
      <w:r w:rsidR="0088683E" w:rsidRPr="00ED6690">
        <w:rPr>
          <w:rFonts w:ascii="Times New Roman" w:hAnsi="Times New Roman" w:cs="Times New Roman"/>
          <w:b/>
          <w:bCs/>
          <w:szCs w:val="24"/>
        </w:rPr>
        <w:t>eV</w:t>
      </w:r>
      <w:r w:rsidRPr="00ED6690">
        <w:rPr>
          <w:rFonts w:ascii="Times New Roman" w:hAnsi="Times New Roman" w:cs="Times New Roman"/>
          <w:b/>
          <w:bCs/>
          <w:szCs w:val="24"/>
        </w:rPr>
        <w:t xml:space="preserve"> (cont., 2).</w:t>
      </w:r>
    </w:p>
    <w:p w14:paraId="7F212BF1" w14:textId="614652BF" w:rsidR="00C35C39" w:rsidRDefault="00975D7A" w:rsidP="002540C5">
      <w:pPr>
        <w:rPr>
          <w:rFonts w:ascii="Times New Roman" w:hAnsi="Times New Roman" w:cs="Times New Roman"/>
          <w:b/>
          <w:bCs/>
          <w:szCs w:val="24"/>
        </w:rPr>
      </w:pPr>
      <w:r>
        <w:rPr>
          <w:noProof/>
        </w:rPr>
        <w:drawing>
          <wp:inline distT="0" distB="0" distL="0" distR="0" wp14:anchorId="5866DA76" wp14:editId="72C93162">
            <wp:extent cx="5943599" cy="7924799"/>
            <wp:effectExtent l="0" t="0" r="635" b="635"/>
            <wp:docPr id="158881384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813845" name="Picture 11"/>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5943599" cy="7924799"/>
                    </a:xfrm>
                    <a:prstGeom prst="rect">
                      <a:avLst/>
                    </a:prstGeom>
                    <a:noFill/>
                    <a:ln>
                      <a:noFill/>
                    </a:ln>
                  </pic:spPr>
                </pic:pic>
              </a:graphicData>
            </a:graphic>
          </wp:inline>
        </w:drawing>
      </w:r>
    </w:p>
    <w:p w14:paraId="0392604C" w14:textId="41B70113" w:rsidR="00DC3DA2" w:rsidRPr="00ED6690" w:rsidRDefault="00DC3DA2" w:rsidP="00DC3DA2">
      <w:pPr>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17</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Segregation Energy Spectra for A</w:t>
      </w:r>
      <w:r>
        <w:rPr>
          <w:rFonts w:ascii="Times New Roman" w:hAnsi="Times New Roman" w:cs="Times New Roman"/>
          <w:b/>
          <w:bCs/>
          <w:szCs w:val="24"/>
        </w:rPr>
        <w:t>u</w:t>
      </w:r>
      <w:r w:rsidRPr="00ED6690">
        <w:rPr>
          <w:rFonts w:ascii="Times New Roman" w:hAnsi="Times New Roman" w:cs="Times New Roman"/>
          <w:b/>
          <w:bCs/>
          <w:szCs w:val="24"/>
        </w:rPr>
        <w:t xml:space="preserve">-based Alloys </w:t>
      </w:r>
      <w:r w:rsidR="00A86F96">
        <w:rPr>
          <w:rFonts w:ascii="Times New Roman" w:hAnsi="Times New Roman" w:cs="Times New Roman"/>
          <w:b/>
          <w:bCs/>
          <w:szCs w:val="24"/>
        </w:rPr>
        <w:t xml:space="preserve">in </w:t>
      </w:r>
      <w:r w:rsidRPr="00ED6690">
        <w:rPr>
          <w:rFonts w:ascii="Times New Roman" w:hAnsi="Times New Roman" w:cs="Times New Roman"/>
          <w:b/>
          <w:bCs/>
          <w:szCs w:val="24"/>
        </w:rPr>
        <w:t>eV.</w:t>
      </w:r>
    </w:p>
    <w:p w14:paraId="4571A3F9" w14:textId="1FDEDB0C" w:rsidR="00DC3DA2" w:rsidRPr="00ED6690" w:rsidRDefault="00975D7A" w:rsidP="002540C5">
      <w:pPr>
        <w:rPr>
          <w:rFonts w:ascii="Times New Roman" w:hAnsi="Times New Roman" w:cs="Times New Roman"/>
          <w:b/>
          <w:bCs/>
          <w:szCs w:val="24"/>
        </w:rPr>
      </w:pPr>
      <w:r>
        <w:rPr>
          <w:noProof/>
        </w:rPr>
        <w:drawing>
          <wp:inline distT="0" distB="0" distL="0" distR="0" wp14:anchorId="5CFB7E37" wp14:editId="67E3AEC4">
            <wp:extent cx="5943599" cy="7924799"/>
            <wp:effectExtent l="0" t="0" r="635" b="635"/>
            <wp:docPr id="28171445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714456" name="Picture 12"/>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5943599" cy="7924799"/>
                    </a:xfrm>
                    <a:prstGeom prst="rect">
                      <a:avLst/>
                    </a:prstGeom>
                    <a:noFill/>
                    <a:ln>
                      <a:noFill/>
                    </a:ln>
                  </pic:spPr>
                </pic:pic>
              </a:graphicData>
            </a:graphic>
          </wp:inline>
        </w:drawing>
      </w:r>
    </w:p>
    <w:p w14:paraId="09D6028E" w14:textId="1921877E" w:rsidR="0068761C" w:rsidRPr="00ED6690" w:rsidRDefault="0068761C" w:rsidP="0068761C">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18</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Segregation Energy Spectra for Cu-based Alloys</w:t>
      </w:r>
      <w:r w:rsidR="0088683E" w:rsidRPr="00ED6690">
        <w:rPr>
          <w:rFonts w:ascii="Times New Roman" w:hAnsi="Times New Roman" w:cs="Times New Roman"/>
          <w:b/>
          <w:bCs/>
          <w:szCs w:val="24"/>
        </w:rPr>
        <w:t xml:space="preserve"> </w:t>
      </w:r>
      <w:r w:rsidR="00A86F96">
        <w:rPr>
          <w:rFonts w:ascii="Times New Roman" w:hAnsi="Times New Roman" w:cs="Times New Roman"/>
          <w:b/>
          <w:bCs/>
          <w:szCs w:val="24"/>
        </w:rPr>
        <w:t xml:space="preserve">in </w:t>
      </w:r>
      <w:r w:rsidR="0088683E" w:rsidRPr="00ED6690">
        <w:rPr>
          <w:rFonts w:ascii="Times New Roman" w:hAnsi="Times New Roman" w:cs="Times New Roman"/>
          <w:b/>
          <w:bCs/>
          <w:szCs w:val="24"/>
        </w:rPr>
        <w:t>eV</w:t>
      </w:r>
      <w:r w:rsidRPr="00ED6690">
        <w:rPr>
          <w:rFonts w:ascii="Times New Roman" w:hAnsi="Times New Roman" w:cs="Times New Roman"/>
          <w:b/>
          <w:bCs/>
          <w:szCs w:val="24"/>
        </w:rPr>
        <w:t>.</w:t>
      </w:r>
    </w:p>
    <w:p w14:paraId="4E92D15A" w14:textId="5CB83EF9" w:rsidR="00AA39BE" w:rsidRPr="00ED6690" w:rsidRDefault="00975D7A" w:rsidP="0068761C">
      <w:pPr>
        <w:rPr>
          <w:rFonts w:ascii="Times New Roman" w:hAnsi="Times New Roman" w:cs="Times New Roman"/>
          <w:b/>
          <w:bCs/>
          <w:szCs w:val="24"/>
        </w:rPr>
      </w:pPr>
      <w:r>
        <w:rPr>
          <w:noProof/>
        </w:rPr>
        <w:drawing>
          <wp:inline distT="0" distB="0" distL="0" distR="0" wp14:anchorId="7388AE13" wp14:editId="5CE0393E">
            <wp:extent cx="5943599" cy="7924799"/>
            <wp:effectExtent l="0" t="0" r="635" b="635"/>
            <wp:docPr id="97940853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408538" name="Picture 13"/>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5943599" cy="7924799"/>
                    </a:xfrm>
                    <a:prstGeom prst="rect">
                      <a:avLst/>
                    </a:prstGeom>
                    <a:noFill/>
                    <a:ln>
                      <a:noFill/>
                    </a:ln>
                  </pic:spPr>
                </pic:pic>
              </a:graphicData>
            </a:graphic>
          </wp:inline>
        </w:drawing>
      </w:r>
    </w:p>
    <w:p w14:paraId="5F74B51C" w14:textId="2C620447" w:rsidR="0068761C" w:rsidRPr="00ED6690" w:rsidRDefault="0068761C" w:rsidP="0068761C">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19</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Segregation Energy Spectra for Cu-based Alloys</w:t>
      </w:r>
      <w:r w:rsidR="0088683E" w:rsidRPr="00ED6690">
        <w:rPr>
          <w:rFonts w:ascii="Times New Roman" w:hAnsi="Times New Roman" w:cs="Times New Roman"/>
          <w:b/>
          <w:bCs/>
          <w:szCs w:val="24"/>
        </w:rPr>
        <w:t xml:space="preserve"> </w:t>
      </w:r>
      <w:r w:rsidR="00A86F96">
        <w:rPr>
          <w:rFonts w:ascii="Times New Roman" w:hAnsi="Times New Roman" w:cs="Times New Roman"/>
          <w:b/>
          <w:bCs/>
          <w:szCs w:val="24"/>
        </w:rPr>
        <w:t xml:space="preserve">in </w:t>
      </w:r>
      <w:r w:rsidR="0088683E" w:rsidRPr="00ED6690">
        <w:rPr>
          <w:rFonts w:ascii="Times New Roman" w:hAnsi="Times New Roman" w:cs="Times New Roman"/>
          <w:b/>
          <w:bCs/>
          <w:szCs w:val="24"/>
        </w:rPr>
        <w:t>eV</w:t>
      </w:r>
      <w:r w:rsidRPr="00ED6690">
        <w:rPr>
          <w:rFonts w:ascii="Times New Roman" w:hAnsi="Times New Roman" w:cs="Times New Roman"/>
          <w:b/>
          <w:bCs/>
          <w:szCs w:val="24"/>
        </w:rPr>
        <w:t xml:space="preserve"> (cont., 2).</w:t>
      </w:r>
    </w:p>
    <w:p w14:paraId="1FBF9D4D" w14:textId="5652DC81" w:rsidR="00F90E96" w:rsidRPr="00ED6690" w:rsidRDefault="00975D7A" w:rsidP="0068761C">
      <w:pPr>
        <w:rPr>
          <w:rFonts w:ascii="Times New Roman" w:hAnsi="Times New Roman" w:cs="Times New Roman"/>
          <w:b/>
          <w:bCs/>
          <w:szCs w:val="24"/>
        </w:rPr>
      </w:pPr>
      <w:r>
        <w:rPr>
          <w:noProof/>
        </w:rPr>
        <w:drawing>
          <wp:inline distT="0" distB="0" distL="0" distR="0" wp14:anchorId="12DF946B" wp14:editId="0F3F627E">
            <wp:extent cx="5943598" cy="7924799"/>
            <wp:effectExtent l="0" t="0" r="635" b="635"/>
            <wp:docPr id="30036995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369958" name="Picture 14"/>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5943598" cy="7924799"/>
                    </a:xfrm>
                    <a:prstGeom prst="rect">
                      <a:avLst/>
                    </a:prstGeom>
                    <a:noFill/>
                    <a:ln>
                      <a:noFill/>
                    </a:ln>
                  </pic:spPr>
                </pic:pic>
              </a:graphicData>
            </a:graphic>
          </wp:inline>
        </w:drawing>
      </w:r>
    </w:p>
    <w:p w14:paraId="3B8812CC" w14:textId="004863BB" w:rsidR="0068761C" w:rsidRPr="00ED6690" w:rsidRDefault="0068761C" w:rsidP="0068761C">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20</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Segregation Energy Spectra for Cu-based Alloys</w:t>
      </w:r>
      <w:r w:rsidR="0088683E" w:rsidRPr="00ED6690">
        <w:rPr>
          <w:rFonts w:ascii="Times New Roman" w:hAnsi="Times New Roman" w:cs="Times New Roman"/>
          <w:b/>
          <w:bCs/>
          <w:szCs w:val="24"/>
        </w:rPr>
        <w:t xml:space="preserve"> </w:t>
      </w:r>
      <w:r w:rsidR="00A86F96">
        <w:rPr>
          <w:rFonts w:ascii="Times New Roman" w:hAnsi="Times New Roman" w:cs="Times New Roman"/>
          <w:b/>
          <w:bCs/>
          <w:szCs w:val="24"/>
        </w:rPr>
        <w:t xml:space="preserve">in </w:t>
      </w:r>
      <w:r w:rsidR="0088683E" w:rsidRPr="00ED6690">
        <w:rPr>
          <w:rFonts w:ascii="Times New Roman" w:hAnsi="Times New Roman" w:cs="Times New Roman"/>
          <w:b/>
          <w:bCs/>
          <w:szCs w:val="24"/>
        </w:rPr>
        <w:t>eV</w:t>
      </w:r>
      <w:r w:rsidRPr="00ED6690">
        <w:rPr>
          <w:rFonts w:ascii="Times New Roman" w:hAnsi="Times New Roman" w:cs="Times New Roman"/>
          <w:b/>
          <w:bCs/>
          <w:szCs w:val="24"/>
        </w:rPr>
        <w:t xml:space="preserve"> (cont., 3).</w:t>
      </w:r>
    </w:p>
    <w:p w14:paraId="05E37A24" w14:textId="04F08188" w:rsidR="009902C0" w:rsidRPr="00ED6690" w:rsidRDefault="00975D7A" w:rsidP="0068761C">
      <w:pPr>
        <w:rPr>
          <w:rFonts w:ascii="Times New Roman" w:hAnsi="Times New Roman" w:cs="Times New Roman"/>
          <w:b/>
          <w:bCs/>
          <w:szCs w:val="24"/>
        </w:rPr>
      </w:pPr>
      <w:r>
        <w:rPr>
          <w:noProof/>
        </w:rPr>
        <w:drawing>
          <wp:inline distT="0" distB="0" distL="0" distR="0" wp14:anchorId="40EB3597" wp14:editId="7ED9A62D">
            <wp:extent cx="5943599" cy="7924799"/>
            <wp:effectExtent l="0" t="0" r="635" b="635"/>
            <wp:docPr id="147214610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146104" name="Picture 15"/>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5943599" cy="7924799"/>
                    </a:xfrm>
                    <a:prstGeom prst="rect">
                      <a:avLst/>
                    </a:prstGeom>
                    <a:noFill/>
                    <a:ln>
                      <a:noFill/>
                    </a:ln>
                  </pic:spPr>
                </pic:pic>
              </a:graphicData>
            </a:graphic>
          </wp:inline>
        </w:drawing>
      </w:r>
    </w:p>
    <w:p w14:paraId="6E45F50C" w14:textId="12E71D02" w:rsidR="0068761C" w:rsidRPr="00ED6690" w:rsidRDefault="0068761C" w:rsidP="0068761C">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21</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Segregation Energy Spectra for Ni-based</w:t>
      </w:r>
      <w:r w:rsidR="0088683E" w:rsidRPr="00ED6690">
        <w:rPr>
          <w:rFonts w:ascii="Times New Roman" w:hAnsi="Times New Roman" w:cs="Times New Roman"/>
          <w:b/>
          <w:bCs/>
          <w:szCs w:val="24"/>
        </w:rPr>
        <w:t xml:space="preserve"> </w:t>
      </w:r>
      <w:r w:rsidRPr="00ED6690">
        <w:rPr>
          <w:rFonts w:ascii="Times New Roman" w:hAnsi="Times New Roman" w:cs="Times New Roman"/>
          <w:b/>
          <w:bCs/>
          <w:szCs w:val="24"/>
        </w:rPr>
        <w:t>Alloys</w:t>
      </w:r>
      <w:r w:rsidR="0088683E" w:rsidRPr="00ED6690">
        <w:rPr>
          <w:rFonts w:ascii="Times New Roman" w:hAnsi="Times New Roman" w:cs="Times New Roman"/>
          <w:b/>
          <w:bCs/>
          <w:szCs w:val="24"/>
        </w:rPr>
        <w:t xml:space="preserve"> </w:t>
      </w:r>
      <w:r w:rsidR="00A86F96">
        <w:rPr>
          <w:rFonts w:ascii="Times New Roman" w:hAnsi="Times New Roman" w:cs="Times New Roman"/>
          <w:b/>
          <w:bCs/>
          <w:szCs w:val="24"/>
        </w:rPr>
        <w:t xml:space="preserve">in </w:t>
      </w:r>
      <w:r w:rsidR="0088683E" w:rsidRPr="00ED6690">
        <w:rPr>
          <w:rFonts w:ascii="Times New Roman" w:hAnsi="Times New Roman" w:cs="Times New Roman"/>
          <w:b/>
          <w:bCs/>
          <w:szCs w:val="24"/>
        </w:rPr>
        <w:t>eV</w:t>
      </w:r>
      <w:r w:rsidRPr="00ED6690">
        <w:rPr>
          <w:rFonts w:ascii="Times New Roman" w:hAnsi="Times New Roman" w:cs="Times New Roman"/>
          <w:b/>
          <w:bCs/>
          <w:szCs w:val="24"/>
        </w:rPr>
        <w:t>.</w:t>
      </w:r>
    </w:p>
    <w:p w14:paraId="564255D8" w14:textId="5A45779B" w:rsidR="009902C0" w:rsidRPr="00ED6690" w:rsidRDefault="00CF0812" w:rsidP="0068761C">
      <w:pPr>
        <w:rPr>
          <w:rFonts w:ascii="Times New Roman" w:hAnsi="Times New Roman" w:cs="Times New Roman"/>
          <w:b/>
          <w:bCs/>
          <w:szCs w:val="24"/>
        </w:rPr>
      </w:pPr>
      <w:r>
        <w:rPr>
          <w:noProof/>
        </w:rPr>
        <w:drawing>
          <wp:inline distT="0" distB="0" distL="0" distR="0" wp14:anchorId="01F5F369" wp14:editId="0FC248B3">
            <wp:extent cx="5943599" cy="7924799"/>
            <wp:effectExtent l="0" t="0" r="635" b="635"/>
            <wp:docPr id="29836645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366454" name="Picture 20"/>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5943599" cy="7924799"/>
                    </a:xfrm>
                    <a:prstGeom prst="rect">
                      <a:avLst/>
                    </a:prstGeom>
                    <a:noFill/>
                    <a:ln>
                      <a:noFill/>
                    </a:ln>
                  </pic:spPr>
                </pic:pic>
              </a:graphicData>
            </a:graphic>
          </wp:inline>
        </w:drawing>
      </w:r>
    </w:p>
    <w:p w14:paraId="0CD6BE81" w14:textId="09BA7FA8" w:rsidR="0068761C" w:rsidRPr="00ED6690" w:rsidRDefault="0068761C" w:rsidP="0068761C">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22</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Segregation Energy Spectra for Ni-based Alloys</w:t>
      </w:r>
      <w:r w:rsidR="0088683E" w:rsidRPr="00ED6690">
        <w:rPr>
          <w:rFonts w:ascii="Times New Roman" w:hAnsi="Times New Roman" w:cs="Times New Roman"/>
          <w:b/>
          <w:bCs/>
          <w:szCs w:val="24"/>
        </w:rPr>
        <w:t xml:space="preserve"> </w:t>
      </w:r>
      <w:r w:rsidR="00A86F96">
        <w:rPr>
          <w:rFonts w:ascii="Times New Roman" w:hAnsi="Times New Roman" w:cs="Times New Roman"/>
          <w:b/>
          <w:bCs/>
          <w:szCs w:val="24"/>
        </w:rPr>
        <w:t xml:space="preserve">in </w:t>
      </w:r>
      <w:r w:rsidR="0088683E" w:rsidRPr="00ED6690">
        <w:rPr>
          <w:rFonts w:ascii="Times New Roman" w:hAnsi="Times New Roman" w:cs="Times New Roman"/>
          <w:b/>
          <w:bCs/>
          <w:szCs w:val="24"/>
        </w:rPr>
        <w:t xml:space="preserve">eV </w:t>
      </w:r>
      <w:r w:rsidRPr="00ED6690">
        <w:rPr>
          <w:rFonts w:ascii="Times New Roman" w:hAnsi="Times New Roman" w:cs="Times New Roman"/>
          <w:b/>
          <w:bCs/>
          <w:szCs w:val="24"/>
        </w:rPr>
        <w:t>(cont., 2).</w:t>
      </w:r>
    </w:p>
    <w:p w14:paraId="16A25394" w14:textId="6546B403" w:rsidR="009902C0" w:rsidRPr="00ED6690" w:rsidRDefault="00CF0812" w:rsidP="0068761C">
      <w:pPr>
        <w:rPr>
          <w:rFonts w:ascii="Times New Roman" w:hAnsi="Times New Roman" w:cs="Times New Roman"/>
          <w:b/>
          <w:bCs/>
          <w:szCs w:val="24"/>
        </w:rPr>
      </w:pPr>
      <w:r>
        <w:rPr>
          <w:noProof/>
        </w:rPr>
        <w:drawing>
          <wp:inline distT="0" distB="0" distL="0" distR="0" wp14:anchorId="143D72E3" wp14:editId="7E04C33F">
            <wp:extent cx="5943599" cy="7924799"/>
            <wp:effectExtent l="0" t="0" r="635" b="635"/>
            <wp:docPr id="51344638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446388" name="Picture 21"/>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5943599" cy="7924799"/>
                    </a:xfrm>
                    <a:prstGeom prst="rect">
                      <a:avLst/>
                    </a:prstGeom>
                    <a:noFill/>
                    <a:ln>
                      <a:noFill/>
                    </a:ln>
                  </pic:spPr>
                </pic:pic>
              </a:graphicData>
            </a:graphic>
          </wp:inline>
        </w:drawing>
      </w:r>
    </w:p>
    <w:p w14:paraId="3179887E" w14:textId="36C8EF74" w:rsidR="0068761C" w:rsidRPr="00ED6690" w:rsidRDefault="0068761C" w:rsidP="0068761C">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23</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Segregation Energy Spectra for Ni-based Alloys</w:t>
      </w:r>
      <w:r w:rsidR="0088683E" w:rsidRPr="00ED6690">
        <w:rPr>
          <w:rFonts w:ascii="Times New Roman" w:hAnsi="Times New Roman" w:cs="Times New Roman"/>
          <w:b/>
          <w:bCs/>
          <w:szCs w:val="24"/>
        </w:rPr>
        <w:t xml:space="preserve"> </w:t>
      </w:r>
      <w:r w:rsidR="00A86F96">
        <w:rPr>
          <w:rFonts w:ascii="Times New Roman" w:hAnsi="Times New Roman" w:cs="Times New Roman"/>
          <w:b/>
          <w:bCs/>
          <w:szCs w:val="24"/>
        </w:rPr>
        <w:t xml:space="preserve">in </w:t>
      </w:r>
      <w:r w:rsidR="0088683E" w:rsidRPr="00ED6690">
        <w:rPr>
          <w:rFonts w:ascii="Times New Roman" w:hAnsi="Times New Roman" w:cs="Times New Roman"/>
          <w:b/>
          <w:bCs/>
          <w:szCs w:val="24"/>
        </w:rPr>
        <w:t>eV</w:t>
      </w:r>
      <w:r w:rsidRPr="00ED6690">
        <w:rPr>
          <w:rFonts w:ascii="Times New Roman" w:hAnsi="Times New Roman" w:cs="Times New Roman"/>
          <w:b/>
          <w:bCs/>
          <w:szCs w:val="24"/>
        </w:rPr>
        <w:t xml:space="preserve"> (cont., 3).</w:t>
      </w:r>
    </w:p>
    <w:p w14:paraId="40790AB1" w14:textId="0BC43904" w:rsidR="009902C0" w:rsidRPr="00ED6690" w:rsidRDefault="00CF0812" w:rsidP="0068761C">
      <w:pPr>
        <w:rPr>
          <w:rFonts w:ascii="Times New Roman" w:hAnsi="Times New Roman" w:cs="Times New Roman"/>
          <w:b/>
          <w:bCs/>
          <w:szCs w:val="24"/>
        </w:rPr>
      </w:pPr>
      <w:r>
        <w:rPr>
          <w:noProof/>
        </w:rPr>
        <w:drawing>
          <wp:inline distT="0" distB="0" distL="0" distR="0" wp14:anchorId="6EDEED02" wp14:editId="6A6F2274">
            <wp:extent cx="5943599" cy="7924799"/>
            <wp:effectExtent l="0" t="0" r="635" b="635"/>
            <wp:docPr id="87479176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791763" name="Picture 22"/>
                    <pic:cNvPicPr>
                      <a:picLocks noChangeAspect="1" noChangeArrowheads="1"/>
                    </pic:cNvPicPr>
                  </pic:nvPicPr>
                  <pic:blipFill>
                    <a:blip r:embed="rId31" cstate="print">
                      <a:extLst>
                        <a:ext uri="{28A0092B-C50C-407E-A947-70E740481C1C}">
                          <a14:useLocalDpi xmlns:a14="http://schemas.microsoft.com/office/drawing/2010/main" val="0"/>
                        </a:ext>
                      </a:extLst>
                    </a:blip>
                    <a:stretch>
                      <a:fillRect/>
                    </a:stretch>
                  </pic:blipFill>
                  <pic:spPr bwMode="auto">
                    <a:xfrm>
                      <a:off x="0" y="0"/>
                      <a:ext cx="5943599" cy="7924799"/>
                    </a:xfrm>
                    <a:prstGeom prst="rect">
                      <a:avLst/>
                    </a:prstGeom>
                    <a:noFill/>
                    <a:ln>
                      <a:noFill/>
                    </a:ln>
                  </pic:spPr>
                </pic:pic>
              </a:graphicData>
            </a:graphic>
          </wp:inline>
        </w:drawing>
      </w:r>
    </w:p>
    <w:p w14:paraId="1E761D66" w14:textId="39893766" w:rsidR="0068761C" w:rsidRPr="00ED6690" w:rsidRDefault="0068761C" w:rsidP="0068761C">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24</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Segregation Energy Spectra for Ni-based Alloys</w:t>
      </w:r>
      <w:r w:rsidR="0088683E" w:rsidRPr="00ED6690">
        <w:rPr>
          <w:rFonts w:ascii="Times New Roman" w:hAnsi="Times New Roman" w:cs="Times New Roman"/>
          <w:b/>
          <w:bCs/>
          <w:szCs w:val="24"/>
        </w:rPr>
        <w:t xml:space="preserve"> in eV</w:t>
      </w:r>
      <w:r w:rsidRPr="00ED6690">
        <w:rPr>
          <w:rFonts w:ascii="Times New Roman" w:hAnsi="Times New Roman" w:cs="Times New Roman"/>
          <w:b/>
          <w:bCs/>
          <w:szCs w:val="24"/>
        </w:rPr>
        <w:t xml:space="preserve"> (cont., 4).</w:t>
      </w:r>
    </w:p>
    <w:p w14:paraId="11DA0F55" w14:textId="77E26AF7" w:rsidR="00CF0812" w:rsidRPr="00ED6690" w:rsidRDefault="00CF0812" w:rsidP="00CF0812">
      <w:pPr>
        <w:rPr>
          <w:rFonts w:ascii="Times New Roman" w:hAnsi="Times New Roman" w:cs="Times New Roman"/>
          <w:b/>
          <w:bCs/>
          <w:szCs w:val="24"/>
        </w:rPr>
      </w:pPr>
      <w:r>
        <w:rPr>
          <w:noProof/>
        </w:rPr>
        <w:drawing>
          <wp:inline distT="0" distB="0" distL="0" distR="0" wp14:anchorId="6400ADB7" wp14:editId="0E2A208E">
            <wp:extent cx="6382814" cy="2063692"/>
            <wp:effectExtent l="0" t="0" r="0" b="0"/>
            <wp:docPr id="192974477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744773" name="Picture 23"/>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917" r="-539"/>
                    <a:stretch/>
                  </pic:blipFill>
                  <pic:spPr bwMode="auto">
                    <a:xfrm>
                      <a:off x="0" y="0"/>
                      <a:ext cx="6382994" cy="2063750"/>
                    </a:xfrm>
                    <a:prstGeom prst="rect">
                      <a:avLst/>
                    </a:prstGeom>
                    <a:noFill/>
                    <a:ln>
                      <a:noFill/>
                    </a:ln>
                    <a:extLst>
                      <a:ext uri="{53640926-AAD7-44D8-BBD7-CCE9431645EC}">
                        <a14:shadowObscured xmlns:a14="http://schemas.microsoft.com/office/drawing/2010/main"/>
                      </a:ext>
                    </a:extLst>
                  </pic:spPr>
                </pic:pic>
              </a:graphicData>
            </a:graphic>
          </wp:inline>
        </w:drawing>
      </w:r>
      <w:r w:rsidRPr="00ED6690">
        <w:rPr>
          <w:rFonts w:ascii="Times New Roman" w:hAnsi="Times New Roman" w:cs="Times New Roman"/>
          <w:b/>
          <w:bCs/>
          <w:szCs w:val="24"/>
        </w:rPr>
        <w:t xml:space="preserve">Fig. </w:t>
      </w:r>
      <w:r>
        <w:rPr>
          <w:rFonts w:ascii="Times New Roman" w:hAnsi="Times New Roman" w:cs="Times New Roman"/>
          <w:b/>
          <w:bCs/>
          <w:szCs w:val="24"/>
        </w:rPr>
        <w:t>S</w:t>
      </w:r>
      <w:r>
        <w:rPr>
          <w:rFonts w:ascii="Times New Roman" w:hAnsi="Times New Roman" w:cs="Times New Roman"/>
          <w:b/>
          <w:bCs/>
          <w:szCs w:val="24"/>
        </w:rPr>
        <w:fldChar w:fldCharType="begin"/>
      </w:r>
      <w:r>
        <w:rPr>
          <w:rFonts w:ascii="Times New Roman" w:hAnsi="Times New Roman" w:cs="Times New Roman"/>
          <w:b/>
          <w:bCs/>
          <w:szCs w:val="24"/>
        </w:rPr>
        <w:instrText xml:space="preserve"> SEQ Figure \* ARABIC </w:instrText>
      </w:r>
      <w:r>
        <w:rPr>
          <w:rFonts w:ascii="Times New Roman" w:hAnsi="Times New Roman" w:cs="Times New Roman"/>
          <w:b/>
          <w:bCs/>
          <w:szCs w:val="24"/>
        </w:rPr>
        <w:fldChar w:fldCharType="separate"/>
      </w:r>
      <w:r w:rsidR="00C8038C">
        <w:rPr>
          <w:rFonts w:ascii="Times New Roman" w:hAnsi="Times New Roman" w:cs="Times New Roman"/>
          <w:b/>
          <w:bCs/>
          <w:noProof/>
          <w:szCs w:val="24"/>
        </w:rPr>
        <w:t>25</w:t>
      </w:r>
      <w:r>
        <w:rPr>
          <w:rFonts w:ascii="Times New Roman" w:hAnsi="Times New Roman" w:cs="Times New Roman"/>
          <w:b/>
          <w:bCs/>
          <w:szCs w:val="24"/>
        </w:rPr>
        <w:fldChar w:fldCharType="end"/>
      </w:r>
      <w:r w:rsidRPr="00ED6690">
        <w:rPr>
          <w:rFonts w:ascii="Times New Roman" w:hAnsi="Times New Roman" w:cs="Times New Roman"/>
          <w:b/>
          <w:bCs/>
          <w:szCs w:val="24"/>
        </w:rPr>
        <w:t xml:space="preserve"> Segregation Energy Spectra for Ni-based Alloys in eV (cont., </w:t>
      </w:r>
      <w:r>
        <w:rPr>
          <w:rFonts w:ascii="Times New Roman" w:hAnsi="Times New Roman" w:cs="Times New Roman"/>
          <w:b/>
          <w:bCs/>
          <w:szCs w:val="24"/>
        </w:rPr>
        <w:t>5</w:t>
      </w:r>
      <w:r w:rsidRPr="00ED6690">
        <w:rPr>
          <w:rFonts w:ascii="Times New Roman" w:hAnsi="Times New Roman" w:cs="Times New Roman"/>
          <w:b/>
          <w:bCs/>
          <w:szCs w:val="24"/>
        </w:rPr>
        <w:t>).</w:t>
      </w:r>
    </w:p>
    <w:p w14:paraId="0EF812A6" w14:textId="41F3D2FD" w:rsidR="00A86F96" w:rsidRDefault="00CF0812" w:rsidP="00A86F96">
      <w:pPr>
        <w:rPr>
          <w:rFonts w:ascii="Times New Roman" w:hAnsi="Times New Roman" w:cs="Times New Roman"/>
          <w:b/>
          <w:bCs/>
          <w:szCs w:val="24"/>
        </w:rPr>
      </w:pPr>
      <w:r>
        <w:rPr>
          <w:noProof/>
        </w:rPr>
        <w:drawing>
          <wp:inline distT="0" distB="0" distL="0" distR="0" wp14:anchorId="00C42C88" wp14:editId="3DCA5E16">
            <wp:extent cx="5943599" cy="7924799"/>
            <wp:effectExtent l="0" t="0" r="635" b="635"/>
            <wp:docPr id="148042696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426965" name="Picture 24"/>
                    <pic:cNvPicPr>
                      <a:picLocks noChangeAspect="1" noChangeArrowheads="1"/>
                    </pic:cNvPicPr>
                  </pic:nvPicPr>
                  <pic:blipFill>
                    <a:blip r:embed="rId33" cstate="print">
                      <a:extLst>
                        <a:ext uri="{28A0092B-C50C-407E-A947-70E740481C1C}">
                          <a14:useLocalDpi xmlns:a14="http://schemas.microsoft.com/office/drawing/2010/main" val="0"/>
                        </a:ext>
                      </a:extLst>
                    </a:blip>
                    <a:stretch>
                      <a:fillRect/>
                    </a:stretch>
                  </pic:blipFill>
                  <pic:spPr bwMode="auto">
                    <a:xfrm>
                      <a:off x="0" y="0"/>
                      <a:ext cx="5943599" cy="7924799"/>
                    </a:xfrm>
                    <a:prstGeom prst="rect">
                      <a:avLst/>
                    </a:prstGeom>
                    <a:noFill/>
                    <a:ln>
                      <a:noFill/>
                    </a:ln>
                  </pic:spPr>
                </pic:pic>
              </a:graphicData>
            </a:graphic>
          </wp:inline>
        </w:drawing>
      </w:r>
    </w:p>
    <w:p w14:paraId="5DF02C9D" w14:textId="442E7B25" w:rsidR="00A86F96" w:rsidRPr="00ED6690" w:rsidRDefault="00A86F96" w:rsidP="00A86F96">
      <w:pPr>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26</w:t>
      </w:r>
      <w:r w:rsidR="00E95521">
        <w:rPr>
          <w:rFonts w:ascii="Times New Roman" w:hAnsi="Times New Roman" w:cs="Times New Roman"/>
          <w:b/>
          <w:bCs/>
          <w:szCs w:val="24"/>
        </w:rPr>
        <w:fldChar w:fldCharType="end"/>
      </w:r>
      <w:r w:rsidRPr="00ED6690">
        <w:rPr>
          <w:rFonts w:ascii="Times New Roman" w:hAnsi="Times New Roman" w:cs="Times New Roman"/>
          <w:b/>
          <w:bCs/>
          <w:szCs w:val="24"/>
        </w:rPr>
        <w:t xml:space="preserve"> Segregation Energy Spectra for </w:t>
      </w:r>
      <w:r>
        <w:rPr>
          <w:rFonts w:ascii="Times New Roman" w:hAnsi="Times New Roman" w:cs="Times New Roman"/>
          <w:b/>
          <w:bCs/>
          <w:szCs w:val="24"/>
        </w:rPr>
        <w:t>Pd</w:t>
      </w:r>
      <w:r w:rsidRPr="00ED6690">
        <w:rPr>
          <w:rFonts w:ascii="Times New Roman" w:hAnsi="Times New Roman" w:cs="Times New Roman"/>
          <w:b/>
          <w:bCs/>
          <w:szCs w:val="24"/>
        </w:rPr>
        <w:t xml:space="preserve">-based Alloys </w:t>
      </w:r>
      <w:r>
        <w:rPr>
          <w:rFonts w:ascii="Times New Roman" w:hAnsi="Times New Roman" w:cs="Times New Roman"/>
          <w:b/>
          <w:bCs/>
          <w:szCs w:val="24"/>
        </w:rPr>
        <w:t xml:space="preserve">in </w:t>
      </w:r>
      <w:r w:rsidRPr="00ED6690">
        <w:rPr>
          <w:rFonts w:ascii="Times New Roman" w:hAnsi="Times New Roman" w:cs="Times New Roman"/>
          <w:b/>
          <w:bCs/>
          <w:szCs w:val="24"/>
        </w:rPr>
        <w:t>eV.</w:t>
      </w:r>
    </w:p>
    <w:p w14:paraId="7FA98533" w14:textId="3E48DBA5" w:rsidR="00A86F96" w:rsidRDefault="00CF0812" w:rsidP="00A86F96">
      <w:pPr>
        <w:rPr>
          <w:rFonts w:ascii="Times New Roman" w:hAnsi="Times New Roman" w:cs="Times New Roman"/>
          <w:b/>
          <w:bCs/>
          <w:szCs w:val="24"/>
        </w:rPr>
      </w:pPr>
      <w:r>
        <w:rPr>
          <w:noProof/>
        </w:rPr>
        <w:drawing>
          <wp:inline distT="0" distB="0" distL="0" distR="0" wp14:anchorId="31E346EE" wp14:editId="2F0A0477">
            <wp:extent cx="5943599" cy="7924799"/>
            <wp:effectExtent l="0" t="0" r="635" b="635"/>
            <wp:docPr id="44467903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679032" name="Picture 25"/>
                    <pic:cNvPicPr>
                      <a:picLocks noChangeAspect="1" noChangeArrowheads="1"/>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5943599" cy="7924799"/>
                    </a:xfrm>
                    <a:prstGeom prst="rect">
                      <a:avLst/>
                    </a:prstGeom>
                    <a:noFill/>
                    <a:ln>
                      <a:noFill/>
                    </a:ln>
                  </pic:spPr>
                </pic:pic>
              </a:graphicData>
            </a:graphic>
          </wp:inline>
        </w:drawing>
      </w:r>
    </w:p>
    <w:p w14:paraId="1A8EFE87" w14:textId="2B56AC1C" w:rsidR="009902C0" w:rsidRPr="00ED6690" w:rsidRDefault="00A86F96" w:rsidP="007C4E3C">
      <w:pPr>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27</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Segregation Energy Spectra for </w:t>
      </w:r>
      <w:r>
        <w:rPr>
          <w:rFonts w:ascii="Times New Roman" w:hAnsi="Times New Roman" w:cs="Times New Roman"/>
          <w:b/>
          <w:bCs/>
          <w:szCs w:val="24"/>
        </w:rPr>
        <w:t>Pt</w:t>
      </w:r>
      <w:r w:rsidRPr="00ED6690">
        <w:rPr>
          <w:rFonts w:ascii="Times New Roman" w:hAnsi="Times New Roman" w:cs="Times New Roman"/>
          <w:b/>
          <w:bCs/>
          <w:szCs w:val="24"/>
        </w:rPr>
        <w:t xml:space="preserve">-based Alloys </w:t>
      </w:r>
      <w:r>
        <w:rPr>
          <w:rFonts w:ascii="Times New Roman" w:hAnsi="Times New Roman" w:cs="Times New Roman"/>
          <w:b/>
          <w:bCs/>
          <w:szCs w:val="24"/>
        </w:rPr>
        <w:t xml:space="preserve">in </w:t>
      </w:r>
      <w:r w:rsidRPr="00ED6690">
        <w:rPr>
          <w:rFonts w:ascii="Times New Roman" w:hAnsi="Times New Roman" w:cs="Times New Roman"/>
          <w:b/>
          <w:bCs/>
          <w:szCs w:val="24"/>
        </w:rPr>
        <w:t>eV.</w:t>
      </w:r>
    </w:p>
    <w:p w14:paraId="5655BA57" w14:textId="5C277835" w:rsidR="0076454C" w:rsidRPr="00ED6690" w:rsidRDefault="0076454C" w:rsidP="008F1BAB">
      <w:pPr>
        <w:pStyle w:val="ListParagraph"/>
        <w:numPr>
          <w:ilvl w:val="0"/>
          <w:numId w:val="1"/>
        </w:numPr>
        <w:rPr>
          <w:rFonts w:ascii="Times New Roman" w:hAnsi="Times New Roman" w:cs="Times New Roman"/>
          <w:b/>
          <w:bCs/>
          <w:szCs w:val="24"/>
        </w:rPr>
      </w:pPr>
      <w:r w:rsidRPr="00ED6690">
        <w:rPr>
          <w:rFonts w:ascii="Times New Roman" w:hAnsi="Times New Roman" w:cs="Times New Roman"/>
          <w:b/>
          <w:bCs/>
          <w:szCs w:val="24"/>
        </w:rPr>
        <w:t>E-S Relationships</w:t>
      </w:r>
    </w:p>
    <w:p w14:paraId="477E80C1" w14:textId="07F8CADD" w:rsidR="009902C0" w:rsidRPr="00ED6690" w:rsidRDefault="006920A8" w:rsidP="009902C0">
      <w:pPr>
        <w:rPr>
          <w:rFonts w:ascii="Times New Roman" w:hAnsi="Times New Roman" w:cs="Times New Roman"/>
          <w:b/>
          <w:bCs/>
          <w:szCs w:val="24"/>
        </w:rPr>
      </w:pPr>
      <w:r>
        <w:rPr>
          <w:noProof/>
        </w:rPr>
        <w:drawing>
          <wp:inline distT="0" distB="0" distL="0" distR="0" wp14:anchorId="2475DB15" wp14:editId="5F1DAC9C">
            <wp:extent cx="5486398" cy="7315198"/>
            <wp:effectExtent l="0" t="0" r="635" b="635"/>
            <wp:docPr id="18009245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924518" name="Picture 1"/>
                    <pic:cNvPicPr>
                      <a:picLocks noChangeAspect="1" noChangeArrowheads="1"/>
                    </pic:cNvPicPr>
                  </pic:nvPicPr>
                  <pic:blipFill>
                    <a:blip r:embed="rId35" cstate="print">
                      <a:extLst>
                        <a:ext uri="{28A0092B-C50C-407E-A947-70E740481C1C}">
                          <a14:useLocalDpi xmlns:a14="http://schemas.microsoft.com/office/drawing/2010/main" val="0"/>
                        </a:ext>
                      </a:extLst>
                    </a:blip>
                    <a:stretch>
                      <a:fillRect/>
                    </a:stretch>
                  </pic:blipFill>
                  <pic:spPr bwMode="auto">
                    <a:xfrm>
                      <a:off x="0" y="0"/>
                      <a:ext cx="5486398" cy="7315198"/>
                    </a:xfrm>
                    <a:prstGeom prst="rect">
                      <a:avLst/>
                    </a:prstGeom>
                    <a:noFill/>
                    <a:ln>
                      <a:noFill/>
                    </a:ln>
                  </pic:spPr>
                </pic:pic>
              </a:graphicData>
            </a:graphic>
          </wp:inline>
        </w:drawing>
      </w:r>
    </w:p>
    <w:p w14:paraId="3BC354EE" w14:textId="18C50A70" w:rsidR="00A86F96" w:rsidRPr="00ED6690" w:rsidRDefault="00A86F96" w:rsidP="00A86F96">
      <w:pPr>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28</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Segregation Energy-Entropy Spectra for A</w:t>
      </w:r>
      <w:r>
        <w:rPr>
          <w:rFonts w:ascii="Times New Roman" w:hAnsi="Times New Roman" w:cs="Times New Roman"/>
          <w:b/>
          <w:bCs/>
          <w:szCs w:val="24"/>
        </w:rPr>
        <w:t>g</w:t>
      </w:r>
      <w:r w:rsidRPr="00ED6690">
        <w:rPr>
          <w:rFonts w:ascii="Times New Roman" w:hAnsi="Times New Roman" w:cs="Times New Roman"/>
          <w:b/>
          <w:bCs/>
          <w:szCs w:val="24"/>
        </w:rPr>
        <w:t>-based Alloys in eV and eV/K respectively.</w:t>
      </w:r>
    </w:p>
    <w:p w14:paraId="508D5B9B" w14:textId="759D473A" w:rsidR="00A86F96" w:rsidRDefault="006920A8" w:rsidP="009902C0">
      <w:pPr>
        <w:rPr>
          <w:rFonts w:ascii="Times New Roman" w:hAnsi="Times New Roman" w:cs="Times New Roman"/>
          <w:b/>
          <w:bCs/>
          <w:szCs w:val="24"/>
        </w:rPr>
      </w:pPr>
      <w:r>
        <w:rPr>
          <w:noProof/>
        </w:rPr>
        <w:drawing>
          <wp:inline distT="0" distB="0" distL="0" distR="0" wp14:anchorId="3997A594" wp14:editId="6F115BC6">
            <wp:extent cx="5485167" cy="3707422"/>
            <wp:effectExtent l="0" t="0" r="1270" b="7620"/>
            <wp:docPr id="8988017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801714"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tretch>
                      <a:fillRect/>
                    </a:stretch>
                  </pic:blipFill>
                  <pic:spPr bwMode="auto">
                    <a:xfrm>
                      <a:off x="0" y="0"/>
                      <a:ext cx="5485167" cy="3707422"/>
                    </a:xfrm>
                    <a:prstGeom prst="rect">
                      <a:avLst/>
                    </a:prstGeom>
                    <a:noFill/>
                    <a:ln>
                      <a:noFill/>
                    </a:ln>
                  </pic:spPr>
                </pic:pic>
              </a:graphicData>
            </a:graphic>
          </wp:inline>
        </w:drawing>
      </w:r>
    </w:p>
    <w:p w14:paraId="57A955FB" w14:textId="5A2E2B6D" w:rsidR="00F54ACD" w:rsidRPr="00ED6690" w:rsidRDefault="00F54ACD" w:rsidP="00F54ACD">
      <w:pPr>
        <w:rPr>
          <w:rFonts w:ascii="Times New Roman" w:hAnsi="Times New Roman" w:cs="Times New Roman"/>
          <w:b/>
          <w:bCs/>
          <w:szCs w:val="24"/>
        </w:rPr>
      </w:pPr>
      <w:r w:rsidRPr="00ED6690">
        <w:rPr>
          <w:rFonts w:ascii="Times New Roman" w:hAnsi="Times New Roman" w:cs="Times New Roman"/>
          <w:b/>
          <w:bCs/>
          <w:szCs w:val="24"/>
        </w:rPr>
        <w:t xml:space="preserve">Fig. </w:t>
      </w:r>
      <w:r>
        <w:rPr>
          <w:rFonts w:ascii="Times New Roman" w:hAnsi="Times New Roman" w:cs="Times New Roman"/>
          <w:b/>
          <w:bCs/>
          <w:szCs w:val="24"/>
        </w:rPr>
        <w:t>S</w:t>
      </w:r>
      <w:r>
        <w:rPr>
          <w:rFonts w:ascii="Times New Roman" w:hAnsi="Times New Roman" w:cs="Times New Roman"/>
          <w:b/>
          <w:bCs/>
          <w:szCs w:val="24"/>
        </w:rPr>
        <w:fldChar w:fldCharType="begin"/>
      </w:r>
      <w:r>
        <w:rPr>
          <w:rFonts w:ascii="Times New Roman" w:hAnsi="Times New Roman" w:cs="Times New Roman"/>
          <w:b/>
          <w:bCs/>
          <w:szCs w:val="24"/>
        </w:rPr>
        <w:instrText xml:space="preserve"> SEQ Figure \* ARABIC </w:instrText>
      </w:r>
      <w:r>
        <w:rPr>
          <w:rFonts w:ascii="Times New Roman" w:hAnsi="Times New Roman" w:cs="Times New Roman"/>
          <w:b/>
          <w:bCs/>
          <w:szCs w:val="24"/>
        </w:rPr>
        <w:fldChar w:fldCharType="separate"/>
      </w:r>
      <w:r w:rsidR="00C8038C">
        <w:rPr>
          <w:rFonts w:ascii="Times New Roman" w:hAnsi="Times New Roman" w:cs="Times New Roman"/>
          <w:b/>
          <w:bCs/>
          <w:noProof/>
          <w:szCs w:val="24"/>
        </w:rPr>
        <w:t>29</w:t>
      </w:r>
      <w:r>
        <w:rPr>
          <w:rFonts w:ascii="Times New Roman" w:hAnsi="Times New Roman" w:cs="Times New Roman"/>
          <w:b/>
          <w:bCs/>
          <w:szCs w:val="24"/>
        </w:rPr>
        <w:fldChar w:fldCharType="end"/>
      </w:r>
      <w:r>
        <w:rPr>
          <w:rFonts w:ascii="Times New Roman" w:hAnsi="Times New Roman" w:cs="Times New Roman"/>
          <w:b/>
          <w:bCs/>
          <w:szCs w:val="24"/>
        </w:rPr>
        <w:t xml:space="preserve"> </w:t>
      </w:r>
      <w:r w:rsidRPr="00ED6690">
        <w:rPr>
          <w:rFonts w:ascii="Times New Roman" w:hAnsi="Times New Roman" w:cs="Times New Roman"/>
          <w:b/>
          <w:bCs/>
          <w:szCs w:val="24"/>
        </w:rPr>
        <w:t>Segregation Energy-Entropy Spectra for A</w:t>
      </w:r>
      <w:r>
        <w:rPr>
          <w:rFonts w:ascii="Times New Roman" w:hAnsi="Times New Roman" w:cs="Times New Roman"/>
          <w:b/>
          <w:bCs/>
          <w:szCs w:val="24"/>
        </w:rPr>
        <w:t>g</w:t>
      </w:r>
      <w:r w:rsidRPr="00ED6690">
        <w:rPr>
          <w:rFonts w:ascii="Times New Roman" w:hAnsi="Times New Roman" w:cs="Times New Roman"/>
          <w:b/>
          <w:bCs/>
          <w:szCs w:val="24"/>
        </w:rPr>
        <w:t>-based Alloys in eV and eV/K respectively.</w:t>
      </w:r>
    </w:p>
    <w:p w14:paraId="7A4ABC87" w14:textId="612AC472" w:rsidR="00F54ACD" w:rsidRDefault="006920A8" w:rsidP="009902C0">
      <w:pPr>
        <w:rPr>
          <w:rFonts w:ascii="Times New Roman" w:hAnsi="Times New Roman" w:cs="Times New Roman"/>
          <w:b/>
          <w:bCs/>
          <w:szCs w:val="24"/>
        </w:rPr>
      </w:pPr>
      <w:r>
        <w:rPr>
          <w:noProof/>
        </w:rPr>
        <w:drawing>
          <wp:inline distT="0" distB="0" distL="0" distR="0" wp14:anchorId="77826A06" wp14:editId="63F3729E">
            <wp:extent cx="5486398" cy="7315198"/>
            <wp:effectExtent l="0" t="0" r="635" b="635"/>
            <wp:docPr id="19924652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465253" name="Picture 3"/>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5486398" cy="7315198"/>
                    </a:xfrm>
                    <a:prstGeom prst="rect">
                      <a:avLst/>
                    </a:prstGeom>
                    <a:noFill/>
                    <a:ln>
                      <a:noFill/>
                    </a:ln>
                  </pic:spPr>
                </pic:pic>
              </a:graphicData>
            </a:graphic>
          </wp:inline>
        </w:drawing>
      </w:r>
    </w:p>
    <w:p w14:paraId="6CC741D1" w14:textId="6194BC6C" w:rsidR="009902C0" w:rsidRDefault="009902C0" w:rsidP="009902C0">
      <w:pPr>
        <w:rPr>
          <w:rFonts w:ascii="Times New Roman" w:hAnsi="Times New Roman" w:cs="Times New Roman"/>
          <w:b/>
          <w:bCs/>
          <w:szCs w:val="24"/>
        </w:rPr>
      </w:pPr>
    </w:p>
    <w:p w14:paraId="1C751944" w14:textId="581AA541" w:rsidR="00F54ACD" w:rsidRPr="00ED6690" w:rsidRDefault="00F54ACD" w:rsidP="00F54ACD">
      <w:pPr>
        <w:rPr>
          <w:rFonts w:ascii="Times New Roman" w:hAnsi="Times New Roman" w:cs="Times New Roman"/>
          <w:b/>
          <w:bCs/>
          <w:szCs w:val="24"/>
        </w:rPr>
      </w:pPr>
      <w:r w:rsidRPr="00ED6690">
        <w:rPr>
          <w:rFonts w:ascii="Times New Roman" w:hAnsi="Times New Roman" w:cs="Times New Roman"/>
          <w:b/>
          <w:bCs/>
          <w:szCs w:val="24"/>
        </w:rPr>
        <w:t xml:space="preserve">Fig. </w:t>
      </w:r>
      <w:r>
        <w:rPr>
          <w:rFonts w:ascii="Times New Roman" w:hAnsi="Times New Roman" w:cs="Times New Roman"/>
          <w:b/>
          <w:bCs/>
          <w:szCs w:val="24"/>
        </w:rPr>
        <w:t>S</w:t>
      </w:r>
      <w:r>
        <w:rPr>
          <w:rFonts w:ascii="Times New Roman" w:hAnsi="Times New Roman" w:cs="Times New Roman"/>
          <w:b/>
          <w:bCs/>
          <w:szCs w:val="24"/>
        </w:rPr>
        <w:fldChar w:fldCharType="begin"/>
      </w:r>
      <w:r>
        <w:rPr>
          <w:rFonts w:ascii="Times New Roman" w:hAnsi="Times New Roman" w:cs="Times New Roman"/>
          <w:b/>
          <w:bCs/>
          <w:szCs w:val="24"/>
        </w:rPr>
        <w:instrText xml:space="preserve"> SEQ Figure \* ARABIC </w:instrText>
      </w:r>
      <w:r>
        <w:rPr>
          <w:rFonts w:ascii="Times New Roman" w:hAnsi="Times New Roman" w:cs="Times New Roman"/>
          <w:b/>
          <w:bCs/>
          <w:szCs w:val="24"/>
        </w:rPr>
        <w:fldChar w:fldCharType="separate"/>
      </w:r>
      <w:r w:rsidR="00C8038C">
        <w:rPr>
          <w:rFonts w:ascii="Times New Roman" w:hAnsi="Times New Roman" w:cs="Times New Roman"/>
          <w:b/>
          <w:bCs/>
          <w:noProof/>
          <w:szCs w:val="24"/>
        </w:rPr>
        <w:t>30</w:t>
      </w:r>
      <w:r>
        <w:rPr>
          <w:rFonts w:ascii="Times New Roman" w:hAnsi="Times New Roman" w:cs="Times New Roman"/>
          <w:b/>
          <w:bCs/>
          <w:szCs w:val="24"/>
        </w:rPr>
        <w:fldChar w:fldCharType="end"/>
      </w:r>
      <w:r>
        <w:rPr>
          <w:rFonts w:ascii="Times New Roman" w:hAnsi="Times New Roman" w:cs="Times New Roman"/>
          <w:b/>
          <w:bCs/>
          <w:szCs w:val="24"/>
        </w:rPr>
        <w:t xml:space="preserve"> </w:t>
      </w:r>
      <w:r w:rsidRPr="00ED6690">
        <w:rPr>
          <w:rFonts w:ascii="Times New Roman" w:hAnsi="Times New Roman" w:cs="Times New Roman"/>
          <w:b/>
          <w:bCs/>
          <w:szCs w:val="24"/>
        </w:rPr>
        <w:t>Segregation Energy-Entropy Spectra for Al-based Alloys in eV and eV/K respectively.</w:t>
      </w:r>
    </w:p>
    <w:p w14:paraId="631C309A" w14:textId="77777777" w:rsidR="00F54ACD" w:rsidRDefault="00F54ACD" w:rsidP="009902C0">
      <w:pPr>
        <w:rPr>
          <w:rFonts w:ascii="Times New Roman" w:hAnsi="Times New Roman" w:cs="Times New Roman"/>
          <w:b/>
          <w:bCs/>
          <w:szCs w:val="24"/>
        </w:rPr>
      </w:pPr>
    </w:p>
    <w:p w14:paraId="2E662AE9" w14:textId="0AE9056E" w:rsidR="00F54ACD" w:rsidRPr="00ED6690" w:rsidRDefault="006920A8" w:rsidP="009902C0">
      <w:pPr>
        <w:rPr>
          <w:rFonts w:ascii="Times New Roman" w:hAnsi="Times New Roman" w:cs="Times New Roman"/>
          <w:b/>
          <w:bCs/>
          <w:szCs w:val="24"/>
        </w:rPr>
      </w:pPr>
      <w:r>
        <w:rPr>
          <w:noProof/>
        </w:rPr>
        <w:drawing>
          <wp:inline distT="0" distB="0" distL="0" distR="0" wp14:anchorId="2850190D" wp14:editId="28E73713">
            <wp:extent cx="5486398" cy="7315198"/>
            <wp:effectExtent l="0" t="0" r="635" b="635"/>
            <wp:docPr id="19734739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473961" name="Picture 4"/>
                    <pic:cNvPicPr>
                      <a:picLocks noChangeAspect="1" noChangeArrowheads="1"/>
                    </pic:cNvPicPr>
                  </pic:nvPicPr>
                  <pic:blipFill>
                    <a:blip r:embed="rId38" cstate="print">
                      <a:extLst>
                        <a:ext uri="{28A0092B-C50C-407E-A947-70E740481C1C}">
                          <a14:useLocalDpi xmlns:a14="http://schemas.microsoft.com/office/drawing/2010/main" val="0"/>
                        </a:ext>
                      </a:extLst>
                    </a:blip>
                    <a:stretch>
                      <a:fillRect/>
                    </a:stretch>
                  </pic:blipFill>
                  <pic:spPr bwMode="auto">
                    <a:xfrm>
                      <a:off x="0" y="0"/>
                      <a:ext cx="5486398" cy="7315198"/>
                    </a:xfrm>
                    <a:prstGeom prst="rect">
                      <a:avLst/>
                    </a:prstGeom>
                    <a:noFill/>
                    <a:ln>
                      <a:noFill/>
                    </a:ln>
                  </pic:spPr>
                </pic:pic>
              </a:graphicData>
            </a:graphic>
          </wp:inline>
        </w:drawing>
      </w:r>
    </w:p>
    <w:p w14:paraId="366DC4D2" w14:textId="58AD8F03" w:rsidR="009902C0" w:rsidRPr="00ED6690" w:rsidRDefault="009902C0" w:rsidP="009902C0">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31</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Segregation Energy-Entropy Spectra for Al-based Alloys</w:t>
      </w:r>
      <w:r w:rsidR="00D1260D" w:rsidRPr="00ED6690">
        <w:rPr>
          <w:rFonts w:ascii="Times New Roman" w:hAnsi="Times New Roman" w:cs="Times New Roman"/>
          <w:b/>
          <w:bCs/>
          <w:szCs w:val="24"/>
        </w:rPr>
        <w:t xml:space="preserve"> in eV and eV/K respectively</w:t>
      </w:r>
      <w:r w:rsidRPr="00ED6690">
        <w:rPr>
          <w:rFonts w:ascii="Times New Roman" w:hAnsi="Times New Roman" w:cs="Times New Roman"/>
          <w:b/>
          <w:bCs/>
          <w:szCs w:val="24"/>
        </w:rPr>
        <w:t xml:space="preserve"> (cont., 2).</w:t>
      </w:r>
    </w:p>
    <w:p w14:paraId="02EA0FB3" w14:textId="31EFB901" w:rsidR="00A86F96" w:rsidRPr="00ED6690" w:rsidRDefault="00C5676D" w:rsidP="00A86F96">
      <w:pPr>
        <w:rPr>
          <w:rFonts w:ascii="Times New Roman" w:hAnsi="Times New Roman" w:cs="Times New Roman"/>
          <w:b/>
          <w:bCs/>
          <w:szCs w:val="24"/>
        </w:rPr>
      </w:pPr>
      <w:r>
        <w:rPr>
          <w:noProof/>
        </w:rPr>
        <w:drawing>
          <wp:inline distT="0" distB="0" distL="0" distR="0" wp14:anchorId="0CA6F22F" wp14:editId="730F27DC">
            <wp:extent cx="5486398" cy="7315198"/>
            <wp:effectExtent l="0" t="0" r="635" b="635"/>
            <wp:docPr id="21435046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504662" name="Picture 5"/>
                    <pic:cNvPicPr>
                      <a:picLocks noChangeAspect="1" noChangeArrowheads="1"/>
                    </pic:cNvPicPr>
                  </pic:nvPicPr>
                  <pic:blipFill>
                    <a:blip r:embed="rId39" cstate="print">
                      <a:extLst>
                        <a:ext uri="{28A0092B-C50C-407E-A947-70E740481C1C}">
                          <a14:useLocalDpi xmlns:a14="http://schemas.microsoft.com/office/drawing/2010/main" val="0"/>
                        </a:ext>
                      </a:extLst>
                    </a:blip>
                    <a:stretch>
                      <a:fillRect/>
                    </a:stretch>
                  </pic:blipFill>
                  <pic:spPr bwMode="auto">
                    <a:xfrm>
                      <a:off x="0" y="0"/>
                      <a:ext cx="5486398" cy="7315198"/>
                    </a:xfrm>
                    <a:prstGeom prst="rect">
                      <a:avLst/>
                    </a:prstGeom>
                    <a:noFill/>
                    <a:ln>
                      <a:noFill/>
                    </a:ln>
                  </pic:spPr>
                </pic:pic>
              </a:graphicData>
            </a:graphic>
          </wp:inline>
        </w:drawing>
      </w:r>
    </w:p>
    <w:p w14:paraId="6868FFB8" w14:textId="3C887B94" w:rsidR="00A86F96" w:rsidRPr="00ED6690" w:rsidRDefault="00A86F96" w:rsidP="00A86F96">
      <w:pPr>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32</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Segregation Energy-Entropy Spectra for A</w:t>
      </w:r>
      <w:r>
        <w:rPr>
          <w:rFonts w:ascii="Times New Roman" w:hAnsi="Times New Roman" w:cs="Times New Roman"/>
          <w:b/>
          <w:bCs/>
          <w:szCs w:val="24"/>
        </w:rPr>
        <w:t>u</w:t>
      </w:r>
      <w:r w:rsidRPr="00ED6690">
        <w:rPr>
          <w:rFonts w:ascii="Times New Roman" w:hAnsi="Times New Roman" w:cs="Times New Roman"/>
          <w:b/>
          <w:bCs/>
          <w:szCs w:val="24"/>
        </w:rPr>
        <w:t>-based Alloys in eV and eV/K respectively.</w:t>
      </w:r>
    </w:p>
    <w:p w14:paraId="10E35572" w14:textId="0503645D" w:rsidR="009902C0" w:rsidRPr="00ED6690" w:rsidRDefault="00C5676D" w:rsidP="009902C0">
      <w:pPr>
        <w:rPr>
          <w:rFonts w:ascii="Times New Roman" w:hAnsi="Times New Roman" w:cs="Times New Roman"/>
          <w:b/>
          <w:bCs/>
          <w:szCs w:val="24"/>
        </w:rPr>
      </w:pPr>
      <w:r>
        <w:rPr>
          <w:noProof/>
        </w:rPr>
        <w:drawing>
          <wp:inline distT="0" distB="0" distL="0" distR="0" wp14:anchorId="35205F4B" wp14:editId="2618A1FA">
            <wp:extent cx="5486398" cy="7315198"/>
            <wp:effectExtent l="0" t="0" r="635" b="635"/>
            <wp:docPr id="71961564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615640" name="Picture 6"/>
                    <pic:cNvPicPr>
                      <a:picLocks noChangeAspect="1" noChangeArrowheads="1"/>
                    </pic:cNvPicPr>
                  </pic:nvPicPr>
                  <pic:blipFill>
                    <a:blip r:embed="rId40" cstate="print">
                      <a:extLst>
                        <a:ext uri="{28A0092B-C50C-407E-A947-70E740481C1C}">
                          <a14:useLocalDpi xmlns:a14="http://schemas.microsoft.com/office/drawing/2010/main" val="0"/>
                        </a:ext>
                      </a:extLst>
                    </a:blip>
                    <a:stretch>
                      <a:fillRect/>
                    </a:stretch>
                  </pic:blipFill>
                  <pic:spPr bwMode="auto">
                    <a:xfrm>
                      <a:off x="0" y="0"/>
                      <a:ext cx="5486398" cy="7315198"/>
                    </a:xfrm>
                    <a:prstGeom prst="rect">
                      <a:avLst/>
                    </a:prstGeom>
                    <a:noFill/>
                    <a:ln>
                      <a:noFill/>
                    </a:ln>
                  </pic:spPr>
                </pic:pic>
              </a:graphicData>
            </a:graphic>
          </wp:inline>
        </w:drawing>
      </w:r>
    </w:p>
    <w:p w14:paraId="2C2482C2" w14:textId="4413E95E" w:rsidR="009902C0" w:rsidRPr="00ED6690" w:rsidRDefault="009902C0" w:rsidP="009902C0">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33</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Segregation Energy-Entropy Spectra for Cu-based Alloys</w:t>
      </w:r>
      <w:r w:rsidR="00D1260D" w:rsidRPr="00ED6690">
        <w:rPr>
          <w:rFonts w:ascii="Times New Roman" w:hAnsi="Times New Roman" w:cs="Times New Roman"/>
          <w:b/>
          <w:bCs/>
          <w:szCs w:val="24"/>
        </w:rPr>
        <w:t xml:space="preserve"> in eV and eV/K respectively</w:t>
      </w:r>
    </w:p>
    <w:p w14:paraId="647C3B29" w14:textId="3B1BEA39" w:rsidR="009902C0" w:rsidRPr="00ED6690" w:rsidRDefault="00C5676D" w:rsidP="009902C0">
      <w:pPr>
        <w:rPr>
          <w:rFonts w:ascii="Times New Roman" w:hAnsi="Times New Roman" w:cs="Times New Roman"/>
          <w:b/>
          <w:bCs/>
          <w:szCs w:val="24"/>
        </w:rPr>
      </w:pPr>
      <w:r>
        <w:rPr>
          <w:noProof/>
        </w:rPr>
        <w:drawing>
          <wp:inline distT="0" distB="0" distL="0" distR="0" wp14:anchorId="7FA07182" wp14:editId="11BFF69D">
            <wp:extent cx="5486398" cy="7315198"/>
            <wp:effectExtent l="0" t="0" r="635" b="635"/>
            <wp:docPr id="135289485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94853" name="Picture 7"/>
                    <pic:cNvPicPr>
                      <a:picLocks noChangeAspect="1" noChangeArrowheads="1"/>
                    </pic:cNvPicPr>
                  </pic:nvPicPr>
                  <pic:blipFill>
                    <a:blip r:embed="rId41" cstate="print">
                      <a:extLst>
                        <a:ext uri="{28A0092B-C50C-407E-A947-70E740481C1C}">
                          <a14:useLocalDpi xmlns:a14="http://schemas.microsoft.com/office/drawing/2010/main" val="0"/>
                        </a:ext>
                      </a:extLst>
                    </a:blip>
                    <a:stretch>
                      <a:fillRect/>
                    </a:stretch>
                  </pic:blipFill>
                  <pic:spPr bwMode="auto">
                    <a:xfrm>
                      <a:off x="0" y="0"/>
                      <a:ext cx="5486398" cy="7315198"/>
                    </a:xfrm>
                    <a:prstGeom prst="rect">
                      <a:avLst/>
                    </a:prstGeom>
                    <a:noFill/>
                    <a:ln>
                      <a:noFill/>
                    </a:ln>
                  </pic:spPr>
                </pic:pic>
              </a:graphicData>
            </a:graphic>
          </wp:inline>
        </w:drawing>
      </w:r>
    </w:p>
    <w:p w14:paraId="73FEB44B" w14:textId="7D6898B4" w:rsidR="009902C0" w:rsidRPr="00ED6690" w:rsidRDefault="009902C0" w:rsidP="009902C0">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34</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Segregation Energy-Entropy Spectra for Cu-based Alloys</w:t>
      </w:r>
      <w:r w:rsidR="00D1260D" w:rsidRPr="00ED6690">
        <w:rPr>
          <w:rFonts w:ascii="Times New Roman" w:hAnsi="Times New Roman" w:cs="Times New Roman"/>
          <w:b/>
          <w:bCs/>
          <w:szCs w:val="24"/>
        </w:rPr>
        <w:t xml:space="preserve"> in eV and eV/K respectively</w:t>
      </w:r>
      <w:r w:rsidRPr="00ED6690">
        <w:rPr>
          <w:rFonts w:ascii="Times New Roman" w:hAnsi="Times New Roman" w:cs="Times New Roman"/>
          <w:b/>
          <w:bCs/>
          <w:szCs w:val="24"/>
        </w:rPr>
        <w:t xml:space="preserve"> (cont., 2).</w:t>
      </w:r>
    </w:p>
    <w:p w14:paraId="6909E6DB" w14:textId="3FACF6BF" w:rsidR="009902C0" w:rsidRPr="00ED6690" w:rsidRDefault="00C5676D" w:rsidP="009902C0">
      <w:pPr>
        <w:rPr>
          <w:rFonts w:ascii="Times New Roman" w:hAnsi="Times New Roman" w:cs="Times New Roman"/>
          <w:b/>
          <w:bCs/>
          <w:szCs w:val="24"/>
        </w:rPr>
      </w:pPr>
      <w:r>
        <w:rPr>
          <w:noProof/>
        </w:rPr>
        <w:drawing>
          <wp:inline distT="0" distB="0" distL="0" distR="0" wp14:anchorId="48BB158F" wp14:editId="43403346">
            <wp:extent cx="5486398" cy="7315198"/>
            <wp:effectExtent l="0" t="0" r="635" b="635"/>
            <wp:docPr id="67181157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811570" name="Picture 8"/>
                    <pic:cNvPicPr>
                      <a:picLocks noChangeAspect="1" noChangeArrowheads="1"/>
                    </pic:cNvPicPr>
                  </pic:nvPicPr>
                  <pic:blipFill>
                    <a:blip r:embed="rId42" cstate="print">
                      <a:extLst>
                        <a:ext uri="{28A0092B-C50C-407E-A947-70E740481C1C}">
                          <a14:useLocalDpi xmlns:a14="http://schemas.microsoft.com/office/drawing/2010/main" val="0"/>
                        </a:ext>
                      </a:extLst>
                    </a:blip>
                    <a:stretch>
                      <a:fillRect/>
                    </a:stretch>
                  </pic:blipFill>
                  <pic:spPr bwMode="auto">
                    <a:xfrm>
                      <a:off x="0" y="0"/>
                      <a:ext cx="5486398" cy="7315198"/>
                    </a:xfrm>
                    <a:prstGeom prst="rect">
                      <a:avLst/>
                    </a:prstGeom>
                    <a:noFill/>
                    <a:ln>
                      <a:noFill/>
                    </a:ln>
                  </pic:spPr>
                </pic:pic>
              </a:graphicData>
            </a:graphic>
          </wp:inline>
        </w:drawing>
      </w:r>
    </w:p>
    <w:p w14:paraId="0D579BE8" w14:textId="7BC66436" w:rsidR="009902C0" w:rsidRPr="00ED6690" w:rsidRDefault="009902C0" w:rsidP="009902C0">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35</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Segregation Energy-Entropy Spectra for Cu-based Alloys</w:t>
      </w:r>
      <w:r w:rsidR="00D1260D" w:rsidRPr="00ED6690">
        <w:rPr>
          <w:rFonts w:ascii="Times New Roman" w:hAnsi="Times New Roman" w:cs="Times New Roman"/>
          <w:b/>
          <w:bCs/>
          <w:szCs w:val="24"/>
        </w:rPr>
        <w:t xml:space="preserve"> in eV and eV/K respectively</w:t>
      </w:r>
      <w:r w:rsidRPr="00ED6690">
        <w:rPr>
          <w:rFonts w:ascii="Times New Roman" w:hAnsi="Times New Roman" w:cs="Times New Roman"/>
          <w:b/>
          <w:bCs/>
          <w:szCs w:val="24"/>
        </w:rPr>
        <w:t xml:space="preserve"> (cont., 3).</w:t>
      </w:r>
    </w:p>
    <w:p w14:paraId="2073B60B" w14:textId="4FA4D28B" w:rsidR="009902C0" w:rsidRPr="00ED6690" w:rsidRDefault="00C5676D" w:rsidP="009902C0">
      <w:pPr>
        <w:rPr>
          <w:rFonts w:ascii="Times New Roman" w:hAnsi="Times New Roman" w:cs="Times New Roman"/>
          <w:b/>
          <w:bCs/>
          <w:szCs w:val="24"/>
        </w:rPr>
      </w:pPr>
      <w:r>
        <w:rPr>
          <w:noProof/>
        </w:rPr>
        <w:drawing>
          <wp:inline distT="0" distB="0" distL="0" distR="0" wp14:anchorId="4C99DAC2" wp14:editId="3E6A8C76">
            <wp:extent cx="5486398" cy="7315198"/>
            <wp:effectExtent l="0" t="0" r="635" b="635"/>
            <wp:docPr id="80143409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434098" name="Picture 9"/>
                    <pic:cNvPicPr>
                      <a:picLocks noChangeAspect="1" noChangeArrowheads="1"/>
                    </pic:cNvPicPr>
                  </pic:nvPicPr>
                  <pic:blipFill>
                    <a:blip r:embed="rId43" cstate="print">
                      <a:extLst>
                        <a:ext uri="{28A0092B-C50C-407E-A947-70E740481C1C}">
                          <a14:useLocalDpi xmlns:a14="http://schemas.microsoft.com/office/drawing/2010/main" val="0"/>
                        </a:ext>
                      </a:extLst>
                    </a:blip>
                    <a:stretch>
                      <a:fillRect/>
                    </a:stretch>
                  </pic:blipFill>
                  <pic:spPr bwMode="auto">
                    <a:xfrm>
                      <a:off x="0" y="0"/>
                      <a:ext cx="5486398" cy="7315198"/>
                    </a:xfrm>
                    <a:prstGeom prst="rect">
                      <a:avLst/>
                    </a:prstGeom>
                    <a:noFill/>
                    <a:ln>
                      <a:noFill/>
                    </a:ln>
                  </pic:spPr>
                </pic:pic>
              </a:graphicData>
            </a:graphic>
          </wp:inline>
        </w:drawing>
      </w:r>
    </w:p>
    <w:p w14:paraId="121B8496" w14:textId="2B863391" w:rsidR="009902C0" w:rsidRPr="00ED6690" w:rsidRDefault="009902C0" w:rsidP="009902C0">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36</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Segregation Energy-Entropy Spectra for Ni-based Alloys</w:t>
      </w:r>
      <w:r w:rsidR="00D1260D" w:rsidRPr="00ED6690">
        <w:rPr>
          <w:rFonts w:ascii="Times New Roman" w:hAnsi="Times New Roman" w:cs="Times New Roman"/>
          <w:b/>
          <w:bCs/>
          <w:szCs w:val="24"/>
        </w:rPr>
        <w:t xml:space="preserve"> in eV and eV/K respectively.</w:t>
      </w:r>
    </w:p>
    <w:p w14:paraId="2990CBB4" w14:textId="04690AAC" w:rsidR="009902C0" w:rsidRPr="00ED6690" w:rsidRDefault="00C5676D" w:rsidP="009902C0">
      <w:pPr>
        <w:rPr>
          <w:rFonts w:ascii="Times New Roman" w:hAnsi="Times New Roman" w:cs="Times New Roman"/>
          <w:b/>
          <w:bCs/>
          <w:szCs w:val="24"/>
        </w:rPr>
      </w:pPr>
      <w:r>
        <w:rPr>
          <w:noProof/>
        </w:rPr>
        <w:drawing>
          <wp:inline distT="0" distB="0" distL="0" distR="0" wp14:anchorId="1E91190E" wp14:editId="15E74E6F">
            <wp:extent cx="5486398" cy="7315198"/>
            <wp:effectExtent l="0" t="0" r="635" b="635"/>
            <wp:docPr id="791650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6505" name="Picture 10"/>
                    <pic:cNvPicPr>
                      <a:picLocks noChangeAspect="1" noChangeArrowheads="1"/>
                    </pic:cNvPicPr>
                  </pic:nvPicPr>
                  <pic:blipFill>
                    <a:blip r:embed="rId44" cstate="print">
                      <a:extLst>
                        <a:ext uri="{28A0092B-C50C-407E-A947-70E740481C1C}">
                          <a14:useLocalDpi xmlns:a14="http://schemas.microsoft.com/office/drawing/2010/main" val="0"/>
                        </a:ext>
                      </a:extLst>
                    </a:blip>
                    <a:stretch>
                      <a:fillRect/>
                    </a:stretch>
                  </pic:blipFill>
                  <pic:spPr bwMode="auto">
                    <a:xfrm>
                      <a:off x="0" y="0"/>
                      <a:ext cx="5486398" cy="7315198"/>
                    </a:xfrm>
                    <a:prstGeom prst="rect">
                      <a:avLst/>
                    </a:prstGeom>
                    <a:noFill/>
                    <a:ln>
                      <a:noFill/>
                    </a:ln>
                  </pic:spPr>
                </pic:pic>
              </a:graphicData>
            </a:graphic>
          </wp:inline>
        </w:drawing>
      </w:r>
    </w:p>
    <w:p w14:paraId="23AFBAC8" w14:textId="2202BA2D" w:rsidR="009902C0" w:rsidRPr="00ED6690" w:rsidRDefault="009902C0" w:rsidP="009902C0">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37</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Segregation Energy-Entropy Spectra for Ni-based Alloys</w:t>
      </w:r>
      <w:r w:rsidR="00D1260D" w:rsidRPr="00ED6690">
        <w:rPr>
          <w:rFonts w:ascii="Times New Roman" w:hAnsi="Times New Roman" w:cs="Times New Roman"/>
          <w:b/>
          <w:bCs/>
          <w:szCs w:val="24"/>
        </w:rPr>
        <w:t xml:space="preserve"> in eV and eV/K respectively</w:t>
      </w:r>
      <w:r w:rsidRPr="00ED6690">
        <w:rPr>
          <w:rFonts w:ascii="Times New Roman" w:hAnsi="Times New Roman" w:cs="Times New Roman"/>
          <w:b/>
          <w:bCs/>
          <w:szCs w:val="24"/>
        </w:rPr>
        <w:t xml:space="preserve"> (cont., 2).</w:t>
      </w:r>
    </w:p>
    <w:p w14:paraId="5C76D53F" w14:textId="4B2B2D07" w:rsidR="009902C0" w:rsidRPr="00ED6690" w:rsidRDefault="00C5676D" w:rsidP="009902C0">
      <w:pPr>
        <w:rPr>
          <w:rFonts w:ascii="Times New Roman" w:hAnsi="Times New Roman" w:cs="Times New Roman"/>
          <w:b/>
          <w:bCs/>
          <w:szCs w:val="24"/>
        </w:rPr>
      </w:pPr>
      <w:r>
        <w:rPr>
          <w:noProof/>
        </w:rPr>
        <w:drawing>
          <wp:inline distT="0" distB="0" distL="0" distR="0" wp14:anchorId="46FE13FE" wp14:editId="0BE860B2">
            <wp:extent cx="5486398" cy="7315198"/>
            <wp:effectExtent l="0" t="0" r="635" b="635"/>
            <wp:docPr id="20155078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507812" name="Picture 11"/>
                    <pic:cNvPicPr>
                      <a:picLocks noChangeAspect="1" noChangeArrowheads="1"/>
                    </pic:cNvPicPr>
                  </pic:nvPicPr>
                  <pic:blipFill>
                    <a:blip r:embed="rId45" cstate="print">
                      <a:extLst>
                        <a:ext uri="{28A0092B-C50C-407E-A947-70E740481C1C}">
                          <a14:useLocalDpi xmlns:a14="http://schemas.microsoft.com/office/drawing/2010/main" val="0"/>
                        </a:ext>
                      </a:extLst>
                    </a:blip>
                    <a:stretch>
                      <a:fillRect/>
                    </a:stretch>
                  </pic:blipFill>
                  <pic:spPr bwMode="auto">
                    <a:xfrm>
                      <a:off x="0" y="0"/>
                      <a:ext cx="5486398" cy="7315198"/>
                    </a:xfrm>
                    <a:prstGeom prst="rect">
                      <a:avLst/>
                    </a:prstGeom>
                    <a:noFill/>
                    <a:ln>
                      <a:noFill/>
                    </a:ln>
                  </pic:spPr>
                </pic:pic>
              </a:graphicData>
            </a:graphic>
          </wp:inline>
        </w:drawing>
      </w:r>
    </w:p>
    <w:p w14:paraId="279D3FDB" w14:textId="7ED412A3" w:rsidR="009902C0" w:rsidRPr="00ED6690" w:rsidRDefault="009902C0" w:rsidP="009902C0">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38</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Segregation Energy-Entropy Spectra for Ni-based Alloys</w:t>
      </w:r>
      <w:r w:rsidR="00D1260D" w:rsidRPr="00ED6690">
        <w:rPr>
          <w:rFonts w:ascii="Times New Roman" w:hAnsi="Times New Roman" w:cs="Times New Roman"/>
          <w:b/>
          <w:bCs/>
          <w:szCs w:val="24"/>
        </w:rPr>
        <w:t xml:space="preserve"> in eV and eV/K respectively</w:t>
      </w:r>
      <w:r w:rsidRPr="00ED6690">
        <w:rPr>
          <w:rFonts w:ascii="Times New Roman" w:hAnsi="Times New Roman" w:cs="Times New Roman"/>
          <w:b/>
          <w:bCs/>
          <w:szCs w:val="24"/>
        </w:rPr>
        <w:t xml:space="preserve"> (cont., 3).</w:t>
      </w:r>
    </w:p>
    <w:p w14:paraId="17DAE988" w14:textId="380CBEBA" w:rsidR="009902C0" w:rsidRPr="00ED6690" w:rsidRDefault="00C5676D" w:rsidP="009902C0">
      <w:pPr>
        <w:rPr>
          <w:rFonts w:ascii="Times New Roman" w:hAnsi="Times New Roman" w:cs="Times New Roman"/>
          <w:b/>
          <w:bCs/>
          <w:szCs w:val="24"/>
        </w:rPr>
      </w:pPr>
      <w:r>
        <w:rPr>
          <w:noProof/>
        </w:rPr>
        <w:drawing>
          <wp:inline distT="0" distB="0" distL="0" distR="0" wp14:anchorId="4819056F" wp14:editId="3121B4BC">
            <wp:extent cx="5486398" cy="7315198"/>
            <wp:effectExtent l="0" t="0" r="635" b="635"/>
            <wp:docPr id="146582595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825950" name="Picture 12"/>
                    <pic:cNvPicPr>
                      <a:picLocks noChangeAspect="1" noChangeArrowheads="1"/>
                    </pic:cNvPicPr>
                  </pic:nvPicPr>
                  <pic:blipFill>
                    <a:blip r:embed="rId46" cstate="print">
                      <a:extLst>
                        <a:ext uri="{28A0092B-C50C-407E-A947-70E740481C1C}">
                          <a14:useLocalDpi xmlns:a14="http://schemas.microsoft.com/office/drawing/2010/main" val="0"/>
                        </a:ext>
                      </a:extLst>
                    </a:blip>
                    <a:stretch>
                      <a:fillRect/>
                    </a:stretch>
                  </pic:blipFill>
                  <pic:spPr bwMode="auto">
                    <a:xfrm>
                      <a:off x="0" y="0"/>
                      <a:ext cx="5486398" cy="7315198"/>
                    </a:xfrm>
                    <a:prstGeom prst="rect">
                      <a:avLst/>
                    </a:prstGeom>
                    <a:noFill/>
                    <a:ln>
                      <a:noFill/>
                    </a:ln>
                  </pic:spPr>
                </pic:pic>
              </a:graphicData>
            </a:graphic>
          </wp:inline>
        </w:drawing>
      </w:r>
    </w:p>
    <w:p w14:paraId="443DCD83" w14:textId="1803A754" w:rsidR="009902C0" w:rsidRPr="00ED6690" w:rsidRDefault="009902C0" w:rsidP="009902C0">
      <w:pPr>
        <w:rPr>
          <w:rFonts w:ascii="Times New Roman" w:hAnsi="Times New Roman" w:cs="Times New Roman"/>
          <w:b/>
          <w:bCs/>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39</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Segregation Energy-Entropy Spectra for Ni-based Alloys</w:t>
      </w:r>
      <w:r w:rsidR="00D1260D" w:rsidRPr="00ED6690">
        <w:rPr>
          <w:rFonts w:ascii="Times New Roman" w:hAnsi="Times New Roman" w:cs="Times New Roman"/>
          <w:b/>
          <w:bCs/>
          <w:szCs w:val="24"/>
        </w:rPr>
        <w:t xml:space="preserve"> in eV and eV/K respectively</w:t>
      </w:r>
      <w:r w:rsidRPr="00ED6690">
        <w:rPr>
          <w:rFonts w:ascii="Times New Roman" w:hAnsi="Times New Roman" w:cs="Times New Roman"/>
          <w:b/>
          <w:bCs/>
          <w:szCs w:val="24"/>
        </w:rPr>
        <w:t xml:space="preserve"> (cont., 4).</w:t>
      </w:r>
    </w:p>
    <w:p w14:paraId="44BA37FF" w14:textId="79C9972B" w:rsidR="009902C0" w:rsidRDefault="00F45476" w:rsidP="009902C0">
      <w:pPr>
        <w:rPr>
          <w:rFonts w:ascii="Times New Roman" w:hAnsi="Times New Roman" w:cs="Times New Roman"/>
          <w:b/>
          <w:bCs/>
          <w:szCs w:val="24"/>
        </w:rPr>
      </w:pPr>
      <w:r>
        <w:rPr>
          <w:noProof/>
        </w:rPr>
        <w:drawing>
          <wp:inline distT="0" distB="0" distL="0" distR="0" wp14:anchorId="05C175A7" wp14:editId="6E9D1EE0">
            <wp:extent cx="5496681" cy="1852551"/>
            <wp:effectExtent l="0" t="0" r="0" b="0"/>
            <wp:docPr id="112143109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431098" name="Picture 13"/>
                    <pic:cNvPicPr>
                      <a:picLocks noChangeAspect="1" noChangeArrowheads="1"/>
                    </pic:cNvPicPr>
                  </pic:nvPicPr>
                  <pic:blipFill>
                    <a:blip r:embed="rId47" cstate="print">
                      <a:extLst>
                        <a:ext uri="{28A0092B-C50C-407E-A947-70E740481C1C}">
                          <a14:useLocalDpi xmlns:a14="http://schemas.microsoft.com/office/drawing/2010/main" val="0"/>
                        </a:ext>
                      </a:extLst>
                    </a:blip>
                    <a:stretch>
                      <a:fillRect/>
                    </a:stretch>
                  </pic:blipFill>
                  <pic:spPr bwMode="auto">
                    <a:xfrm>
                      <a:off x="0" y="0"/>
                      <a:ext cx="5520750" cy="1860663"/>
                    </a:xfrm>
                    <a:prstGeom prst="rect">
                      <a:avLst/>
                    </a:prstGeom>
                    <a:noFill/>
                    <a:ln>
                      <a:noFill/>
                    </a:ln>
                  </pic:spPr>
                </pic:pic>
              </a:graphicData>
            </a:graphic>
          </wp:inline>
        </w:drawing>
      </w:r>
    </w:p>
    <w:p w14:paraId="081EE9E9" w14:textId="22DF4002" w:rsidR="00165049" w:rsidRPr="00ED6690" w:rsidRDefault="00165049" w:rsidP="00165049">
      <w:pPr>
        <w:rPr>
          <w:rFonts w:ascii="Times New Roman" w:hAnsi="Times New Roman" w:cs="Times New Roman"/>
          <w:b/>
          <w:bCs/>
          <w:szCs w:val="24"/>
        </w:rPr>
      </w:pPr>
      <w:r w:rsidRPr="00ED6690">
        <w:rPr>
          <w:rFonts w:ascii="Times New Roman" w:hAnsi="Times New Roman" w:cs="Times New Roman"/>
          <w:b/>
          <w:bCs/>
          <w:szCs w:val="24"/>
        </w:rPr>
        <w:t xml:space="preserve">Fig. </w:t>
      </w:r>
      <w:r>
        <w:rPr>
          <w:rFonts w:ascii="Times New Roman" w:hAnsi="Times New Roman" w:cs="Times New Roman"/>
          <w:b/>
          <w:bCs/>
          <w:szCs w:val="24"/>
        </w:rPr>
        <w:t>S</w:t>
      </w:r>
      <w:r>
        <w:rPr>
          <w:rFonts w:ascii="Times New Roman" w:hAnsi="Times New Roman" w:cs="Times New Roman"/>
          <w:b/>
          <w:bCs/>
          <w:szCs w:val="24"/>
        </w:rPr>
        <w:fldChar w:fldCharType="begin"/>
      </w:r>
      <w:r>
        <w:rPr>
          <w:rFonts w:ascii="Times New Roman" w:hAnsi="Times New Roman" w:cs="Times New Roman"/>
          <w:b/>
          <w:bCs/>
          <w:szCs w:val="24"/>
        </w:rPr>
        <w:instrText xml:space="preserve"> SEQ Figure \* ARABIC </w:instrText>
      </w:r>
      <w:r>
        <w:rPr>
          <w:rFonts w:ascii="Times New Roman" w:hAnsi="Times New Roman" w:cs="Times New Roman"/>
          <w:b/>
          <w:bCs/>
          <w:szCs w:val="24"/>
        </w:rPr>
        <w:fldChar w:fldCharType="separate"/>
      </w:r>
      <w:r w:rsidR="00C8038C">
        <w:rPr>
          <w:rFonts w:ascii="Times New Roman" w:hAnsi="Times New Roman" w:cs="Times New Roman"/>
          <w:b/>
          <w:bCs/>
          <w:noProof/>
          <w:szCs w:val="24"/>
        </w:rPr>
        <w:t>40</w:t>
      </w:r>
      <w:r>
        <w:rPr>
          <w:rFonts w:ascii="Times New Roman" w:hAnsi="Times New Roman" w:cs="Times New Roman"/>
          <w:b/>
          <w:bCs/>
          <w:szCs w:val="24"/>
        </w:rPr>
        <w:fldChar w:fldCharType="end"/>
      </w:r>
      <w:r>
        <w:rPr>
          <w:rFonts w:ascii="Times New Roman" w:hAnsi="Times New Roman" w:cs="Times New Roman"/>
          <w:b/>
          <w:bCs/>
          <w:szCs w:val="24"/>
        </w:rPr>
        <w:t xml:space="preserve"> </w:t>
      </w:r>
      <w:r w:rsidRPr="00ED6690">
        <w:rPr>
          <w:rFonts w:ascii="Times New Roman" w:hAnsi="Times New Roman" w:cs="Times New Roman"/>
          <w:b/>
          <w:bCs/>
          <w:szCs w:val="24"/>
        </w:rPr>
        <w:t xml:space="preserve">Segregation Energy-Entropy Spectra for Ni-based Alloys in eV and eV/K respectively (cont., </w:t>
      </w:r>
      <w:r w:rsidR="00F45476">
        <w:rPr>
          <w:rFonts w:ascii="Times New Roman" w:hAnsi="Times New Roman" w:cs="Times New Roman"/>
          <w:b/>
          <w:bCs/>
          <w:szCs w:val="24"/>
        </w:rPr>
        <w:t>5</w:t>
      </w:r>
      <w:r w:rsidRPr="00ED6690">
        <w:rPr>
          <w:rFonts w:ascii="Times New Roman" w:hAnsi="Times New Roman" w:cs="Times New Roman"/>
          <w:b/>
          <w:bCs/>
          <w:szCs w:val="24"/>
        </w:rPr>
        <w:t>).</w:t>
      </w:r>
    </w:p>
    <w:p w14:paraId="05753886" w14:textId="77777777" w:rsidR="00165049" w:rsidRPr="00ED6690" w:rsidRDefault="00165049" w:rsidP="009902C0">
      <w:pPr>
        <w:rPr>
          <w:rFonts w:ascii="Times New Roman" w:hAnsi="Times New Roman" w:cs="Times New Roman"/>
          <w:b/>
          <w:bCs/>
          <w:szCs w:val="24"/>
        </w:rPr>
      </w:pPr>
    </w:p>
    <w:p w14:paraId="050C8CBB" w14:textId="488D4639" w:rsidR="00A86F96" w:rsidRPr="00ED6690" w:rsidRDefault="00F45476" w:rsidP="00A86F96">
      <w:pPr>
        <w:rPr>
          <w:rFonts w:ascii="Times New Roman" w:hAnsi="Times New Roman" w:cs="Times New Roman"/>
          <w:b/>
          <w:bCs/>
          <w:szCs w:val="24"/>
        </w:rPr>
      </w:pPr>
      <w:r>
        <w:rPr>
          <w:noProof/>
        </w:rPr>
        <w:drawing>
          <wp:inline distT="0" distB="0" distL="0" distR="0" wp14:anchorId="77BF2D3C" wp14:editId="04A789B5">
            <wp:extent cx="5486398" cy="7315198"/>
            <wp:effectExtent l="0" t="0" r="635" b="635"/>
            <wp:docPr id="10376251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62513" name="Picture 14"/>
                    <pic:cNvPicPr>
                      <a:picLocks noChangeAspect="1" noChangeArrowheads="1"/>
                    </pic:cNvPicPr>
                  </pic:nvPicPr>
                  <pic:blipFill>
                    <a:blip r:embed="rId48" cstate="print">
                      <a:extLst>
                        <a:ext uri="{28A0092B-C50C-407E-A947-70E740481C1C}">
                          <a14:useLocalDpi xmlns:a14="http://schemas.microsoft.com/office/drawing/2010/main" val="0"/>
                        </a:ext>
                      </a:extLst>
                    </a:blip>
                    <a:stretch>
                      <a:fillRect/>
                    </a:stretch>
                  </pic:blipFill>
                  <pic:spPr bwMode="auto">
                    <a:xfrm>
                      <a:off x="0" y="0"/>
                      <a:ext cx="5486398" cy="7315198"/>
                    </a:xfrm>
                    <a:prstGeom prst="rect">
                      <a:avLst/>
                    </a:prstGeom>
                    <a:noFill/>
                    <a:ln>
                      <a:noFill/>
                    </a:ln>
                  </pic:spPr>
                </pic:pic>
              </a:graphicData>
            </a:graphic>
          </wp:inline>
        </w:drawing>
      </w:r>
    </w:p>
    <w:p w14:paraId="4D7FA7B1" w14:textId="22A98824" w:rsidR="00A86F96" w:rsidRPr="00ED6690" w:rsidRDefault="00A86F96" w:rsidP="00A86F96">
      <w:pPr>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41</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Segregation Energy-Entropy Spectra for </w:t>
      </w:r>
      <w:r>
        <w:rPr>
          <w:rFonts w:ascii="Times New Roman" w:hAnsi="Times New Roman" w:cs="Times New Roman"/>
          <w:b/>
          <w:bCs/>
          <w:szCs w:val="24"/>
        </w:rPr>
        <w:t>Pd</w:t>
      </w:r>
      <w:r w:rsidRPr="00ED6690">
        <w:rPr>
          <w:rFonts w:ascii="Times New Roman" w:hAnsi="Times New Roman" w:cs="Times New Roman"/>
          <w:b/>
          <w:bCs/>
          <w:szCs w:val="24"/>
        </w:rPr>
        <w:t>-based Alloys in eV and eV/K respectively</w:t>
      </w:r>
      <w:r>
        <w:rPr>
          <w:rFonts w:ascii="Times New Roman" w:hAnsi="Times New Roman" w:cs="Times New Roman"/>
          <w:b/>
          <w:bCs/>
          <w:szCs w:val="24"/>
        </w:rPr>
        <w:t>.</w:t>
      </w:r>
    </w:p>
    <w:p w14:paraId="4B156F45" w14:textId="61B0F21F" w:rsidR="00A86F96" w:rsidRPr="00ED6690" w:rsidRDefault="00F45476" w:rsidP="00A86F96">
      <w:pPr>
        <w:rPr>
          <w:rFonts w:ascii="Times New Roman" w:hAnsi="Times New Roman" w:cs="Times New Roman"/>
          <w:b/>
          <w:bCs/>
          <w:szCs w:val="24"/>
        </w:rPr>
      </w:pPr>
      <w:r>
        <w:rPr>
          <w:noProof/>
        </w:rPr>
        <w:drawing>
          <wp:inline distT="0" distB="0" distL="0" distR="0" wp14:anchorId="4137E8CF" wp14:editId="56795A10">
            <wp:extent cx="5486398" cy="7315198"/>
            <wp:effectExtent l="0" t="0" r="635" b="635"/>
            <wp:docPr id="89117066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170669" name="Picture 15"/>
                    <pic:cNvPicPr>
                      <a:picLocks noChangeAspect="1" noChangeArrowheads="1"/>
                    </pic:cNvPicPr>
                  </pic:nvPicPr>
                  <pic:blipFill>
                    <a:blip r:embed="rId49" cstate="print">
                      <a:extLst>
                        <a:ext uri="{28A0092B-C50C-407E-A947-70E740481C1C}">
                          <a14:useLocalDpi xmlns:a14="http://schemas.microsoft.com/office/drawing/2010/main" val="0"/>
                        </a:ext>
                      </a:extLst>
                    </a:blip>
                    <a:stretch>
                      <a:fillRect/>
                    </a:stretch>
                  </pic:blipFill>
                  <pic:spPr bwMode="auto">
                    <a:xfrm>
                      <a:off x="0" y="0"/>
                      <a:ext cx="5486398" cy="7315198"/>
                    </a:xfrm>
                    <a:prstGeom prst="rect">
                      <a:avLst/>
                    </a:prstGeom>
                    <a:noFill/>
                    <a:ln>
                      <a:noFill/>
                    </a:ln>
                  </pic:spPr>
                </pic:pic>
              </a:graphicData>
            </a:graphic>
          </wp:inline>
        </w:drawing>
      </w:r>
    </w:p>
    <w:p w14:paraId="105A92AB" w14:textId="5CD88FB0" w:rsidR="00A86F96" w:rsidRPr="00ED6690" w:rsidRDefault="00A86F96" w:rsidP="00A86F96">
      <w:pPr>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42</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Segregation Energy-Entropy Spectra for </w:t>
      </w:r>
      <w:r>
        <w:rPr>
          <w:rFonts w:ascii="Times New Roman" w:hAnsi="Times New Roman" w:cs="Times New Roman"/>
          <w:b/>
          <w:bCs/>
          <w:szCs w:val="24"/>
        </w:rPr>
        <w:t>Pt</w:t>
      </w:r>
      <w:r w:rsidRPr="00ED6690">
        <w:rPr>
          <w:rFonts w:ascii="Times New Roman" w:hAnsi="Times New Roman" w:cs="Times New Roman"/>
          <w:b/>
          <w:bCs/>
          <w:szCs w:val="24"/>
        </w:rPr>
        <w:t>-based Alloys in eV and eV/K respectively</w:t>
      </w:r>
      <w:r>
        <w:rPr>
          <w:rFonts w:ascii="Times New Roman" w:hAnsi="Times New Roman" w:cs="Times New Roman"/>
          <w:b/>
          <w:bCs/>
          <w:szCs w:val="24"/>
        </w:rPr>
        <w:t>.</w:t>
      </w:r>
    </w:p>
    <w:p w14:paraId="1EE934B5" w14:textId="77777777" w:rsidR="00AF3431" w:rsidRPr="00ED6690" w:rsidRDefault="00AF3431" w:rsidP="000A45F1">
      <w:pPr>
        <w:rPr>
          <w:rFonts w:ascii="Times New Roman" w:hAnsi="Times New Roman" w:cs="Times New Roman"/>
          <w:b/>
          <w:bCs/>
          <w:szCs w:val="24"/>
        </w:rPr>
      </w:pPr>
    </w:p>
    <w:p w14:paraId="6B2AE4B4" w14:textId="5154D3BF" w:rsidR="00F97ADD" w:rsidRPr="00ED6690" w:rsidRDefault="008C02B4" w:rsidP="00F97ADD">
      <w:pPr>
        <w:pStyle w:val="ListParagraph"/>
        <w:numPr>
          <w:ilvl w:val="0"/>
          <w:numId w:val="1"/>
        </w:numPr>
        <w:rPr>
          <w:rFonts w:ascii="Times New Roman" w:hAnsi="Times New Roman" w:cs="Times New Roman"/>
          <w:b/>
          <w:bCs/>
          <w:szCs w:val="24"/>
        </w:rPr>
      </w:pPr>
      <w:r>
        <w:rPr>
          <w:rFonts w:ascii="Times New Roman" w:hAnsi="Times New Roman" w:cs="Times New Roman"/>
          <w:b/>
          <w:bCs/>
          <w:szCs w:val="24"/>
        </w:rPr>
        <w:t xml:space="preserve">Isotherm </w:t>
      </w:r>
      <w:r w:rsidR="00F97ADD" w:rsidRPr="00ED6690">
        <w:rPr>
          <w:rFonts w:ascii="Times New Roman" w:hAnsi="Times New Roman" w:cs="Times New Roman"/>
          <w:b/>
          <w:bCs/>
          <w:szCs w:val="24"/>
        </w:rPr>
        <w:t>Software</w:t>
      </w:r>
    </w:p>
    <w:p w14:paraId="6794B5B0" w14:textId="01C14AB6" w:rsidR="00F97ADD" w:rsidRPr="00ED6690" w:rsidRDefault="00DA101D" w:rsidP="00795768">
      <w:pPr>
        <w:ind w:firstLine="360"/>
        <w:jc w:val="both"/>
        <w:rPr>
          <w:rFonts w:ascii="Times New Roman" w:hAnsi="Times New Roman" w:cs="Times New Roman"/>
          <w:szCs w:val="24"/>
        </w:rPr>
      </w:pPr>
      <w:r w:rsidRPr="00ED6690">
        <w:rPr>
          <w:rFonts w:ascii="Times New Roman" w:hAnsi="Times New Roman" w:cs="Times New Roman"/>
          <w:szCs w:val="24"/>
        </w:rPr>
        <w:t xml:space="preserve">Two types of solver </w:t>
      </w:r>
      <w:r w:rsidR="00B270D2" w:rsidRPr="00ED6690">
        <w:rPr>
          <w:rFonts w:ascii="Times New Roman" w:hAnsi="Times New Roman" w:cs="Times New Roman"/>
          <w:szCs w:val="24"/>
        </w:rPr>
        <w:t xml:space="preserve">are included in the attached </w:t>
      </w:r>
      <w:proofErr w:type="spellStart"/>
      <w:r w:rsidR="00B270D2" w:rsidRPr="00ED6690">
        <w:rPr>
          <w:rFonts w:ascii="Times New Roman" w:hAnsi="Times New Roman" w:cs="Times New Roman"/>
          <w:szCs w:val="24"/>
        </w:rPr>
        <w:t>Jupyter</w:t>
      </w:r>
      <w:proofErr w:type="spellEnd"/>
      <w:r w:rsidR="00B270D2" w:rsidRPr="00ED6690">
        <w:rPr>
          <w:rFonts w:ascii="Times New Roman" w:hAnsi="Times New Roman" w:cs="Times New Roman"/>
          <w:szCs w:val="24"/>
        </w:rPr>
        <w:t xml:space="preserve"> notebook</w:t>
      </w:r>
      <w:r w:rsidR="003B7A18" w:rsidRPr="00ED6690">
        <w:rPr>
          <w:rFonts w:ascii="Times New Roman" w:hAnsi="Times New Roman" w:cs="Times New Roman"/>
          <w:szCs w:val="24"/>
        </w:rPr>
        <w:t xml:space="preserve"> with the Python packages</w:t>
      </w:r>
      <w:r w:rsidR="003B7A18" w:rsidRPr="00ED6690">
        <w:rPr>
          <w:rFonts w:ascii="Times New Roman" w:hAnsi="Times New Roman" w:cs="Times New Roman"/>
          <w:szCs w:val="24"/>
        </w:rPr>
        <w:fldChar w:fldCharType="begin"/>
      </w:r>
      <w:r w:rsidR="00052644">
        <w:rPr>
          <w:rFonts w:ascii="Times New Roman" w:hAnsi="Times New Roman" w:cs="Times New Roman"/>
          <w:szCs w:val="24"/>
        </w:rPr>
        <w:instrText xml:space="preserve"> ADDIN ZOTERO_ITEM CSL_CITATION {"citationID":"hehNTsrs","properties":{"formattedCitation":"\\super 61\\uc0\\u8211{}69\\nosupersub{}","plainCitation":"61–69","noteIndex":0},"citationItems":[{"id":1158,"uris":["http://zotero.org/users/5159096/items/Z252FK4V"],"itemData":{"id":1158,"type":"article-journal","abstract":"SciPy is an open-source scientific computing library for the Python programming language. Since its initial release in 2001, SciPy has become a de facto standard for leveraging scientific algorithms in Python, with over 600 unique code contributors, thousands of dependent packages, over 100,000 dependent repositories and millions of downloads per year. In this work, we provide an overview of the capabilities and development practices of SciPy 1.0 and highlight some recent technical developments.","container-title":"Nature Methods","DOI":"10.1038/s41592-019-0686-2","ISSN":"1548-7105","issue":"3","journalAbbreviation":"Nature Methods","page":"261-272","title":"SciPy 1.0: fundamental algorithms for scientific computing in Python","volume":"17","author":[{"family":"Virtanen","given":"Pauli"},{"family":"Gommers","given":"Ralf"},{"family":"Oliphant","given":"Travis E."},{"family":"Haberland","given":"Matt"},{"family":"Reddy","given":"Tyler"},{"family":"Cournapeau","given":"David"},{"family":"Burovski","given":"Evgeni"},{"family":"Peterson","given":"Pearu"},{"family":"Weckesser","given":"Warren"},{"family":"Bright","given":"Jonathan"},{"family":"Walt","given":"Stéfan J.","non-dropping-particle":"van der"},{"family":"Brett","given":"Matthew"},{"family":"Wilson","given":"Joshua"},{"family":"Millman","given":"K. Jarrod"},{"family":"Mayorov","given":"Nikolay"},{"family":"Nelson","given":"Andrew R. J."},{"family":"Jones","given":"Eric"},{"family":"Kern","given":"Robert"},{"family":"Larson","given":"Eric"},{"family":"Carey","given":"C. J."},{"family":"Polat","given":"İlhan"},{"family":"Feng","given":"Yu"},{"family":"Moore","given":"Eric W."},{"family":"VanderPlas","given":"Jake"},{"family":"Laxalde","given":"Denis"},{"family":"Perktold","given":"Josef"},{"family":"Cimrman","given":"Robert"},{"family":"Henriksen","given":"Ian"},{"family":"Quintero","given":"E. A."},{"family":"Harris","given":"Charles R."},{"family":"Archibald","given":"Anne M."},{"family":"Ribeiro","given":"Antônio H."},{"family":"Pedregosa","given":"Fabian"},{"family":"Mulbregt","given":"Paul","non-dropping-particle":"van"},{"family":"Vijaykumar","given":"Aditya"},{"family":"Bardelli","given":"Alessandro Pietro"},{"family":"Rothberg","given":"Alex"},{"family":"Hilboll","given":"Andreas"},{"family":"Kloeckner","given":"Andreas"},{"family":"Scopatz","given":"Anthony"},{"family":"Lee","given":"Antony"},{"family":"Rokem","given":"Ariel"},{"family":"Woods","given":"C. Nathan"},{"family":"Fulton","given":"Chad"},{"family":"Masson","given":"Charles"},{"family":"Häggström","given":"Christian"},{"family":"Fitzgerald","given":"Clark"},{"family":"Nicholson","given":"David A."},{"family":"Hagen","given":"David R."},{"family":"Pasechnik","given":"Dmitrii V."},{"family":"Olivetti","given":"Emanuele"},{"family":"Martin","given":"Eric"},{"family":"Wieser","given":"Eric"},{"family":"Silva","given":"Fabrice"},{"family":"Lenders","given":"Felix"},{"family":"Wilhelm","given":"Florian"},{"family":"Young","given":"G."},{"family":"Price","given":"Gavin A."},{"family":"Ingold","given":"Gert-Ludwig"},{"family":"Allen","given":"Gregory E."},{"family":"Lee","given":"Gregory R."},{"family":"Audren","given":"Hervé"},{"family":"Probst","given":"Irvin"},{"family":"Dietrich","given":"Jörg P."},{"family":"Silterra","given":"Jacob"},{"family":"Webber","given":"James T."},{"family":"Slavič","given":"Janko"},{"family":"Nothman","given":"Joel"},{"family":"Buchner","given":"Johannes"},{"family":"Kulick","given":"Johannes"},{"family":"Schönberger","given":"Johannes L."},{"family":"Miranda Cardoso","given":"José Vinícius","non-dropping-particle":"de"},{"family":"Reimer","given":"Joscha"},{"family":"Harrington","given":"Joseph"},{"family":"Rodríguez","given":"Juan Luis Cano"},{"family":"Nunez-Iglesias","given":"Juan"},{"family":"Kuczynski","given":"Justin"},{"family":"Tritz","given":"Kevin"},{"family":"Thoma","given":"Martin"},{"family":"Newville","given":"Matthew"},{"family":"Kümmerer","given":"Matthias"},{"family":"Bolingbroke","given":"Maximilian"},{"family":"Tartre","given":"Michael"},{"family":"Pak","given":"Mikhail"},{"family":"Smith","given":"Nathaniel J."},{"family":"Nowaczyk","given":"Nikolai"},{"family":"Shebanov","given":"Nikolay"},{"family":"Pavlyk","given":"Oleksandr"},{"family":"Brodtkorb","given":"Per A."},{"family":"Lee","given":"Perry"},{"family":"McGibbon","given":"Robert T."},{"family":"Feldbauer","given":"Roman"},{"family":"Lewis","given":"Sam"},{"family":"Tygier","given":"Sam"},{"family":"Sievert","given":"Scott"},{"family":"Vigna","given":"Sebastiano"},{"family":"Peterson","given":"Stefan"},{"family":"More","given":"Surhud"},{"family":"Pudlik","given":"Tadeusz"},{"family":"Oshima","given":"Takuya"},{"family":"Pingel","given":"Thomas J."},{"family":"Robitaille","given":"Thomas P."},{"family":"Spura","given":"Thomas"},{"family":"Jones","given":"Thouis R."},{"family":"Cera","given":"Tim"},{"family":"Leslie","given":"Tim"},{"family":"Zito","given":"Tiziano"},{"family":"Krauss","given":"Tom"},{"family":"Upadhyay","given":"Utkarsh"},{"family":"Halchenko","given":"Yaroslav O."},{"family":"Vázquez-Baeza","given":"Yoshiki"},{"literal":"SciPy 1.0 Contributors"}],"issued":{"date-parts":[["2020",3,1]]}}},{"id":1230,"uris":["http://zotero.org/users/5159096/items/AF6KTRVC"],"itemData":{"id":1230,"type":"article-journal","container-title":"Department of Computer Science [CS]","issue":"R 9525","note":"publisher: CWI","title":"Python reference manual","author":[{"family":"vanRossum","given":"Guido"}],"issued":{"date-parts":[["1995"]]}}},{"id":1159,"uris":["http://zotero.org/users/5159096/items/XH5PY9TX"],"itemData":{"id":1159,"type":"paper-conference","container-title":"Positioning and Power in Academic Publishing: Players, Agents and Agendas","page":"87 - 90","publisher":"IOS Press","title":"Jupyter Notebooks – a publishing format for reproducible computational workflows","author":[{"family":"Kluyver","given":"Thomas"},{"family":"Ragan-Kelley","given":"Benjamin"},{"family":"Pérez","given":"Fernando"},{"family":"Granger","given":"Brian"},{"family":"Bussonnier","given":"Matthias"},{"family":"Frederic","given":"Jonathan"},{"family":"Kelley","given":"Kyle"},{"family":"Hamrick","given":"Jessica"},{"family":"Grout","given":"Jason"},{"family":"Corlay","given":"Sylvain"},{"family":"Ivanov","given":"Paul"},{"family":"Avila","given":"Damián"},{"family":"Abdalla","given":"Safia"},{"family":"Willing","given":"Carol"}],"editor":[{"family":"Loizides","given":"F."},{"family":"Schmidt","given":"B."}],"issued":{"date-parts":[["2016"]]}}},{"id":929,"uris":["http://zotero.org/users/5159096/items/XR28TK5D"],"itemData":{"id":929,"type":"article-journal","abstract":"Array programming provides a powerful, compact and expressive syntax for accessing, manipulating and operating on data in vectors, matrices and higher-dimensional arrays. NumPy is the primary array programming library for the Python language. It has an essential role in research analysis pipelines in fields as diverse as physics, chemistry, astronomy, geoscience, biology, psychology, materials science, engineering, finance and economics. For example, in astronomy, NumPy was an important part of the software stack used in the discovery of gravitational waves1 and in the first imaging of a black hole2. Here we review how a few fundamental array concepts lead to a simple and powerful programming paradigm for organizing, exploring and analysing scientific data. NumPy is the foundation upon which the scientific Python ecosystem is constructed. It is so pervasive that several projects, targeting audiences with specialized needs, have developed their own NumPy-like interfaces and array objects. Owing to its central position in the ecosystem, NumPy increasingly acts as an interoperability layer between such array computation libraries and, together with its application programming interface (API), provides a flexible framework to support the next decade of scientific and industrial analysis.","container-title":"Nature","DOI":"10.1038/s41586-020-2649-2","ISSN":"1476-4687","issue":"7825","journalAbbreviation":"Nature","page":"357-362","title":"Array programming with NumPy","volume":"585","author":[{"family":"Harris","given":"Charles R."},{"family":"Millman","given":"K. Jarrod"},{"family":"Walt","given":"Stéfan J.","non-dropping-particle":"van der"},{"family":"Gommers","given":"Ralf"},{"family":"Virtanen","given":"Pauli"},{"family":"Cournapeau","given":"David"},{"family":"Wieser","given":"Eric"},{"family":"Taylor","given":"Julian"},{"family":"Berg","given":"Sebastian"},{"family":"Smith","given":"Nathaniel J."},{"family":"Kern","given":"Robert"},{"family":"Picus","given":"Matti"},{"family":"Hoyer","given":"Stephan"},{"family":"Kerkwijk","given":"Marten H.","non-dropping-particle":"van"},{"family":"Brett","given":"Matthew"},{"family":"Haldane","given":"Allan"},{"family":"Río","given":"Jaime Fernández","non-dropping-particle":"del"},{"family":"Wiebe","given":"Mark"},{"family":"Peterson","given":"Pearu"},{"family":"Gérard-Marchant","given":"Pierre"},{"family":"Sheppard","given":"Kevin"},{"family":"Reddy","given":"Tyler"},{"family":"Weckesser","given":"Warren"},{"family":"Abbasi","given":"Hameer"},{"family":"Gohlke","given":"Christoph"},{"family":"Oliphant","given":"Travis E."}],"issued":{"date-parts":[["2020",9,1]]}}},{"id":1161,"uris":["http://zotero.org/users/5159096/items/VNYP7TT7"],"itemData":{"id":1161,"type":"software","title":"Joblib: running Python functions as pipeline jobs","URL":"https://joblib.readthedocs.io","version":"1.2.0","author":[{"family":"Joblib Development Team","given":""}],"issued":{"date-parts":[["2022"]]}}},{"id":932,"uris":["http://zotero.org/users/5159096/items/SM825EFG"],"itemData":{"id":932,"type":"article-journal","abstract":"Azzalini and Dalla Valle have recently discussed the multivariate skew normal distribution which extends the class of normal distributions by the addition of a shape parameter. The first part of the present paper examines further probabilistic properties of the distribution, with special emphasis on aspects of statistical relevance. Inferential and other statistical issues are discussed in the following part, with applications to some multivariate statistics problems, illustrated by numerical examples. Finally, a further extension is described which introduces a skewing factor of an elliptical density.","container-title":"Journal of the Royal Statistical Society: Series B (Statistical Methodology)","DOI":"10.1111/1467-9868.00194","ISSN":"1369-7412","issue":"3","journalAbbreviation":"Journal of the Royal Statistical Society: Series B (Statistical Methodology)","page":"579-602","title":"Statistical applications of the multivariate skew normal distribution","volume":"61","author":[{"family":"Azzalini","given":"A."},{"family":"Capitanio","given":"A."}],"issued":{"date-parts":[["1999",1,1]]}}},{"id":1164,"uris":["http://zotero.org/users/5159096/items/5S4MYM2R"],"itemData":{"id":1164,"type":"book","ISBN":"0-486-14368-6","publisher":"Courier Corporation","title":"Algorithms for minimization without derivatives","author":[{"family":"Brent","given":"Richard P."}],"issued":{"date-parts":[["2013"]]}}},{"id":1163,"uris":["http://zotero.org/users/5159096/items/L5CRNA5G"],"itemData":{"id":1163,"type":"book","ISBN":"3-642-61786-7","publisher":"Springer Science &amp; Business Media","title":"Quadpack: a subroutine package for automatic integration","volume":"1","author":[{"family":"Piessens","given":"Robert"},{"family":"Doncker-Kapenga","given":"Elise","non-dropping-particle":"de"},{"family":"Überhuber","given":"Christoph W."},{"family":"Kahaner","given":"David K."}],"issued":{"date-parts":[["2012"]]}}},{"id":804,"uris":["http://zotero.org/users/5159096/items/LHU9SDLL"],"itemData":{"id":804,"type":"article-journal","abstract":"Scikit-learn is a Python module integrating a wide range of state-of-the-art machine learning algorithms for medium-scale supervised and unsupervised problems. This package focuses on bringing machine learning to non-specialists using a general-purpose high-level language. Emphasis is put on ease of use, performance, documentation, and API consistency. It has minimal dependencies and is distributed under the simpliﬁed BSD license, encouraging its use in both academic and commercial settings. Source code, binaries, and documentation can be downloaded from http://scikit-learn.sourceforge.net.","container-title":"MACHINE LEARNING IN PYTHON","language":"en","page":"6","source":"Zotero","title":"Scikit-learn: Machine Learning in Python","author":[{"family":"Pedregosa","given":"Fabian"},{"family":"Varoquaux","given":"Gael"},{"family":"Gramfort","given":"Alexandre"},{"family":"Michel","given":"Vincent"},{"family":"Thirion","given":"Bertrand"},{"family":"Grisel","given":"Olivier"},{"family":"Blondel","given":"Mathieu"},{"family":"Prettenhofer","given":"Peter"},{"family":"Weiss","given":"Ron"},{"family":"Dubourg","given":"Vincent"},{"family":"Vanderplas","given":"Jake"},{"family":"Passos","given":"Alexandre"},{"family":"Cournapeau","given":"David"}]}}],"schema":"https://github.com/citation-style-language/schema/raw/master/csl-citation.json"} </w:instrText>
      </w:r>
      <w:r w:rsidR="003B7A18" w:rsidRPr="00ED6690">
        <w:rPr>
          <w:rFonts w:ascii="Times New Roman" w:hAnsi="Times New Roman" w:cs="Times New Roman"/>
          <w:szCs w:val="24"/>
        </w:rPr>
        <w:fldChar w:fldCharType="separate"/>
      </w:r>
      <w:r w:rsidR="0012582A" w:rsidRPr="0012582A">
        <w:rPr>
          <w:rFonts w:ascii="Times New Roman" w:hAnsi="Times New Roman" w:cs="Times New Roman"/>
          <w:kern w:val="0"/>
          <w:szCs w:val="24"/>
          <w:vertAlign w:val="superscript"/>
        </w:rPr>
        <w:t>61–69</w:t>
      </w:r>
      <w:r w:rsidR="003B7A18" w:rsidRPr="00ED6690">
        <w:rPr>
          <w:rFonts w:ascii="Times New Roman" w:hAnsi="Times New Roman" w:cs="Times New Roman"/>
          <w:szCs w:val="24"/>
        </w:rPr>
        <w:fldChar w:fldCharType="end"/>
      </w:r>
      <w:r w:rsidR="00B270D2" w:rsidRPr="00ED6690">
        <w:rPr>
          <w:rFonts w:ascii="Times New Roman" w:hAnsi="Times New Roman" w:cs="Times New Roman"/>
          <w:szCs w:val="24"/>
        </w:rPr>
        <w:t xml:space="preserve">. First, a double integral </w:t>
      </w:r>
      <w:r w:rsidR="00273010" w:rsidRPr="00ED6690">
        <w:rPr>
          <w:rFonts w:ascii="Times New Roman" w:hAnsi="Times New Roman" w:cs="Times New Roman"/>
          <w:szCs w:val="24"/>
        </w:rPr>
        <w:t xml:space="preserve">isotherm solver which takes </w:t>
      </w:r>
      <m:oMath>
        <m:sSup>
          <m:sSupPr>
            <m:ctrlPr>
              <w:rPr>
                <w:rFonts w:ascii="Cambria Math" w:hAnsi="Cambria Math" w:cs="Times New Roman"/>
                <w:i/>
                <w:szCs w:val="24"/>
              </w:rPr>
            </m:ctrlPr>
          </m:sSupPr>
          <m:e>
            <m:r>
              <w:rPr>
                <w:rFonts w:ascii="Cambria Math" w:hAnsi="Cambria Math" w:cs="Times New Roman"/>
                <w:szCs w:val="24"/>
              </w:rPr>
              <m:t>X</m:t>
            </m:r>
          </m:e>
          <m:sup>
            <m:r>
              <w:rPr>
                <w:rFonts w:ascii="Cambria Math" w:hAnsi="Cambria Math" w:cs="Times New Roman"/>
                <w:szCs w:val="24"/>
              </w:rPr>
              <m:t>tot</m:t>
            </m:r>
          </m:sup>
        </m:sSup>
      </m:oMath>
      <w:r w:rsidR="00273010" w:rsidRPr="00ED6690">
        <w:rPr>
          <w:rFonts w:ascii="Times New Roman" w:hAnsi="Times New Roman" w:cs="Times New Roman"/>
          <w:szCs w:val="24"/>
        </w:rPr>
        <w:t xml:space="preserve">, </w:t>
      </w:r>
      <w:r w:rsidR="00273010" w:rsidRPr="00ED6690">
        <w:rPr>
          <w:rFonts w:ascii="Times New Roman" w:hAnsi="Times New Roman" w:cs="Times New Roman"/>
          <w:i/>
          <w:iCs/>
          <w:szCs w:val="24"/>
        </w:rPr>
        <w:t>T</w:t>
      </w:r>
      <w:r w:rsidR="00273010" w:rsidRPr="00ED6690">
        <w:rPr>
          <w:rFonts w:ascii="Times New Roman" w:hAnsi="Times New Roman" w:cs="Times New Roman"/>
          <w:szCs w:val="24"/>
        </w:rPr>
        <w:t xml:space="preserve">, </w:t>
      </w:r>
      <m:oMath>
        <m:sSup>
          <m:sSupPr>
            <m:ctrlPr>
              <w:rPr>
                <w:rFonts w:ascii="Cambria Math" w:hAnsi="Cambria Math" w:cs="Times New Roman"/>
                <w:i/>
                <w:szCs w:val="24"/>
              </w:rPr>
            </m:ctrlPr>
          </m:sSupPr>
          <m:e>
            <m:r>
              <w:rPr>
                <w:rFonts w:ascii="Cambria Math" w:hAnsi="Cambria Math" w:cs="Times New Roman"/>
                <w:szCs w:val="24"/>
              </w:rPr>
              <m:t>f</m:t>
            </m:r>
          </m:e>
          <m:sup>
            <m:r>
              <w:rPr>
                <w:rFonts w:ascii="Cambria Math" w:hAnsi="Cambria Math" w:cs="Times New Roman"/>
                <w:szCs w:val="24"/>
              </w:rPr>
              <m:t>GB</m:t>
            </m:r>
          </m:sup>
        </m:sSup>
      </m:oMath>
      <w:r w:rsidR="004C7B05" w:rsidRPr="00ED6690">
        <w:rPr>
          <w:rFonts w:ascii="Times New Roman" w:hAnsi="Times New Roman" w:cs="Times New Roman"/>
          <w:szCs w:val="24"/>
        </w:rPr>
        <w:t>, means and a covariance matrix</w:t>
      </w:r>
      <w:r w:rsidR="00273010" w:rsidRPr="00ED6690">
        <w:rPr>
          <w:rFonts w:ascii="Times New Roman" w:hAnsi="Times New Roman" w:cs="Times New Roman"/>
          <w:szCs w:val="24"/>
        </w:rPr>
        <w:t xml:space="preserve"> </w:t>
      </w:r>
      <w:r w:rsidR="004961C0">
        <w:rPr>
          <w:rFonts w:ascii="Times New Roman" w:hAnsi="Times New Roman" w:cs="Times New Roman"/>
          <w:szCs w:val="24"/>
        </w:rPr>
        <w:t xml:space="preserve">(for a bivariate Gaussian distribution) </w:t>
      </w:r>
      <w:r w:rsidR="00694F21" w:rsidRPr="00ED6690">
        <w:rPr>
          <w:rFonts w:ascii="Times New Roman" w:hAnsi="Times New Roman" w:cs="Times New Roman"/>
          <w:szCs w:val="24"/>
        </w:rPr>
        <w:t xml:space="preserve">to solve the following </w:t>
      </w:r>
      <w:r w:rsidR="00223A6B" w:rsidRPr="00ED6690">
        <w:rPr>
          <w:rFonts w:ascii="Times New Roman" w:hAnsi="Times New Roman" w:cs="Times New Roman"/>
          <w:szCs w:val="24"/>
        </w:rPr>
        <w:t>solute balance equation</w:t>
      </w:r>
      <w:r w:rsidR="00223A6B" w:rsidRPr="00ED6690">
        <w:rPr>
          <w:rFonts w:ascii="Times New Roman" w:hAnsi="Times New Roman" w:cs="Times New Roman"/>
          <w:szCs w:val="24"/>
        </w:rPr>
        <w:fldChar w:fldCharType="begin"/>
      </w:r>
      <w:r w:rsidR="00052644">
        <w:rPr>
          <w:rFonts w:ascii="Times New Roman" w:hAnsi="Times New Roman" w:cs="Times New Roman"/>
          <w:szCs w:val="24"/>
        </w:rPr>
        <w:instrText xml:space="preserve"> ADDIN ZOTERO_ITEM CSL_CITATION {"citationID":"PrKe32pp","properties":{"formattedCitation":"\\super 70\\nosupersub{}","plainCitation":"70","noteIndex":0},"citationItems":[{"id":910,"uris":["http://zotero.org/users/5159096/items/KC4DPHGT"],"itemData":{"id":910,"type":"article-journal","abstract":"A simple thermodynamic calculation to assess the effect of grain size on grain boundary segregation has been performed. It is shown that in binary alloys when the bulk solute content is small, segregation increases with increasing grain size. In ternary alloys, however, intergranular segregation depends both on the magnitude of segregation free energy and the bulk concentrations of the solute. It is pointed out that grain size could play an important role in the segregation phenomena, not only in metallic but also in ceramic systems.","container-title":"Journal of Alloys and Compounds","DOI":"10.1016/0925-8388(95)02094-2","ISSN":"09258388","issue":"2","journalAbbreviation":"Journal of Alloys and Compounds","language":"en","page":"244-249","source":"DOI.org (Crossref)","title":"Effect of grain size on grain boundary segregation","volume":"235","author":[{"family":"Ishida","given":"K."}],"issued":{"date-parts":[["1996",3]]}}}],"schema":"https://github.com/citation-style-language/schema/raw/master/csl-citation.json"} </w:instrText>
      </w:r>
      <w:r w:rsidR="00223A6B" w:rsidRPr="00ED6690">
        <w:rPr>
          <w:rFonts w:ascii="Times New Roman" w:hAnsi="Times New Roman" w:cs="Times New Roman"/>
          <w:szCs w:val="24"/>
        </w:rPr>
        <w:fldChar w:fldCharType="separate"/>
      </w:r>
      <w:r w:rsidR="0012582A" w:rsidRPr="0012582A">
        <w:rPr>
          <w:rFonts w:ascii="Times New Roman" w:hAnsi="Times New Roman" w:cs="Times New Roman"/>
          <w:kern w:val="0"/>
          <w:szCs w:val="24"/>
          <w:vertAlign w:val="superscript"/>
        </w:rPr>
        <w:t>70</w:t>
      </w:r>
      <w:r w:rsidR="00223A6B" w:rsidRPr="00ED6690">
        <w:rPr>
          <w:rFonts w:ascii="Times New Roman" w:hAnsi="Times New Roman" w:cs="Times New Roman"/>
          <w:szCs w:val="24"/>
        </w:rPr>
        <w:fldChar w:fldCharType="end"/>
      </w:r>
      <w:r w:rsidR="00694F21" w:rsidRPr="00ED6690">
        <w:rPr>
          <w:rFonts w:ascii="Times New Roman" w:hAnsi="Times New Roman" w:cs="Times New Roman"/>
          <w:szCs w:val="24"/>
        </w:rPr>
        <w:t>:</w:t>
      </w:r>
    </w:p>
    <w:tbl>
      <w:tblPr>
        <w:tblStyle w:val="TableGrid"/>
        <w:tblW w:w="9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90"/>
        <w:gridCol w:w="715"/>
        <w:gridCol w:w="715"/>
      </w:tblGrid>
      <w:tr w:rsidR="0010163D" w:rsidRPr="00ED6690" w14:paraId="3B58995A" w14:textId="77777777" w:rsidTr="0010163D">
        <w:trPr>
          <w:trHeight w:val="837"/>
        </w:trPr>
        <w:tc>
          <w:tcPr>
            <w:tcW w:w="8190" w:type="dxa"/>
            <w:shd w:val="clear" w:color="auto" w:fill="auto"/>
            <w:vAlign w:val="center"/>
          </w:tcPr>
          <w:p w14:paraId="3B14AB4A" w14:textId="258AAE0B" w:rsidR="0010163D" w:rsidRPr="00ED6690" w:rsidRDefault="00787647" w:rsidP="00CD2C6D">
            <w:pPr>
              <w:spacing w:line="276" w:lineRule="auto"/>
              <w:jc w:val="both"/>
              <w:rPr>
                <w:rFonts w:ascii="Times New Roman" w:hAnsi="Times New Roman" w:cs="Times New Roman"/>
                <w:szCs w:val="24"/>
              </w:rPr>
            </w:pPr>
            <m:oMathPara>
              <m:oMath>
                <m:sSup>
                  <m:sSupPr>
                    <m:ctrlPr>
                      <w:rPr>
                        <w:rFonts w:ascii="Cambria Math" w:hAnsi="Cambria Math" w:cs="Times New Roman"/>
                        <w:i/>
                        <w:szCs w:val="24"/>
                      </w:rPr>
                    </m:ctrlPr>
                  </m:sSupPr>
                  <m:e>
                    <m:r>
                      <w:rPr>
                        <w:rFonts w:ascii="Cambria Math" w:hAnsi="Cambria Math" w:cs="Times New Roman"/>
                        <w:szCs w:val="24"/>
                      </w:rPr>
                      <m:t>X</m:t>
                    </m:r>
                  </m:e>
                  <m:sup>
                    <m:r>
                      <w:rPr>
                        <w:rFonts w:ascii="Cambria Math" w:hAnsi="Cambria Math" w:cs="Times New Roman"/>
                        <w:szCs w:val="24"/>
                      </w:rPr>
                      <m:t>tot</m:t>
                    </m:r>
                  </m:sup>
                </m:sSup>
                <m:r>
                  <w:rPr>
                    <w:rFonts w:ascii="Cambria Math" w:hAnsi="Cambria Math" w:cs="Times New Roman"/>
                    <w:szCs w:val="24"/>
                  </w:rPr>
                  <m:t>=</m:t>
                </m:r>
                <m:d>
                  <m:dPr>
                    <m:ctrlPr>
                      <w:rPr>
                        <w:rFonts w:ascii="Cambria Math" w:hAnsi="Cambria Math" w:cs="Times New Roman"/>
                        <w:i/>
                        <w:szCs w:val="24"/>
                      </w:rPr>
                    </m:ctrlPr>
                  </m:dPr>
                  <m:e>
                    <m:r>
                      <w:rPr>
                        <w:rFonts w:ascii="Cambria Math" w:hAnsi="Cambria Math" w:cs="Times New Roman"/>
                        <w:szCs w:val="24"/>
                      </w:rPr>
                      <m:t>1-</m:t>
                    </m:r>
                    <m:sSup>
                      <m:sSupPr>
                        <m:ctrlPr>
                          <w:rPr>
                            <w:rFonts w:ascii="Cambria Math" w:hAnsi="Cambria Math" w:cs="Times New Roman"/>
                            <w:i/>
                            <w:szCs w:val="24"/>
                          </w:rPr>
                        </m:ctrlPr>
                      </m:sSupPr>
                      <m:e>
                        <m:r>
                          <w:rPr>
                            <w:rFonts w:ascii="Cambria Math" w:hAnsi="Cambria Math" w:cs="Times New Roman"/>
                            <w:szCs w:val="24"/>
                          </w:rPr>
                          <m:t>f</m:t>
                        </m:r>
                      </m:e>
                      <m:sup>
                        <m:r>
                          <w:rPr>
                            <w:rFonts w:ascii="Cambria Math" w:hAnsi="Cambria Math" w:cs="Times New Roman"/>
                            <w:szCs w:val="24"/>
                          </w:rPr>
                          <m:t>GB</m:t>
                        </m:r>
                      </m:sup>
                    </m:sSup>
                  </m:e>
                </m:d>
                <m:sSup>
                  <m:sSupPr>
                    <m:ctrlPr>
                      <w:rPr>
                        <w:rFonts w:ascii="Cambria Math" w:hAnsi="Cambria Math" w:cs="Times New Roman"/>
                        <w:i/>
                        <w:szCs w:val="24"/>
                      </w:rPr>
                    </m:ctrlPr>
                  </m:sSupPr>
                  <m:e>
                    <m:r>
                      <w:rPr>
                        <w:rFonts w:ascii="Cambria Math" w:hAnsi="Cambria Math" w:cs="Times New Roman"/>
                        <w:szCs w:val="24"/>
                      </w:rPr>
                      <m:t>X</m:t>
                    </m:r>
                  </m:e>
                  <m:sup>
                    <m:r>
                      <w:rPr>
                        <w:rFonts w:ascii="Cambria Math" w:hAnsi="Cambria Math" w:cs="Times New Roman"/>
                        <w:szCs w:val="24"/>
                      </w:rPr>
                      <m:t>C</m:t>
                    </m:r>
                  </m:sup>
                </m:sSup>
                <m:r>
                  <w:rPr>
                    <w:rFonts w:ascii="Cambria Math" w:hAnsi="Cambria Math" w:cs="Times New Roman"/>
                    <w:szCs w:val="24"/>
                  </w:rPr>
                  <m:t>+</m:t>
                </m:r>
                <m:sSup>
                  <m:sSupPr>
                    <m:ctrlPr>
                      <w:rPr>
                        <w:rFonts w:ascii="Cambria Math" w:hAnsi="Cambria Math" w:cs="Times New Roman"/>
                        <w:i/>
                        <w:szCs w:val="24"/>
                      </w:rPr>
                    </m:ctrlPr>
                  </m:sSupPr>
                  <m:e>
                    <m:r>
                      <w:rPr>
                        <w:rFonts w:ascii="Cambria Math" w:hAnsi="Cambria Math" w:cs="Times New Roman"/>
                        <w:szCs w:val="24"/>
                      </w:rPr>
                      <m:t>f</m:t>
                    </m:r>
                  </m:e>
                  <m:sup>
                    <m:r>
                      <w:rPr>
                        <w:rFonts w:ascii="Cambria Math" w:hAnsi="Cambria Math" w:cs="Times New Roman"/>
                        <w:szCs w:val="24"/>
                      </w:rPr>
                      <m:t>GB</m:t>
                    </m:r>
                  </m:sup>
                </m:sSup>
                <m:nary>
                  <m:naryPr>
                    <m:limLoc m:val="undOvr"/>
                    <m:subHide m:val="1"/>
                    <m:supHide m:val="1"/>
                    <m:ctrlPr>
                      <w:rPr>
                        <w:rFonts w:ascii="Cambria Math" w:hAnsi="Cambria Math" w:cs="Times New Roman"/>
                        <w:i/>
                        <w:szCs w:val="24"/>
                      </w:rPr>
                    </m:ctrlPr>
                  </m:naryPr>
                  <m:sub/>
                  <m:sup/>
                  <m:e>
                    <m:nary>
                      <m:naryPr>
                        <m:limLoc m:val="undOvr"/>
                        <m:subHide m:val="1"/>
                        <m:supHide m:val="1"/>
                        <m:ctrlPr>
                          <w:rPr>
                            <w:rFonts w:ascii="Cambria Math" w:hAnsi="Cambria Math" w:cs="Times New Roman"/>
                            <w:i/>
                            <w:szCs w:val="24"/>
                          </w:rPr>
                        </m:ctrlPr>
                      </m:naryPr>
                      <m:sub/>
                      <m:sup/>
                      <m:e>
                        <m:r>
                          <w:rPr>
                            <w:rFonts w:ascii="Cambria Math" w:hAnsi="Cambria Math" w:cs="Times New Roman"/>
                            <w:szCs w:val="24"/>
                          </w:rPr>
                          <m:t>d</m:t>
                        </m:r>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e>
                    </m:nary>
                    <m:r>
                      <w:rPr>
                        <w:rFonts w:ascii="Cambria Math" w:hAnsi="Cambria Math" w:cs="Times New Roman"/>
                        <w:szCs w:val="24"/>
                      </w:rPr>
                      <m:t>d</m:t>
                    </m:r>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i</m:t>
                        </m:r>
                      </m:sub>
                      <m:sup>
                        <m:r>
                          <w:rPr>
                            <w:rFonts w:ascii="Cambria Math" w:hAnsi="Cambria Math" w:cs="Times New Roman"/>
                            <w:szCs w:val="24"/>
                          </w:rPr>
                          <m:t>seg</m:t>
                        </m:r>
                      </m:sup>
                    </m:sSubSup>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i</m:t>
                        </m:r>
                      </m:sub>
                    </m:sSub>
                    <m:d>
                      <m:dPr>
                        <m:ctrlPr>
                          <w:rPr>
                            <w:rFonts w:ascii="Cambria Math" w:hAnsi="Cambria Math" w:cs="Times New Roman"/>
                            <w:i/>
                            <w:szCs w:val="24"/>
                          </w:rPr>
                        </m:ctrlPr>
                      </m:dPr>
                      <m:e>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i</m:t>
                            </m:r>
                          </m:sub>
                          <m:sup>
                            <m:r>
                              <w:rPr>
                                <w:rFonts w:ascii="Cambria Math" w:hAnsi="Cambria Math" w:cs="Times New Roman"/>
                                <w:szCs w:val="24"/>
                              </w:rPr>
                              <m:t>seg</m:t>
                            </m:r>
                          </m:sup>
                        </m:sSubSup>
                      </m:e>
                    </m:d>
                    <m:sSubSup>
                      <m:sSubSupPr>
                        <m:ctrlPr>
                          <w:rPr>
                            <w:rFonts w:ascii="Cambria Math" w:hAnsi="Cambria Math" w:cs="Times New Roman"/>
                            <w:i/>
                            <w:szCs w:val="24"/>
                          </w:rPr>
                        </m:ctrlPr>
                      </m:sSubSupPr>
                      <m:e>
                        <m: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IG</m:t>
                        </m:r>
                      </m:sup>
                    </m:sSubSup>
                    <m:d>
                      <m:dPr>
                        <m:ctrlPr>
                          <w:rPr>
                            <w:rFonts w:ascii="Cambria Math" w:hAnsi="Cambria Math" w:cs="Times New Roman"/>
                            <w:i/>
                            <w:szCs w:val="24"/>
                          </w:rPr>
                        </m:ctrlPr>
                      </m:dPr>
                      <m:e>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i</m:t>
                            </m:r>
                          </m:sub>
                          <m:sup>
                            <m:r>
                              <w:rPr>
                                <w:rFonts w:ascii="Cambria Math" w:hAnsi="Cambria Math" w:cs="Times New Roman"/>
                                <w:szCs w:val="24"/>
                              </w:rPr>
                              <m:t>seg</m:t>
                            </m:r>
                          </m:sup>
                        </m:sSubSup>
                      </m:e>
                    </m:d>
                  </m:e>
                </m:nary>
              </m:oMath>
            </m:oMathPara>
          </w:p>
        </w:tc>
        <w:tc>
          <w:tcPr>
            <w:tcW w:w="715" w:type="dxa"/>
          </w:tcPr>
          <w:p w14:paraId="150C22FF" w14:textId="77777777" w:rsidR="0010163D" w:rsidRPr="00ED6690" w:rsidRDefault="0010163D" w:rsidP="00CD2C6D">
            <w:pPr>
              <w:pStyle w:val="Caption"/>
              <w:spacing w:line="276" w:lineRule="auto"/>
              <w:jc w:val="both"/>
              <w:rPr>
                <w:rFonts w:ascii="Times New Roman" w:hAnsi="Times New Roman" w:cs="Times New Roman"/>
                <w:color w:val="auto"/>
                <w:sz w:val="24"/>
                <w:szCs w:val="24"/>
              </w:rPr>
            </w:pPr>
          </w:p>
        </w:tc>
        <w:tc>
          <w:tcPr>
            <w:tcW w:w="715" w:type="dxa"/>
            <w:shd w:val="clear" w:color="auto" w:fill="auto"/>
            <w:vAlign w:val="center"/>
          </w:tcPr>
          <w:p w14:paraId="22FC1259" w14:textId="00CBE7C0" w:rsidR="0010163D" w:rsidRPr="00ED6690" w:rsidRDefault="0010163D" w:rsidP="00CD2C6D">
            <w:pPr>
              <w:pStyle w:val="Caption"/>
              <w:spacing w:line="276" w:lineRule="auto"/>
              <w:jc w:val="both"/>
              <w:rPr>
                <w:rFonts w:ascii="Times New Roman" w:hAnsi="Times New Roman" w:cs="Times New Roman"/>
                <w:color w:val="auto"/>
                <w:sz w:val="24"/>
                <w:szCs w:val="24"/>
              </w:rPr>
            </w:pPr>
            <w:r w:rsidRPr="00ED6690">
              <w:rPr>
                <w:rFonts w:ascii="Times New Roman" w:hAnsi="Times New Roman" w:cs="Times New Roman"/>
                <w:color w:val="auto"/>
                <w:sz w:val="24"/>
                <w:szCs w:val="24"/>
              </w:rPr>
              <w:t>(</w:t>
            </w:r>
            <w:r w:rsidR="003D1530" w:rsidRPr="00ED6690">
              <w:rPr>
                <w:rFonts w:ascii="Times New Roman" w:hAnsi="Times New Roman" w:cs="Times New Roman"/>
                <w:color w:val="auto"/>
                <w:sz w:val="24"/>
                <w:szCs w:val="24"/>
              </w:rPr>
              <w:t>S</w:t>
            </w:r>
            <w:r w:rsidRPr="00ED6690">
              <w:rPr>
                <w:rFonts w:ascii="Times New Roman" w:hAnsi="Times New Roman" w:cs="Times New Roman"/>
                <w:color w:val="auto"/>
                <w:sz w:val="24"/>
                <w:szCs w:val="24"/>
              </w:rPr>
              <w:fldChar w:fldCharType="begin"/>
            </w:r>
            <w:r w:rsidRPr="00ED6690">
              <w:rPr>
                <w:rFonts w:ascii="Times New Roman" w:hAnsi="Times New Roman" w:cs="Times New Roman"/>
                <w:color w:val="auto"/>
                <w:sz w:val="24"/>
                <w:szCs w:val="24"/>
              </w:rPr>
              <w:instrText xml:space="preserve"> SEQ eq \* ARABIC </w:instrText>
            </w:r>
            <w:r w:rsidRPr="00ED6690">
              <w:rPr>
                <w:rFonts w:ascii="Times New Roman" w:hAnsi="Times New Roman" w:cs="Times New Roman"/>
                <w:color w:val="auto"/>
                <w:sz w:val="24"/>
                <w:szCs w:val="24"/>
              </w:rPr>
              <w:fldChar w:fldCharType="separate"/>
            </w:r>
            <w:r w:rsidR="00C8038C">
              <w:rPr>
                <w:rFonts w:ascii="Times New Roman" w:hAnsi="Times New Roman" w:cs="Times New Roman"/>
                <w:noProof/>
                <w:color w:val="auto"/>
                <w:sz w:val="24"/>
                <w:szCs w:val="24"/>
              </w:rPr>
              <w:t>4</w:t>
            </w:r>
            <w:r w:rsidRPr="00ED6690">
              <w:rPr>
                <w:rFonts w:ascii="Times New Roman" w:hAnsi="Times New Roman" w:cs="Times New Roman"/>
                <w:color w:val="auto"/>
                <w:sz w:val="24"/>
                <w:szCs w:val="24"/>
              </w:rPr>
              <w:fldChar w:fldCharType="end"/>
            </w:r>
            <w:r w:rsidRPr="00ED6690">
              <w:rPr>
                <w:rFonts w:ascii="Times New Roman" w:hAnsi="Times New Roman" w:cs="Times New Roman"/>
                <w:color w:val="auto"/>
                <w:sz w:val="24"/>
                <w:szCs w:val="24"/>
              </w:rPr>
              <w:t>)</w:t>
            </w:r>
          </w:p>
        </w:tc>
      </w:tr>
    </w:tbl>
    <w:p w14:paraId="4F0B1B25" w14:textId="77777777" w:rsidR="00F97ADD" w:rsidRPr="00ED6690" w:rsidRDefault="00F97ADD" w:rsidP="00F97ADD">
      <w:pPr>
        <w:rPr>
          <w:rFonts w:ascii="Times New Roman" w:hAnsi="Times New Roman" w:cs="Times New Roman"/>
          <w:b/>
          <w:bCs/>
          <w:szCs w:val="24"/>
        </w:rPr>
      </w:pPr>
    </w:p>
    <w:p w14:paraId="5F29A7DD" w14:textId="2F48CD87" w:rsidR="003D1530" w:rsidRPr="00ED6690" w:rsidRDefault="006136C4" w:rsidP="003D1530">
      <w:pPr>
        <w:rPr>
          <w:rFonts w:ascii="Times New Roman" w:eastAsia="Calibri" w:hAnsi="Times New Roman" w:cs="Times New Roman"/>
          <w:szCs w:val="24"/>
        </w:rPr>
      </w:pPr>
      <w:r w:rsidRPr="00ED6690">
        <w:rPr>
          <w:rFonts w:ascii="Times New Roman" w:eastAsia="Calibri" w:hAnsi="Times New Roman" w:cs="Times New Roman"/>
          <w:szCs w:val="24"/>
        </w:rPr>
        <w:t xml:space="preserve">where </w:t>
      </w:r>
      <m:oMath>
        <m:sSubSup>
          <m:sSubSupPr>
            <m:ctrlPr>
              <w:rPr>
                <w:rFonts w:ascii="Cambria Math" w:hAnsi="Cambria Math" w:cs="Times New Roman"/>
                <w:i/>
                <w:szCs w:val="24"/>
              </w:rPr>
            </m:ctrlPr>
          </m:sSubSupPr>
          <m:e>
            <m: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IG</m:t>
            </m:r>
          </m:sup>
        </m:sSubSup>
        <m:d>
          <m:dPr>
            <m:ctrlPr>
              <w:rPr>
                <w:rFonts w:ascii="Cambria Math" w:hAnsi="Cambria Math" w:cs="Times New Roman"/>
                <w:i/>
                <w:szCs w:val="24"/>
              </w:rPr>
            </m:ctrlPr>
          </m:dPr>
          <m:e>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i</m:t>
                </m:r>
              </m:sub>
              <m:sup>
                <m:r>
                  <w:rPr>
                    <w:rFonts w:ascii="Cambria Math" w:hAnsi="Cambria Math" w:cs="Times New Roman"/>
                    <w:szCs w:val="24"/>
                  </w:rPr>
                  <m:t>seg</m:t>
                </m:r>
              </m:sup>
            </m:sSubSup>
          </m:e>
        </m:d>
      </m:oMath>
      <w:r w:rsidRPr="00ED6690">
        <w:rPr>
          <w:rFonts w:ascii="Times New Roman" w:eastAsia="Calibri" w:hAnsi="Times New Roman" w:cs="Times New Roman"/>
          <w:szCs w:val="24"/>
        </w:rPr>
        <w:t xml:space="preserve"> for the full bivariate is</w:t>
      </w:r>
      <w:r w:rsidR="00055398" w:rsidRPr="00ED6690">
        <w:rPr>
          <w:rFonts w:ascii="Times New Roman" w:eastAsia="Calibri" w:hAnsi="Times New Roman" w:cs="Times New Roman"/>
          <w:szCs w:val="24"/>
        </w:rPr>
        <w:fldChar w:fldCharType="begin"/>
      </w:r>
      <w:r w:rsidR="00052644">
        <w:rPr>
          <w:rFonts w:ascii="Times New Roman" w:eastAsia="Calibri" w:hAnsi="Times New Roman" w:cs="Times New Roman"/>
          <w:szCs w:val="24"/>
        </w:rPr>
        <w:instrText xml:space="preserve"> ADDIN ZOTERO_ITEM CSL_CITATION {"citationID":"57qiM0Oh","properties":{"formattedCitation":"\\super 71,72\\nosupersub{}","plainCitation":"71,72","noteIndex":0},"citationItems":[{"id":386,"uris":["http://zotero.org/users/5159096/items/3KY2PZA4"],"itemData":{"id":386,"type":"article-journal","container-title":"Metallurgical Transactions A","ISSN":"0360-2133","issue":"1","journalAbbreviation":"Metallurgical Transactions A","note":"publisher: Springer","page":"13-22","title":"Sulfur segregation to grain boundaries in Ni 3 Al and Ni 3 (AI, Ti) alloys","volume":"9","author":[{"family":"White","given":"CL"},{"family":"Stein","given":"DF"}],"issued":{"date-parts":[["1978"]]}}},{"id":136,"uris":["http://zotero.org/users/5159096/items/PFY8SVG6"],"itemData":{"id":136,"type":"article-journal","abstract":"Solute segregation at grain boundaries (GBs) is emerging as an alloy design tool, uses of which include the stabilization of nanocrystalline alloys. To predict the equilibrium segregation state in a given alloy, most thermodynamic models treat the full network of GBs as a single “entity”, and thus use an “effective” segregation energy to describe it. This simpliﬁcation ignores the spectral nature of available GB segregation energies in a polycrystal, which we elucidate here computationally for a Mg solute in an Al polycrystal; the distribution is found to be captured accurately with a skew-normal function. A thermodynamic segregation isotherm that incorporates this spectrum is outlined and employed to study the effect of such a spectrum on predictions of the equilibrium GB segregation state. The ramiﬁcations for experimentally-extracted GB segregation energies are shown to be potentially signiﬁcant, and nanocrystalline stability criteria are extended to account for this spectral nature of GB segregation.","container-title":"Acta Materialia","DOI":"10.1016/j.actamat.2019.09.034","ISSN":"13596454","journalAbbreviation":"Acta Materialia","language":"en","page":"228-237","source":"DOI.org (Crossref)","title":"Spectrum of grain boundary segregation energies in a polycrystal","volume":"181","author":[{"family":"Wagih","given":"Malik"},{"family":"Schuh","given":"Christopher A."}],"issued":{"date-parts":[["2019",12]]}}}],"schema":"https://github.com/citation-style-language/schema/raw/master/csl-citation.json"} </w:instrText>
      </w:r>
      <w:r w:rsidR="00055398" w:rsidRPr="00ED6690">
        <w:rPr>
          <w:rFonts w:ascii="Times New Roman" w:eastAsia="Calibri" w:hAnsi="Times New Roman" w:cs="Times New Roman"/>
          <w:szCs w:val="24"/>
        </w:rPr>
        <w:fldChar w:fldCharType="separate"/>
      </w:r>
      <w:r w:rsidR="0012582A" w:rsidRPr="0012582A">
        <w:rPr>
          <w:rFonts w:ascii="Times New Roman" w:hAnsi="Times New Roman" w:cs="Times New Roman"/>
          <w:kern w:val="0"/>
          <w:szCs w:val="24"/>
          <w:vertAlign w:val="superscript"/>
        </w:rPr>
        <w:t>71,72</w:t>
      </w:r>
      <w:r w:rsidR="00055398" w:rsidRPr="00ED6690">
        <w:rPr>
          <w:rFonts w:ascii="Times New Roman" w:eastAsia="Calibri" w:hAnsi="Times New Roman" w:cs="Times New Roman"/>
          <w:szCs w:val="24"/>
        </w:rPr>
        <w:fldChar w:fldCharType="end"/>
      </w:r>
      <w:r w:rsidRPr="00ED6690">
        <w:rPr>
          <w:rFonts w:ascii="Times New Roman" w:eastAsia="Calibri" w:hAnsi="Times New Roman" w:cs="Times New Roman"/>
          <w:szCs w:val="24"/>
        </w:rPr>
        <w:t>:</w:t>
      </w:r>
    </w:p>
    <w:tbl>
      <w:tblPr>
        <w:tblStyle w:val="TableGrid"/>
        <w:tblW w:w="9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90"/>
        <w:gridCol w:w="715"/>
        <w:gridCol w:w="715"/>
      </w:tblGrid>
      <w:tr w:rsidR="003D1530" w:rsidRPr="00ED6690" w14:paraId="58DC0EE0" w14:textId="77777777" w:rsidTr="00CD2C6D">
        <w:trPr>
          <w:trHeight w:val="837"/>
        </w:trPr>
        <w:tc>
          <w:tcPr>
            <w:tcW w:w="8190" w:type="dxa"/>
            <w:shd w:val="clear" w:color="auto" w:fill="auto"/>
            <w:vAlign w:val="center"/>
          </w:tcPr>
          <w:p w14:paraId="5C19A479" w14:textId="731DAF5F" w:rsidR="003D1530" w:rsidRPr="00ED6690" w:rsidRDefault="00787647" w:rsidP="00CD2C6D">
            <w:pPr>
              <w:spacing w:line="276" w:lineRule="auto"/>
              <w:jc w:val="both"/>
              <w:rPr>
                <w:rFonts w:ascii="Times New Roman" w:hAnsi="Times New Roman" w:cs="Times New Roman"/>
                <w:szCs w:val="24"/>
              </w:rPr>
            </w:pPr>
            <m:oMathPara>
              <m:oMath>
                <m:sSubSup>
                  <m:sSubSupPr>
                    <m:ctrlPr>
                      <w:rPr>
                        <w:rFonts w:ascii="Cambria Math" w:hAnsi="Cambria Math" w:cs="Times New Roman"/>
                        <w:i/>
                        <w:szCs w:val="24"/>
                      </w:rPr>
                    </m:ctrlPr>
                  </m:sSubSupPr>
                  <m:e>
                    <m: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IG</m:t>
                    </m:r>
                  </m:sup>
                </m:sSubSup>
                <m:d>
                  <m:dPr>
                    <m:ctrlPr>
                      <w:rPr>
                        <w:rFonts w:ascii="Cambria Math" w:hAnsi="Cambria Math" w:cs="Times New Roman"/>
                        <w:i/>
                        <w:szCs w:val="24"/>
                      </w:rPr>
                    </m:ctrlPr>
                  </m:dPr>
                  <m:e>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i</m:t>
                        </m:r>
                      </m:sub>
                      <m:sup>
                        <m:r>
                          <w:rPr>
                            <w:rFonts w:ascii="Cambria Math" w:hAnsi="Cambria Math" w:cs="Times New Roman"/>
                            <w:szCs w:val="24"/>
                          </w:rPr>
                          <m:t>seg</m:t>
                        </m:r>
                      </m:sup>
                    </m:sSubSup>
                  </m:e>
                </m:d>
                <m:r>
                  <w:rPr>
                    <w:rFonts w:ascii="Cambria Math" w:eastAsiaTheme="minorEastAsia" w:hAnsi="Cambria Math" w:cs="Times New Roman"/>
                    <w:szCs w:val="24"/>
                  </w:rPr>
                  <m:t>=</m:t>
                </m:r>
                <m:sSup>
                  <m:sSupPr>
                    <m:ctrlPr>
                      <w:rPr>
                        <w:rFonts w:ascii="Cambria Math" w:eastAsiaTheme="minorEastAsia" w:hAnsi="Cambria Math" w:cs="Times New Roman"/>
                        <w:i/>
                        <w:szCs w:val="24"/>
                      </w:rPr>
                    </m:ctrlPr>
                  </m:sSupPr>
                  <m:e>
                    <m:d>
                      <m:dPr>
                        <m:begChr m:val="{"/>
                        <m:endChr m:val="}"/>
                        <m:ctrlPr>
                          <w:rPr>
                            <w:rFonts w:ascii="Cambria Math" w:eastAsiaTheme="minorEastAsia" w:hAnsi="Cambria Math" w:cs="Times New Roman"/>
                            <w:i/>
                            <w:szCs w:val="24"/>
                          </w:rPr>
                        </m:ctrlPr>
                      </m:dPr>
                      <m:e>
                        <m:r>
                          <w:rPr>
                            <w:rFonts w:ascii="Cambria Math" w:eastAsiaTheme="minorEastAsia" w:hAnsi="Cambria Math" w:cs="Times New Roman"/>
                            <w:szCs w:val="24"/>
                          </w:rPr>
                          <m:t>1+</m:t>
                        </m:r>
                        <m:f>
                          <m:fPr>
                            <m:ctrlPr>
                              <w:rPr>
                                <w:rFonts w:ascii="Cambria Math" w:eastAsiaTheme="minorEastAsia" w:hAnsi="Cambria Math" w:cs="Times New Roman"/>
                                <w:i/>
                                <w:szCs w:val="24"/>
                              </w:rPr>
                            </m:ctrlPr>
                          </m:fPr>
                          <m:num>
                            <m:r>
                              <w:rPr>
                                <w:rFonts w:ascii="Cambria Math" w:eastAsiaTheme="minorEastAsia" w:hAnsi="Cambria Math" w:cs="Times New Roman"/>
                                <w:szCs w:val="24"/>
                              </w:rPr>
                              <m:t>1-</m:t>
                            </m:r>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X</m:t>
                                </m:r>
                              </m:e>
                              <m:sup>
                                <m:r>
                                  <w:rPr>
                                    <w:rFonts w:ascii="Cambria Math" w:eastAsiaTheme="minorEastAsia" w:hAnsi="Cambria Math" w:cs="Times New Roman"/>
                                    <w:szCs w:val="24"/>
                                  </w:rPr>
                                  <m:t>C</m:t>
                                </m:r>
                              </m:sup>
                            </m:sSup>
                          </m:num>
                          <m:den>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X</m:t>
                                </m:r>
                              </m:e>
                              <m:sup>
                                <m:r>
                                  <w:rPr>
                                    <w:rFonts w:ascii="Cambria Math" w:eastAsiaTheme="minorEastAsia" w:hAnsi="Cambria Math" w:cs="Times New Roman"/>
                                    <w:szCs w:val="24"/>
                                  </w:rPr>
                                  <m:t>C</m:t>
                                </m:r>
                              </m:sup>
                            </m:sSup>
                          </m:den>
                        </m:f>
                        <m:func>
                          <m:funcPr>
                            <m:ctrlPr>
                              <w:rPr>
                                <w:rFonts w:ascii="Cambria Math" w:eastAsiaTheme="minorEastAsia" w:hAnsi="Cambria Math" w:cs="Times New Roman"/>
                                <w:szCs w:val="24"/>
                              </w:rPr>
                            </m:ctrlPr>
                          </m:funcPr>
                          <m:fName>
                            <m:r>
                              <m:rPr>
                                <m:sty m:val="p"/>
                              </m:rPr>
                              <w:rPr>
                                <w:rFonts w:ascii="Cambria Math" w:eastAsiaTheme="minorEastAsia" w:hAnsi="Cambria Math" w:cs="Times New Roman"/>
                                <w:szCs w:val="24"/>
                              </w:rPr>
                              <m:t>exp</m:t>
                            </m:r>
                          </m:fName>
                          <m:e>
                            <m:d>
                              <m:dPr>
                                <m:begChr m:val="["/>
                                <m:endChr m:val="]"/>
                                <m:ctrlPr>
                                  <w:rPr>
                                    <w:rFonts w:ascii="Cambria Math" w:eastAsiaTheme="minorEastAsia" w:hAnsi="Cambria Math" w:cs="Times New Roman"/>
                                    <w:szCs w:val="24"/>
                                  </w:rPr>
                                </m:ctrlPr>
                              </m:dPr>
                              <m:e>
                                <m:f>
                                  <m:fPr>
                                    <m:ctrlPr>
                                      <w:rPr>
                                        <w:rFonts w:ascii="Cambria Math" w:eastAsiaTheme="minorEastAsia" w:hAnsi="Cambria Math" w:cs="Times New Roman"/>
                                        <w:szCs w:val="24"/>
                                      </w:rPr>
                                    </m:ctrlPr>
                                  </m:fPr>
                                  <m:num>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r>
                                      <m:rPr>
                                        <m:sty m:val="p"/>
                                      </m:rPr>
                                      <w:rPr>
                                        <w:rFonts w:ascii="Cambria Math" w:eastAsiaTheme="minorEastAsia" w:hAnsi="Cambria Math" w:cs="Times New Roman"/>
                                        <w:szCs w:val="24"/>
                                      </w:rPr>
                                      <m:t>-</m:t>
                                    </m:r>
                                    <m:r>
                                      <w:rPr>
                                        <w:rFonts w:ascii="Cambria Math" w:eastAsiaTheme="minorEastAsia" w:hAnsi="Cambria Math" w:cs="Times New Roman"/>
                                        <w:szCs w:val="24"/>
                                      </w:rPr>
                                      <m:t>T</m:t>
                                    </m:r>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i</m:t>
                                        </m:r>
                                      </m:sub>
                                      <m:sup>
                                        <m:r>
                                          <w:rPr>
                                            <w:rFonts w:ascii="Cambria Math" w:hAnsi="Cambria Math" w:cs="Times New Roman"/>
                                            <w:szCs w:val="24"/>
                                          </w:rPr>
                                          <m:t>seg</m:t>
                                        </m:r>
                                      </m:sup>
                                    </m:sSubSup>
                                  </m:num>
                                  <m:den>
                                    <m:sSub>
                                      <m:sSubPr>
                                        <m:ctrlPr>
                                          <w:rPr>
                                            <w:rFonts w:ascii="Cambria Math" w:eastAsiaTheme="minorEastAsia" w:hAnsi="Cambria Math" w:cs="Times New Roman"/>
                                            <w:i/>
                                            <w:iCs/>
                                            <w:szCs w:val="24"/>
                                          </w:rPr>
                                        </m:ctrlPr>
                                      </m:sSubPr>
                                      <m:e>
                                        <m:r>
                                          <w:rPr>
                                            <w:rFonts w:ascii="Cambria Math" w:eastAsiaTheme="minorEastAsia" w:hAnsi="Cambria Math" w:cs="Times New Roman"/>
                                            <w:szCs w:val="24"/>
                                          </w:rPr>
                                          <m:t>k</m:t>
                                        </m:r>
                                      </m:e>
                                      <m:sub>
                                        <m:r>
                                          <w:rPr>
                                            <w:rFonts w:ascii="Cambria Math" w:eastAsiaTheme="minorEastAsia" w:hAnsi="Cambria Math" w:cs="Times New Roman"/>
                                            <w:szCs w:val="24"/>
                                          </w:rPr>
                                          <m:t>B</m:t>
                                        </m:r>
                                      </m:sub>
                                    </m:sSub>
                                    <m:r>
                                      <w:rPr>
                                        <w:rFonts w:ascii="Cambria Math" w:eastAsiaTheme="minorEastAsia" w:hAnsi="Cambria Math" w:cs="Times New Roman"/>
                                        <w:szCs w:val="24"/>
                                      </w:rPr>
                                      <m:t>T</m:t>
                                    </m:r>
                                  </m:den>
                                </m:f>
                              </m:e>
                            </m:d>
                          </m:e>
                        </m:func>
                      </m:e>
                    </m:d>
                    <m:ctrlPr>
                      <w:rPr>
                        <w:rFonts w:ascii="Cambria Math" w:hAnsi="Cambria Math" w:cs="Times New Roman"/>
                        <w:i/>
                        <w:szCs w:val="24"/>
                      </w:rPr>
                    </m:ctrlPr>
                  </m:e>
                  <m:sup>
                    <m:r>
                      <w:rPr>
                        <w:rFonts w:ascii="Cambria Math" w:hAnsi="Cambria Math" w:cs="Times New Roman"/>
                        <w:szCs w:val="24"/>
                      </w:rPr>
                      <m:t>-</m:t>
                    </m:r>
                    <m:r>
                      <w:rPr>
                        <w:rFonts w:ascii="Cambria Math" w:hAnsi="Cambria Math" w:cs="Times New Roman"/>
                        <w:szCs w:val="24"/>
                      </w:rPr>
                      <m:t>1</m:t>
                    </m:r>
                  </m:sup>
                </m:sSup>
              </m:oMath>
            </m:oMathPara>
          </w:p>
        </w:tc>
        <w:tc>
          <w:tcPr>
            <w:tcW w:w="715" w:type="dxa"/>
          </w:tcPr>
          <w:p w14:paraId="5EC791F8" w14:textId="77777777" w:rsidR="003D1530" w:rsidRPr="00ED6690" w:rsidRDefault="003D1530" w:rsidP="00CD2C6D">
            <w:pPr>
              <w:pStyle w:val="Caption"/>
              <w:spacing w:line="276" w:lineRule="auto"/>
              <w:jc w:val="both"/>
              <w:rPr>
                <w:rFonts w:ascii="Times New Roman" w:hAnsi="Times New Roman" w:cs="Times New Roman"/>
                <w:color w:val="auto"/>
                <w:sz w:val="24"/>
                <w:szCs w:val="24"/>
              </w:rPr>
            </w:pPr>
          </w:p>
        </w:tc>
        <w:tc>
          <w:tcPr>
            <w:tcW w:w="715" w:type="dxa"/>
            <w:shd w:val="clear" w:color="auto" w:fill="auto"/>
            <w:vAlign w:val="center"/>
          </w:tcPr>
          <w:p w14:paraId="2937B308" w14:textId="6562DC6B" w:rsidR="003D1530" w:rsidRPr="00ED6690" w:rsidRDefault="003D1530" w:rsidP="00CD2C6D">
            <w:pPr>
              <w:pStyle w:val="Caption"/>
              <w:spacing w:line="276" w:lineRule="auto"/>
              <w:jc w:val="both"/>
              <w:rPr>
                <w:rFonts w:ascii="Times New Roman" w:hAnsi="Times New Roman" w:cs="Times New Roman"/>
                <w:color w:val="auto"/>
                <w:sz w:val="24"/>
                <w:szCs w:val="24"/>
              </w:rPr>
            </w:pPr>
            <w:r w:rsidRPr="00ED6690">
              <w:rPr>
                <w:rFonts w:ascii="Times New Roman" w:hAnsi="Times New Roman" w:cs="Times New Roman"/>
                <w:color w:val="auto"/>
                <w:sz w:val="24"/>
                <w:szCs w:val="24"/>
              </w:rPr>
              <w:t>(S</w:t>
            </w:r>
            <w:r w:rsidRPr="00ED6690">
              <w:rPr>
                <w:rFonts w:ascii="Times New Roman" w:hAnsi="Times New Roman" w:cs="Times New Roman"/>
                <w:color w:val="auto"/>
                <w:sz w:val="24"/>
                <w:szCs w:val="24"/>
              </w:rPr>
              <w:fldChar w:fldCharType="begin"/>
            </w:r>
            <w:r w:rsidRPr="00ED6690">
              <w:rPr>
                <w:rFonts w:ascii="Times New Roman" w:hAnsi="Times New Roman" w:cs="Times New Roman"/>
                <w:color w:val="auto"/>
                <w:sz w:val="24"/>
                <w:szCs w:val="24"/>
              </w:rPr>
              <w:instrText xml:space="preserve"> SEQ eq \* ARABIC </w:instrText>
            </w:r>
            <w:r w:rsidRPr="00ED6690">
              <w:rPr>
                <w:rFonts w:ascii="Times New Roman" w:hAnsi="Times New Roman" w:cs="Times New Roman"/>
                <w:color w:val="auto"/>
                <w:sz w:val="24"/>
                <w:szCs w:val="24"/>
              </w:rPr>
              <w:fldChar w:fldCharType="separate"/>
            </w:r>
            <w:r w:rsidR="00C8038C">
              <w:rPr>
                <w:rFonts w:ascii="Times New Roman" w:hAnsi="Times New Roman" w:cs="Times New Roman"/>
                <w:noProof/>
                <w:color w:val="auto"/>
                <w:sz w:val="24"/>
                <w:szCs w:val="24"/>
              </w:rPr>
              <w:t>5</w:t>
            </w:r>
            <w:r w:rsidRPr="00ED6690">
              <w:rPr>
                <w:rFonts w:ascii="Times New Roman" w:hAnsi="Times New Roman" w:cs="Times New Roman"/>
                <w:color w:val="auto"/>
                <w:sz w:val="24"/>
                <w:szCs w:val="24"/>
              </w:rPr>
              <w:fldChar w:fldCharType="end"/>
            </w:r>
            <w:r w:rsidRPr="00ED6690">
              <w:rPr>
                <w:rFonts w:ascii="Times New Roman" w:hAnsi="Times New Roman" w:cs="Times New Roman"/>
                <w:color w:val="auto"/>
                <w:sz w:val="24"/>
                <w:szCs w:val="24"/>
              </w:rPr>
              <w:t>)</w:t>
            </w:r>
          </w:p>
        </w:tc>
      </w:tr>
    </w:tbl>
    <w:p w14:paraId="5BA773D5" w14:textId="77777777" w:rsidR="003D1530" w:rsidRPr="00ED6690" w:rsidRDefault="003D1530" w:rsidP="006136C4">
      <w:pPr>
        <w:rPr>
          <w:rFonts w:ascii="Times New Roman" w:eastAsia="Calibri" w:hAnsi="Times New Roman" w:cs="Times New Roman"/>
          <w:szCs w:val="24"/>
        </w:rPr>
      </w:pPr>
    </w:p>
    <w:p w14:paraId="789A5F75" w14:textId="77777777" w:rsidR="006136C4" w:rsidRPr="00ED6690" w:rsidRDefault="006136C4" w:rsidP="006136C4">
      <w:pPr>
        <w:spacing w:line="276" w:lineRule="auto"/>
        <w:jc w:val="both"/>
        <w:rPr>
          <w:rFonts w:ascii="Times New Roman" w:eastAsia="Calibri" w:hAnsi="Times New Roman" w:cs="Times New Roman"/>
          <w:szCs w:val="24"/>
        </w:rPr>
      </w:pPr>
      <w:r w:rsidRPr="00ED6690">
        <w:rPr>
          <w:rFonts w:ascii="Times New Roman" w:eastAsia="Calibri" w:hAnsi="Times New Roman" w:cs="Times New Roman"/>
          <w:szCs w:val="24"/>
        </w:rPr>
        <w:t>with linear compensation:</w:t>
      </w:r>
    </w:p>
    <w:tbl>
      <w:tblPr>
        <w:tblStyle w:val="TableGrid"/>
        <w:tblW w:w="9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90"/>
        <w:gridCol w:w="715"/>
        <w:gridCol w:w="715"/>
      </w:tblGrid>
      <w:tr w:rsidR="003D1530" w:rsidRPr="00ED6690" w14:paraId="70D86FAC" w14:textId="77777777" w:rsidTr="00CD2C6D">
        <w:trPr>
          <w:trHeight w:val="837"/>
        </w:trPr>
        <w:tc>
          <w:tcPr>
            <w:tcW w:w="8190" w:type="dxa"/>
            <w:shd w:val="clear" w:color="auto" w:fill="auto"/>
            <w:vAlign w:val="center"/>
          </w:tcPr>
          <w:p w14:paraId="2ABD388A" w14:textId="314A133D" w:rsidR="003D1530" w:rsidRPr="00ED6690" w:rsidRDefault="00787647" w:rsidP="00CD2C6D">
            <w:pPr>
              <w:spacing w:line="276" w:lineRule="auto"/>
              <w:jc w:val="both"/>
              <w:rPr>
                <w:rFonts w:ascii="Times New Roman" w:hAnsi="Times New Roman" w:cs="Times New Roman"/>
                <w:szCs w:val="24"/>
              </w:rPr>
            </w:pPr>
            <m:oMathPara>
              <m:oMath>
                <m:sSubSup>
                  <m:sSubSupPr>
                    <m:ctrlPr>
                      <w:rPr>
                        <w:rFonts w:ascii="Cambria Math" w:hAnsi="Cambria Math" w:cs="Times New Roman"/>
                        <w:i/>
                        <w:szCs w:val="24"/>
                      </w:rPr>
                    </m:ctrlPr>
                  </m:sSubSupPr>
                  <m:e>
                    <m: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IG</m:t>
                    </m:r>
                  </m:sup>
                </m:sSubSup>
                <m:d>
                  <m:dPr>
                    <m:ctrlPr>
                      <w:rPr>
                        <w:rFonts w:ascii="Cambria Math" w:hAnsi="Cambria Math" w:cs="Times New Roman"/>
                        <w:i/>
                        <w:szCs w:val="24"/>
                      </w:rPr>
                    </m:ctrlPr>
                  </m:dPr>
                  <m:e>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i</m:t>
                        </m:r>
                      </m:sub>
                      <m:sup>
                        <m:r>
                          <w:rPr>
                            <w:rFonts w:ascii="Cambria Math" w:hAnsi="Cambria Math" w:cs="Times New Roman"/>
                            <w:szCs w:val="24"/>
                          </w:rPr>
                          <m:t>seg</m:t>
                        </m:r>
                      </m:sup>
                    </m:sSubSup>
                  </m:e>
                </m:d>
                <m:r>
                  <w:rPr>
                    <w:rFonts w:ascii="Cambria Math" w:eastAsiaTheme="minorEastAsia" w:hAnsi="Cambria Math" w:cs="Times New Roman"/>
                    <w:szCs w:val="24"/>
                  </w:rPr>
                  <m:t>=</m:t>
                </m:r>
                <m:sSup>
                  <m:sSupPr>
                    <m:ctrlPr>
                      <w:rPr>
                        <w:rFonts w:ascii="Cambria Math" w:eastAsiaTheme="minorEastAsia" w:hAnsi="Cambria Math" w:cs="Times New Roman"/>
                        <w:i/>
                        <w:szCs w:val="24"/>
                      </w:rPr>
                    </m:ctrlPr>
                  </m:sSupPr>
                  <m:e>
                    <m:d>
                      <m:dPr>
                        <m:begChr m:val="{"/>
                        <m:endChr m:val="}"/>
                        <m:ctrlPr>
                          <w:rPr>
                            <w:rFonts w:ascii="Cambria Math" w:eastAsiaTheme="minorEastAsia" w:hAnsi="Cambria Math" w:cs="Times New Roman"/>
                            <w:i/>
                            <w:szCs w:val="24"/>
                          </w:rPr>
                        </m:ctrlPr>
                      </m:dPr>
                      <m:e>
                        <m:r>
                          <w:rPr>
                            <w:rFonts w:ascii="Cambria Math" w:eastAsiaTheme="minorEastAsia" w:hAnsi="Cambria Math" w:cs="Times New Roman"/>
                            <w:szCs w:val="24"/>
                          </w:rPr>
                          <m:t>1+</m:t>
                        </m:r>
                        <m:f>
                          <m:fPr>
                            <m:ctrlPr>
                              <w:rPr>
                                <w:rFonts w:ascii="Cambria Math" w:eastAsiaTheme="minorEastAsia" w:hAnsi="Cambria Math" w:cs="Times New Roman"/>
                                <w:i/>
                                <w:szCs w:val="24"/>
                              </w:rPr>
                            </m:ctrlPr>
                          </m:fPr>
                          <m:num>
                            <m:r>
                              <w:rPr>
                                <w:rFonts w:ascii="Cambria Math" w:eastAsiaTheme="minorEastAsia" w:hAnsi="Cambria Math" w:cs="Times New Roman"/>
                                <w:szCs w:val="24"/>
                              </w:rPr>
                              <m:t>1-</m:t>
                            </m:r>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X</m:t>
                                </m:r>
                              </m:e>
                              <m:sup>
                                <m:r>
                                  <w:rPr>
                                    <w:rFonts w:ascii="Cambria Math" w:eastAsiaTheme="minorEastAsia" w:hAnsi="Cambria Math" w:cs="Times New Roman"/>
                                    <w:szCs w:val="24"/>
                                  </w:rPr>
                                  <m:t>C</m:t>
                                </m:r>
                              </m:sup>
                            </m:sSup>
                          </m:num>
                          <m:den>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X</m:t>
                                </m:r>
                              </m:e>
                              <m:sup>
                                <m:r>
                                  <w:rPr>
                                    <w:rFonts w:ascii="Cambria Math" w:eastAsiaTheme="minorEastAsia" w:hAnsi="Cambria Math" w:cs="Times New Roman"/>
                                    <w:szCs w:val="24"/>
                                  </w:rPr>
                                  <m:t>C</m:t>
                                </m:r>
                              </m:sup>
                            </m:sSup>
                          </m:den>
                        </m:f>
                        <m:func>
                          <m:funcPr>
                            <m:ctrlPr>
                              <w:rPr>
                                <w:rFonts w:ascii="Cambria Math" w:eastAsiaTheme="minorEastAsia" w:hAnsi="Cambria Math" w:cs="Times New Roman"/>
                                <w:szCs w:val="24"/>
                              </w:rPr>
                            </m:ctrlPr>
                          </m:funcPr>
                          <m:fName>
                            <m:r>
                              <m:rPr>
                                <m:sty m:val="p"/>
                              </m:rPr>
                              <w:rPr>
                                <w:rFonts w:ascii="Cambria Math" w:eastAsiaTheme="minorEastAsia" w:hAnsi="Cambria Math" w:cs="Times New Roman"/>
                                <w:szCs w:val="24"/>
                              </w:rPr>
                              <m:t>exp</m:t>
                            </m:r>
                          </m:fName>
                          <m:e>
                            <m:d>
                              <m:dPr>
                                <m:begChr m:val="["/>
                                <m:endChr m:val="]"/>
                                <m:ctrlPr>
                                  <w:rPr>
                                    <w:rFonts w:ascii="Cambria Math" w:eastAsiaTheme="minorEastAsia" w:hAnsi="Cambria Math" w:cs="Times New Roman"/>
                                    <w:szCs w:val="24"/>
                                  </w:rPr>
                                </m:ctrlPr>
                              </m:dPr>
                              <m:e>
                                <m:f>
                                  <m:fPr>
                                    <m:ctrlPr>
                                      <w:rPr>
                                        <w:rFonts w:ascii="Cambria Math" w:eastAsiaTheme="minorEastAsia" w:hAnsi="Cambria Math" w:cs="Times New Roman"/>
                                        <w:szCs w:val="24"/>
                                      </w:rPr>
                                    </m:ctrlPr>
                                  </m:fPr>
                                  <m:num>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r>
                                      <m:rPr>
                                        <m:sty m:val="p"/>
                                      </m:rPr>
                                      <w:rPr>
                                        <w:rFonts w:ascii="Cambria Math" w:eastAsiaTheme="minorEastAsia" w:hAnsi="Cambria Math" w:cs="Times New Roman"/>
                                        <w:szCs w:val="24"/>
                                      </w:rPr>
                                      <m:t>-</m:t>
                                    </m:r>
                                    <m:r>
                                      <w:rPr>
                                        <w:rFonts w:ascii="Cambria Math" w:eastAsiaTheme="minorEastAsia" w:hAnsi="Cambria Math" w:cs="Times New Roman"/>
                                        <w:szCs w:val="24"/>
                                      </w:rPr>
                                      <m:t>T</m:t>
                                    </m:r>
                                    <m:r>
                                      <w:rPr>
                                        <w:rFonts w:ascii="Cambria Math" w:hAnsi="Cambria Math" w:cs="Times New Roman"/>
                                        <w:szCs w:val="24"/>
                                      </w:rPr>
                                      <m:t>(</m:t>
                                    </m:r>
                                    <m:r>
                                      <w:rPr>
                                        <w:rFonts w:ascii="Cambria Math" w:hAnsi="Cambria Math" w:cs="Times New Roman"/>
                                        <w:szCs w:val="24"/>
                                      </w:rPr>
                                      <m:t>χ</m:t>
                                    </m:r>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m:t>
                                        </m:r>
                                        <m:r>
                                          <w:rPr>
                                            <w:rFonts w:ascii="Cambria Math" w:hAnsi="Cambria Math" w:cs="Times New Roman"/>
                                            <w:szCs w:val="24"/>
                                          </w:rPr>
                                          <m:t>S</m:t>
                                        </m:r>
                                      </m:e>
                                      <m:sub>
                                        <m:r>
                                          <w:rPr>
                                            <w:rFonts w:ascii="Cambria Math" w:hAnsi="Cambria Math" w:cs="Times New Roman"/>
                                            <w:szCs w:val="24"/>
                                          </w:rPr>
                                          <m:t>0</m:t>
                                        </m:r>
                                      </m:sub>
                                      <m:sup>
                                        <m:r>
                                          <w:rPr>
                                            <w:rFonts w:ascii="Cambria Math" w:hAnsi="Cambria Math" w:cs="Times New Roman"/>
                                            <w:szCs w:val="24"/>
                                          </w:rPr>
                                          <m:t>solute</m:t>
                                        </m:r>
                                        <m:r>
                                          <w:rPr>
                                            <w:rFonts w:ascii="Cambria Math" w:hAnsi="Cambria Math" w:cs="Times New Roman"/>
                                            <w:szCs w:val="24"/>
                                          </w:rPr>
                                          <m:t>,</m:t>
                                        </m:r>
                                        <m:r>
                                          <w:rPr>
                                            <w:rFonts w:ascii="Cambria Math" w:hAnsi="Cambria Math" w:cs="Times New Roman"/>
                                            <w:szCs w:val="24"/>
                                          </w:rPr>
                                          <m:t>GB</m:t>
                                        </m:r>
                                      </m:sup>
                                    </m:sSubSup>
                                    <m:r>
                                      <w:rPr>
                                        <w:rFonts w:ascii="Cambria Math" w:hAnsi="Cambria Math" w:cs="Times New Roman"/>
                                        <w:szCs w:val="24"/>
                                      </w:rPr>
                                      <m:t>)</m:t>
                                    </m:r>
                                  </m:num>
                                  <m:den>
                                    <m:sSub>
                                      <m:sSubPr>
                                        <m:ctrlPr>
                                          <w:rPr>
                                            <w:rFonts w:ascii="Cambria Math" w:hAnsi="Cambria Math" w:cs="Times New Roman"/>
                                            <w:i/>
                                            <w:szCs w:val="24"/>
                                          </w:rPr>
                                        </m:ctrlPr>
                                      </m:sSubPr>
                                      <m:e>
                                        <m:r>
                                          <w:rPr>
                                            <w:rFonts w:ascii="Cambria Math" w:hAnsi="Cambria Math" w:cs="Times New Roman"/>
                                            <w:szCs w:val="24"/>
                                          </w:rPr>
                                          <m:t>k</m:t>
                                        </m:r>
                                      </m:e>
                                      <m:sub>
                                        <m:r>
                                          <w:rPr>
                                            <w:rFonts w:ascii="Cambria Math" w:hAnsi="Cambria Math" w:cs="Times New Roman"/>
                                            <w:szCs w:val="24"/>
                                          </w:rPr>
                                          <m:t>b</m:t>
                                        </m:r>
                                      </m:sub>
                                    </m:sSub>
                                    <m:r>
                                      <w:rPr>
                                        <w:rFonts w:ascii="Cambria Math" w:hAnsi="Cambria Math" w:cs="Times New Roman"/>
                                        <w:szCs w:val="24"/>
                                      </w:rPr>
                                      <m:t>T</m:t>
                                    </m:r>
                                  </m:den>
                                </m:f>
                              </m:e>
                            </m:d>
                          </m:e>
                        </m:func>
                      </m:e>
                    </m:d>
                    <m:ctrlPr>
                      <w:rPr>
                        <w:rFonts w:ascii="Cambria Math" w:hAnsi="Cambria Math" w:cs="Times New Roman"/>
                        <w:i/>
                        <w:szCs w:val="24"/>
                      </w:rPr>
                    </m:ctrlPr>
                  </m:e>
                  <m:sup>
                    <m:r>
                      <w:rPr>
                        <w:rFonts w:ascii="Cambria Math" w:hAnsi="Cambria Math" w:cs="Times New Roman"/>
                        <w:szCs w:val="24"/>
                      </w:rPr>
                      <m:t>-</m:t>
                    </m:r>
                    <m:r>
                      <w:rPr>
                        <w:rFonts w:ascii="Cambria Math" w:hAnsi="Cambria Math" w:cs="Times New Roman"/>
                        <w:szCs w:val="24"/>
                      </w:rPr>
                      <m:t>1</m:t>
                    </m:r>
                  </m:sup>
                </m:sSup>
              </m:oMath>
            </m:oMathPara>
          </w:p>
        </w:tc>
        <w:tc>
          <w:tcPr>
            <w:tcW w:w="715" w:type="dxa"/>
          </w:tcPr>
          <w:p w14:paraId="382EC24D" w14:textId="77777777" w:rsidR="003D1530" w:rsidRPr="00ED6690" w:rsidRDefault="003D1530" w:rsidP="00CD2C6D">
            <w:pPr>
              <w:pStyle w:val="Caption"/>
              <w:spacing w:line="276" w:lineRule="auto"/>
              <w:jc w:val="both"/>
              <w:rPr>
                <w:rFonts w:ascii="Times New Roman" w:hAnsi="Times New Roman" w:cs="Times New Roman"/>
                <w:color w:val="auto"/>
                <w:sz w:val="24"/>
                <w:szCs w:val="24"/>
              </w:rPr>
            </w:pPr>
          </w:p>
        </w:tc>
        <w:tc>
          <w:tcPr>
            <w:tcW w:w="715" w:type="dxa"/>
            <w:shd w:val="clear" w:color="auto" w:fill="auto"/>
            <w:vAlign w:val="center"/>
          </w:tcPr>
          <w:p w14:paraId="74E0D857" w14:textId="406FC4CF" w:rsidR="003D1530" w:rsidRPr="00ED6690" w:rsidRDefault="003D1530" w:rsidP="00CD2C6D">
            <w:pPr>
              <w:pStyle w:val="Caption"/>
              <w:spacing w:line="276" w:lineRule="auto"/>
              <w:jc w:val="both"/>
              <w:rPr>
                <w:rFonts w:ascii="Times New Roman" w:hAnsi="Times New Roman" w:cs="Times New Roman"/>
                <w:color w:val="auto"/>
                <w:sz w:val="24"/>
                <w:szCs w:val="24"/>
              </w:rPr>
            </w:pPr>
            <w:r w:rsidRPr="00ED6690">
              <w:rPr>
                <w:rFonts w:ascii="Times New Roman" w:hAnsi="Times New Roman" w:cs="Times New Roman"/>
                <w:color w:val="auto"/>
                <w:sz w:val="24"/>
                <w:szCs w:val="24"/>
              </w:rPr>
              <w:t>(S</w:t>
            </w:r>
            <w:r w:rsidRPr="00ED6690">
              <w:rPr>
                <w:rFonts w:ascii="Times New Roman" w:hAnsi="Times New Roman" w:cs="Times New Roman"/>
                <w:color w:val="auto"/>
                <w:sz w:val="24"/>
                <w:szCs w:val="24"/>
              </w:rPr>
              <w:fldChar w:fldCharType="begin"/>
            </w:r>
            <w:r w:rsidRPr="00ED6690">
              <w:rPr>
                <w:rFonts w:ascii="Times New Roman" w:hAnsi="Times New Roman" w:cs="Times New Roman"/>
                <w:color w:val="auto"/>
                <w:sz w:val="24"/>
                <w:szCs w:val="24"/>
              </w:rPr>
              <w:instrText xml:space="preserve"> SEQ eq \* ARABIC </w:instrText>
            </w:r>
            <w:r w:rsidRPr="00ED6690">
              <w:rPr>
                <w:rFonts w:ascii="Times New Roman" w:hAnsi="Times New Roman" w:cs="Times New Roman"/>
                <w:color w:val="auto"/>
                <w:sz w:val="24"/>
                <w:szCs w:val="24"/>
              </w:rPr>
              <w:fldChar w:fldCharType="separate"/>
            </w:r>
            <w:r w:rsidR="00C8038C">
              <w:rPr>
                <w:rFonts w:ascii="Times New Roman" w:hAnsi="Times New Roman" w:cs="Times New Roman"/>
                <w:noProof/>
                <w:color w:val="auto"/>
                <w:sz w:val="24"/>
                <w:szCs w:val="24"/>
              </w:rPr>
              <w:t>6</w:t>
            </w:r>
            <w:r w:rsidRPr="00ED6690">
              <w:rPr>
                <w:rFonts w:ascii="Times New Roman" w:hAnsi="Times New Roman" w:cs="Times New Roman"/>
                <w:color w:val="auto"/>
                <w:sz w:val="24"/>
                <w:szCs w:val="24"/>
              </w:rPr>
              <w:fldChar w:fldCharType="end"/>
            </w:r>
            <w:r w:rsidRPr="00ED6690">
              <w:rPr>
                <w:rFonts w:ascii="Times New Roman" w:hAnsi="Times New Roman" w:cs="Times New Roman"/>
                <w:color w:val="auto"/>
                <w:sz w:val="24"/>
                <w:szCs w:val="24"/>
              </w:rPr>
              <w:t>)</w:t>
            </w:r>
          </w:p>
        </w:tc>
      </w:tr>
    </w:tbl>
    <w:p w14:paraId="7AAF1B74" w14:textId="77777777" w:rsidR="003D1530" w:rsidRPr="00ED6690" w:rsidRDefault="003D1530" w:rsidP="006136C4">
      <w:pPr>
        <w:spacing w:line="276" w:lineRule="auto"/>
        <w:jc w:val="both"/>
        <w:rPr>
          <w:rFonts w:ascii="Times New Roman" w:eastAsia="Calibri" w:hAnsi="Times New Roman" w:cs="Times New Roman"/>
          <w:szCs w:val="24"/>
        </w:rPr>
      </w:pPr>
    </w:p>
    <w:p w14:paraId="554CF873" w14:textId="58D9D8C1" w:rsidR="006136C4" w:rsidRPr="00ED6690" w:rsidRDefault="00795768" w:rsidP="006136C4">
      <w:pPr>
        <w:spacing w:line="276" w:lineRule="auto"/>
        <w:jc w:val="both"/>
        <w:rPr>
          <w:rFonts w:ascii="Times New Roman" w:eastAsia="Calibri" w:hAnsi="Times New Roman" w:cs="Times New Roman"/>
          <w:szCs w:val="24"/>
        </w:rPr>
      </w:pPr>
      <w:r w:rsidRPr="00ED6690">
        <w:rPr>
          <w:rFonts w:ascii="Times New Roman" w:eastAsia="Calibri" w:hAnsi="Times New Roman" w:cs="Times New Roman"/>
          <w:szCs w:val="24"/>
        </w:rPr>
        <w:t>We also show</w:t>
      </w:r>
      <w:r w:rsidR="00EE0BF4" w:rsidRPr="00ED6690">
        <w:rPr>
          <w:rFonts w:ascii="Times New Roman" w:eastAsia="Calibri" w:hAnsi="Times New Roman" w:cs="Times New Roman"/>
          <w:szCs w:val="24"/>
        </w:rPr>
        <w:t xml:space="preserve"> the case</w:t>
      </w:r>
      <w:r w:rsidRPr="00ED6690">
        <w:rPr>
          <w:rFonts w:ascii="Times New Roman" w:eastAsia="Calibri" w:hAnsi="Times New Roman" w:cs="Times New Roman"/>
          <w:szCs w:val="24"/>
        </w:rPr>
        <w:t>s</w:t>
      </w:r>
      <w:r w:rsidR="00EE0BF4" w:rsidRPr="00ED6690">
        <w:rPr>
          <w:rFonts w:ascii="Times New Roman" w:eastAsia="Calibri" w:hAnsi="Times New Roman" w:cs="Times New Roman"/>
          <w:szCs w:val="24"/>
        </w:rPr>
        <w:t xml:space="preserve"> without </w:t>
      </w:r>
      <m:oMath>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0</m:t>
            </m:r>
          </m:sub>
          <m:sup>
            <m:r>
              <w:rPr>
                <w:rFonts w:ascii="Cambria Math" w:hAnsi="Cambria Math" w:cs="Times New Roman"/>
                <w:szCs w:val="24"/>
              </w:rPr>
              <m:t>solute,GB</m:t>
            </m:r>
          </m:sup>
        </m:sSubSup>
      </m:oMath>
      <w:r w:rsidRPr="00ED6690">
        <w:rPr>
          <w:rFonts w:ascii="Times New Roman" w:eastAsia="Calibri" w:hAnsi="Times New Roman" w:cs="Times New Roman"/>
          <w:szCs w:val="24"/>
        </w:rPr>
        <w:t xml:space="preserve"> and without </w:t>
      </w:r>
      <w:r w:rsidR="00EE0BF4" w:rsidRPr="00ED6690">
        <w:rPr>
          <w:rFonts w:ascii="Times New Roman" w:eastAsia="Calibri" w:hAnsi="Times New Roman" w:cs="Times New Roman"/>
          <w:szCs w:val="24"/>
        </w:rPr>
        <w:t>any excess entropy,</w:t>
      </w:r>
      <w:r w:rsidR="006136C4" w:rsidRPr="00ED6690">
        <w:rPr>
          <w:rFonts w:ascii="Times New Roman" w:eastAsia="Calibri" w:hAnsi="Times New Roman" w:cs="Times New Roman"/>
          <w:szCs w:val="24"/>
        </w:rPr>
        <w:t xml:space="preserve"> </w:t>
      </w:r>
      <m:oMath>
        <m:r>
          <w:rPr>
            <w:rFonts w:ascii="Cambria Math" w:hAnsi="Cambria Math" w:cs="Times New Roman"/>
            <w:szCs w:val="24"/>
          </w:rPr>
          <m:t>χ</m:t>
        </m:r>
        <m:r>
          <w:rPr>
            <w:rFonts w:ascii="Cambria Math" w:eastAsia="Calibri"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0</m:t>
            </m:r>
          </m:sub>
          <m:sup>
            <m:r>
              <w:rPr>
                <w:rFonts w:ascii="Cambria Math" w:hAnsi="Cambria Math" w:cs="Times New Roman"/>
                <w:szCs w:val="24"/>
              </w:rPr>
              <m:t>solute,GB</m:t>
            </m:r>
          </m:sup>
        </m:sSubSup>
        <m:r>
          <w:rPr>
            <w:rFonts w:ascii="Cambria Math" w:hAnsi="Cambria Math" w:cs="Times New Roman"/>
            <w:szCs w:val="24"/>
          </w:rPr>
          <m:t>=0</m:t>
        </m:r>
      </m:oMath>
      <w:r w:rsidR="003C5688" w:rsidRPr="00ED6690">
        <w:rPr>
          <w:rFonts w:ascii="Times New Roman" w:eastAsia="Calibri" w:hAnsi="Times New Roman" w:cs="Times New Roman"/>
          <w:szCs w:val="24"/>
        </w:rPr>
        <w:t xml:space="preserve"> for comparison</w:t>
      </w:r>
      <w:r w:rsidR="00F33F78" w:rsidRPr="00ED6690">
        <w:rPr>
          <w:rFonts w:ascii="Times New Roman" w:eastAsia="Calibri" w:hAnsi="Times New Roman" w:cs="Times New Roman"/>
          <w:szCs w:val="24"/>
        </w:rPr>
        <w:t>.</w:t>
      </w:r>
    </w:p>
    <w:p w14:paraId="0C1BF129" w14:textId="463BE048" w:rsidR="00F97ADD" w:rsidRPr="00ED6690" w:rsidRDefault="0010163D" w:rsidP="003C5688">
      <w:pPr>
        <w:ind w:firstLine="720"/>
        <w:rPr>
          <w:rFonts w:ascii="Times New Roman" w:hAnsi="Times New Roman" w:cs="Times New Roman"/>
          <w:szCs w:val="24"/>
        </w:rPr>
      </w:pPr>
      <w:r w:rsidRPr="00ED6690">
        <w:rPr>
          <w:rFonts w:ascii="Times New Roman" w:hAnsi="Times New Roman" w:cs="Times New Roman"/>
          <w:szCs w:val="24"/>
        </w:rPr>
        <w:t>The second solver is a univariate isotherm solver which takes segregation energy skew-normal distribution parameters</w:t>
      </w:r>
      <w:r w:rsidR="005E3091" w:rsidRPr="00ED6690">
        <w:rPr>
          <w:rFonts w:ascii="Times New Roman" w:hAnsi="Times New Roman" w:cs="Times New Roman"/>
          <w:szCs w:val="24"/>
        </w:rPr>
        <w:t xml:space="preserve"> as an input and solve a single integral instead of </w:t>
      </w:r>
      <w:proofErr w:type="spellStart"/>
      <w:r w:rsidR="005E3091" w:rsidRPr="00ED6690">
        <w:rPr>
          <w:rFonts w:ascii="Times New Roman" w:hAnsi="Times New Roman" w:cs="Times New Roman"/>
          <w:szCs w:val="24"/>
        </w:rPr>
        <w:t>Eqs</w:t>
      </w:r>
      <w:proofErr w:type="spellEnd"/>
      <w:r w:rsidR="005E3091" w:rsidRPr="00ED6690">
        <w:rPr>
          <w:rFonts w:ascii="Times New Roman" w:hAnsi="Times New Roman" w:cs="Times New Roman"/>
          <w:szCs w:val="24"/>
        </w:rPr>
        <w:t>. (S4</w:t>
      </w:r>
      <w:r w:rsidR="001A1696">
        <w:rPr>
          <w:rFonts w:ascii="Times New Roman" w:hAnsi="Times New Roman" w:cs="Times New Roman"/>
          <w:szCs w:val="24"/>
        </w:rPr>
        <w:t>-6</w:t>
      </w:r>
      <w:r w:rsidR="005E3091" w:rsidRPr="00ED6690">
        <w:rPr>
          <w:rFonts w:ascii="Times New Roman" w:hAnsi="Times New Roman" w:cs="Times New Roman"/>
          <w:szCs w:val="24"/>
        </w:rPr>
        <w:t>)</w:t>
      </w:r>
      <w:r w:rsidR="001A1696">
        <w:rPr>
          <w:rFonts w:ascii="Times New Roman" w:hAnsi="Times New Roman" w:cs="Times New Roman"/>
          <w:szCs w:val="24"/>
        </w:rPr>
        <w:t>:</w:t>
      </w:r>
    </w:p>
    <w:tbl>
      <w:tblPr>
        <w:tblStyle w:val="TableGrid"/>
        <w:tblW w:w="9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90"/>
        <w:gridCol w:w="715"/>
        <w:gridCol w:w="715"/>
      </w:tblGrid>
      <w:tr w:rsidR="003D1530" w:rsidRPr="00ED6690" w14:paraId="45CB9B13" w14:textId="77777777" w:rsidTr="00CD2C6D">
        <w:trPr>
          <w:trHeight w:val="837"/>
        </w:trPr>
        <w:tc>
          <w:tcPr>
            <w:tcW w:w="8190" w:type="dxa"/>
            <w:shd w:val="clear" w:color="auto" w:fill="auto"/>
            <w:vAlign w:val="center"/>
          </w:tcPr>
          <w:p w14:paraId="5E0DE4AC" w14:textId="29F04626" w:rsidR="003D1530" w:rsidRPr="00ED6690" w:rsidRDefault="00787647" w:rsidP="00CD2C6D">
            <w:pPr>
              <w:spacing w:line="276" w:lineRule="auto"/>
              <w:jc w:val="both"/>
              <w:rPr>
                <w:rFonts w:ascii="Times New Roman" w:hAnsi="Times New Roman" w:cs="Times New Roman"/>
                <w:szCs w:val="24"/>
              </w:rPr>
            </w:pPr>
            <m:oMathPara>
              <m:oMath>
                <m:sSup>
                  <m:sSupPr>
                    <m:ctrlPr>
                      <w:rPr>
                        <w:rFonts w:ascii="Cambria Math" w:hAnsi="Cambria Math" w:cs="Times New Roman"/>
                        <w:i/>
                        <w:szCs w:val="24"/>
                      </w:rPr>
                    </m:ctrlPr>
                  </m:sSupPr>
                  <m:e>
                    <m:r>
                      <w:rPr>
                        <w:rFonts w:ascii="Cambria Math" w:hAnsi="Cambria Math" w:cs="Times New Roman"/>
                        <w:szCs w:val="24"/>
                      </w:rPr>
                      <m:t>X</m:t>
                    </m:r>
                  </m:e>
                  <m:sup>
                    <m:r>
                      <w:rPr>
                        <w:rFonts w:ascii="Cambria Math" w:hAnsi="Cambria Math" w:cs="Times New Roman"/>
                        <w:szCs w:val="24"/>
                      </w:rPr>
                      <m:t>tot</m:t>
                    </m:r>
                  </m:sup>
                </m:sSup>
                <m:r>
                  <w:rPr>
                    <w:rFonts w:ascii="Cambria Math" w:hAnsi="Cambria Math" w:cs="Times New Roman"/>
                    <w:szCs w:val="24"/>
                  </w:rPr>
                  <m:t>=</m:t>
                </m:r>
                <m:d>
                  <m:dPr>
                    <m:ctrlPr>
                      <w:rPr>
                        <w:rFonts w:ascii="Cambria Math" w:hAnsi="Cambria Math" w:cs="Times New Roman"/>
                        <w:i/>
                        <w:szCs w:val="24"/>
                      </w:rPr>
                    </m:ctrlPr>
                  </m:dPr>
                  <m:e>
                    <m:r>
                      <w:rPr>
                        <w:rFonts w:ascii="Cambria Math" w:hAnsi="Cambria Math" w:cs="Times New Roman"/>
                        <w:szCs w:val="24"/>
                      </w:rPr>
                      <m:t>1-</m:t>
                    </m:r>
                    <m:sSup>
                      <m:sSupPr>
                        <m:ctrlPr>
                          <w:rPr>
                            <w:rFonts w:ascii="Cambria Math" w:hAnsi="Cambria Math" w:cs="Times New Roman"/>
                            <w:i/>
                            <w:szCs w:val="24"/>
                          </w:rPr>
                        </m:ctrlPr>
                      </m:sSupPr>
                      <m:e>
                        <m:r>
                          <w:rPr>
                            <w:rFonts w:ascii="Cambria Math" w:hAnsi="Cambria Math" w:cs="Times New Roman"/>
                            <w:szCs w:val="24"/>
                          </w:rPr>
                          <m:t>f</m:t>
                        </m:r>
                      </m:e>
                      <m:sup>
                        <m:r>
                          <w:rPr>
                            <w:rFonts w:ascii="Cambria Math" w:hAnsi="Cambria Math" w:cs="Times New Roman"/>
                            <w:szCs w:val="24"/>
                          </w:rPr>
                          <m:t>GB</m:t>
                        </m:r>
                      </m:sup>
                    </m:sSup>
                  </m:e>
                </m:d>
                <m:sSup>
                  <m:sSupPr>
                    <m:ctrlPr>
                      <w:rPr>
                        <w:rFonts w:ascii="Cambria Math" w:hAnsi="Cambria Math" w:cs="Times New Roman"/>
                        <w:i/>
                        <w:szCs w:val="24"/>
                      </w:rPr>
                    </m:ctrlPr>
                  </m:sSupPr>
                  <m:e>
                    <m:r>
                      <w:rPr>
                        <w:rFonts w:ascii="Cambria Math" w:hAnsi="Cambria Math" w:cs="Times New Roman"/>
                        <w:szCs w:val="24"/>
                      </w:rPr>
                      <m:t>X</m:t>
                    </m:r>
                  </m:e>
                  <m:sup>
                    <m:r>
                      <w:rPr>
                        <w:rFonts w:ascii="Cambria Math" w:hAnsi="Cambria Math" w:cs="Times New Roman"/>
                        <w:szCs w:val="24"/>
                      </w:rPr>
                      <m:t>C</m:t>
                    </m:r>
                  </m:sup>
                </m:sSup>
                <m:r>
                  <w:rPr>
                    <w:rFonts w:ascii="Cambria Math" w:hAnsi="Cambria Math" w:cs="Times New Roman"/>
                    <w:szCs w:val="24"/>
                  </w:rPr>
                  <m:t>+</m:t>
                </m:r>
                <m:sSup>
                  <m:sSupPr>
                    <m:ctrlPr>
                      <w:rPr>
                        <w:rFonts w:ascii="Cambria Math" w:hAnsi="Cambria Math" w:cs="Times New Roman"/>
                        <w:i/>
                        <w:szCs w:val="24"/>
                      </w:rPr>
                    </m:ctrlPr>
                  </m:sSupPr>
                  <m:e>
                    <m:r>
                      <w:rPr>
                        <w:rFonts w:ascii="Cambria Math" w:hAnsi="Cambria Math" w:cs="Times New Roman"/>
                        <w:szCs w:val="24"/>
                      </w:rPr>
                      <m:t>f</m:t>
                    </m:r>
                  </m:e>
                  <m:sup>
                    <m:r>
                      <w:rPr>
                        <w:rFonts w:ascii="Cambria Math" w:hAnsi="Cambria Math" w:cs="Times New Roman"/>
                        <w:szCs w:val="24"/>
                      </w:rPr>
                      <m:t>GB</m:t>
                    </m:r>
                  </m:sup>
                </m:sSup>
                <m:nary>
                  <m:naryPr>
                    <m:limLoc m:val="undOvr"/>
                    <m:subHide m:val="1"/>
                    <m:supHide m:val="1"/>
                    <m:ctrlPr>
                      <w:rPr>
                        <w:rFonts w:ascii="Cambria Math" w:hAnsi="Cambria Math" w:cs="Times New Roman"/>
                        <w:i/>
                        <w:szCs w:val="24"/>
                      </w:rPr>
                    </m:ctrlPr>
                  </m:naryPr>
                  <m:sub/>
                  <m:sup/>
                  <m:e>
                    <m:r>
                      <w:rPr>
                        <w:rFonts w:ascii="Cambria Math" w:hAnsi="Cambria Math" w:cs="Times New Roman"/>
                        <w:szCs w:val="24"/>
                      </w:rPr>
                      <m:t>d</m:t>
                    </m:r>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e>
                </m:nary>
                <m:sSub>
                  <m:sSubPr>
                    <m:ctrlPr>
                      <w:rPr>
                        <w:rFonts w:ascii="Cambria Math" w:hAnsi="Cambria Math" w:cs="Times New Roman"/>
                        <w:i/>
                        <w:szCs w:val="24"/>
                      </w:rPr>
                    </m:ctrlPr>
                  </m:sSubPr>
                  <m:e>
                    <m:r>
                      <w:rPr>
                        <w:rFonts w:ascii="Cambria Math" w:hAnsi="Cambria Math" w:cs="Times New Roman"/>
                        <w:szCs w:val="24"/>
                      </w:rPr>
                      <m:t>F</m:t>
                    </m:r>
                  </m:e>
                  <m:sub>
                    <m:r>
                      <w:rPr>
                        <w:rFonts w:ascii="Cambria Math" w:hAnsi="Cambria Math" w:cs="Times New Roman"/>
                        <w:szCs w:val="24"/>
                      </w:rPr>
                      <m:t>i</m:t>
                    </m:r>
                  </m:sub>
                </m:sSub>
                <m:d>
                  <m:dPr>
                    <m:ctrlPr>
                      <w:rPr>
                        <w:rFonts w:ascii="Cambria Math" w:hAnsi="Cambria Math" w:cs="Times New Roman"/>
                        <w:i/>
                        <w:szCs w:val="24"/>
                      </w:rPr>
                    </m:ctrlPr>
                  </m:dPr>
                  <m:e>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e>
                </m:d>
                <m:sSubSup>
                  <m:sSubSupPr>
                    <m:ctrlPr>
                      <w:rPr>
                        <w:rFonts w:ascii="Cambria Math" w:hAnsi="Cambria Math" w:cs="Times New Roman"/>
                        <w:i/>
                        <w:szCs w:val="24"/>
                      </w:rPr>
                    </m:ctrlPr>
                  </m:sSubSupPr>
                  <m:e>
                    <m: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IG</m:t>
                    </m:r>
                  </m:sup>
                </m:sSubSup>
                <m:d>
                  <m:dPr>
                    <m:ctrlPr>
                      <w:rPr>
                        <w:rFonts w:ascii="Cambria Math" w:hAnsi="Cambria Math" w:cs="Times New Roman"/>
                        <w:i/>
                        <w:szCs w:val="24"/>
                      </w:rPr>
                    </m:ctrlPr>
                  </m:dPr>
                  <m:e>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e>
                </m:d>
              </m:oMath>
            </m:oMathPara>
          </w:p>
        </w:tc>
        <w:tc>
          <w:tcPr>
            <w:tcW w:w="715" w:type="dxa"/>
          </w:tcPr>
          <w:p w14:paraId="560A75AC" w14:textId="77777777" w:rsidR="003D1530" w:rsidRPr="00ED6690" w:rsidRDefault="003D1530" w:rsidP="00CD2C6D">
            <w:pPr>
              <w:pStyle w:val="Caption"/>
              <w:spacing w:line="276" w:lineRule="auto"/>
              <w:jc w:val="both"/>
              <w:rPr>
                <w:rFonts w:ascii="Times New Roman" w:hAnsi="Times New Roman" w:cs="Times New Roman"/>
                <w:color w:val="auto"/>
                <w:sz w:val="24"/>
                <w:szCs w:val="24"/>
              </w:rPr>
            </w:pPr>
          </w:p>
        </w:tc>
        <w:tc>
          <w:tcPr>
            <w:tcW w:w="715" w:type="dxa"/>
            <w:shd w:val="clear" w:color="auto" w:fill="auto"/>
            <w:vAlign w:val="center"/>
          </w:tcPr>
          <w:p w14:paraId="6A51237E" w14:textId="35EEE52D" w:rsidR="003D1530" w:rsidRPr="00ED6690" w:rsidRDefault="003D1530" w:rsidP="00CD2C6D">
            <w:pPr>
              <w:pStyle w:val="Caption"/>
              <w:spacing w:line="276" w:lineRule="auto"/>
              <w:jc w:val="both"/>
              <w:rPr>
                <w:rFonts w:ascii="Times New Roman" w:hAnsi="Times New Roman" w:cs="Times New Roman"/>
                <w:color w:val="auto"/>
                <w:sz w:val="24"/>
                <w:szCs w:val="24"/>
              </w:rPr>
            </w:pPr>
            <w:r w:rsidRPr="00ED6690">
              <w:rPr>
                <w:rFonts w:ascii="Times New Roman" w:hAnsi="Times New Roman" w:cs="Times New Roman"/>
                <w:color w:val="auto"/>
                <w:sz w:val="24"/>
                <w:szCs w:val="24"/>
              </w:rPr>
              <w:t>(S</w:t>
            </w:r>
            <w:r w:rsidRPr="00ED6690">
              <w:rPr>
                <w:rFonts w:ascii="Times New Roman" w:hAnsi="Times New Roman" w:cs="Times New Roman"/>
                <w:color w:val="auto"/>
                <w:sz w:val="24"/>
                <w:szCs w:val="24"/>
              </w:rPr>
              <w:fldChar w:fldCharType="begin"/>
            </w:r>
            <w:r w:rsidRPr="00ED6690">
              <w:rPr>
                <w:rFonts w:ascii="Times New Roman" w:hAnsi="Times New Roman" w:cs="Times New Roman"/>
                <w:color w:val="auto"/>
                <w:sz w:val="24"/>
                <w:szCs w:val="24"/>
              </w:rPr>
              <w:instrText xml:space="preserve"> SEQ eq \* ARABIC </w:instrText>
            </w:r>
            <w:r w:rsidRPr="00ED6690">
              <w:rPr>
                <w:rFonts w:ascii="Times New Roman" w:hAnsi="Times New Roman" w:cs="Times New Roman"/>
                <w:color w:val="auto"/>
                <w:sz w:val="24"/>
                <w:szCs w:val="24"/>
              </w:rPr>
              <w:fldChar w:fldCharType="separate"/>
            </w:r>
            <w:r w:rsidR="00C8038C">
              <w:rPr>
                <w:rFonts w:ascii="Times New Roman" w:hAnsi="Times New Roman" w:cs="Times New Roman"/>
                <w:noProof/>
                <w:color w:val="auto"/>
                <w:sz w:val="24"/>
                <w:szCs w:val="24"/>
              </w:rPr>
              <w:t>7</w:t>
            </w:r>
            <w:r w:rsidRPr="00ED6690">
              <w:rPr>
                <w:rFonts w:ascii="Times New Roman" w:hAnsi="Times New Roman" w:cs="Times New Roman"/>
                <w:color w:val="auto"/>
                <w:sz w:val="24"/>
                <w:szCs w:val="24"/>
              </w:rPr>
              <w:fldChar w:fldCharType="end"/>
            </w:r>
            <w:r w:rsidRPr="00ED6690">
              <w:rPr>
                <w:rFonts w:ascii="Times New Roman" w:hAnsi="Times New Roman" w:cs="Times New Roman"/>
                <w:color w:val="auto"/>
                <w:sz w:val="24"/>
                <w:szCs w:val="24"/>
              </w:rPr>
              <w:t>)</w:t>
            </w:r>
          </w:p>
        </w:tc>
      </w:tr>
    </w:tbl>
    <w:p w14:paraId="2D9C125C" w14:textId="6C7B3508" w:rsidR="002D3BC3" w:rsidRPr="00ED6690" w:rsidRDefault="001A1696" w:rsidP="00F97ADD">
      <w:pPr>
        <w:rPr>
          <w:rFonts w:ascii="Times New Roman" w:hAnsi="Times New Roman" w:cs="Times New Roman"/>
          <w:szCs w:val="24"/>
        </w:rPr>
      </w:pPr>
      <w:r>
        <w:rPr>
          <w:rFonts w:ascii="Times New Roman" w:hAnsi="Times New Roman" w:cs="Times New Roman"/>
          <w:szCs w:val="24"/>
        </w:rPr>
        <w:t>w</w:t>
      </w:r>
      <w:r w:rsidRPr="00ED6690">
        <w:rPr>
          <w:rFonts w:ascii="Times New Roman" w:hAnsi="Times New Roman" w:cs="Times New Roman"/>
          <w:szCs w:val="24"/>
        </w:rPr>
        <w:t xml:space="preserve">ith </w:t>
      </w:r>
      <w:r w:rsidR="003D5862" w:rsidRPr="00ED6690">
        <w:rPr>
          <w:rFonts w:ascii="Times New Roman" w:hAnsi="Times New Roman" w:cs="Times New Roman"/>
          <w:szCs w:val="24"/>
        </w:rPr>
        <w:t>the site-wise equilibrium concentration:</w:t>
      </w:r>
    </w:p>
    <w:tbl>
      <w:tblPr>
        <w:tblStyle w:val="TableGrid"/>
        <w:tblW w:w="9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90"/>
        <w:gridCol w:w="715"/>
        <w:gridCol w:w="715"/>
      </w:tblGrid>
      <w:tr w:rsidR="003D1530" w:rsidRPr="00ED6690" w14:paraId="5DABFA6E" w14:textId="77777777" w:rsidTr="00CD2C6D">
        <w:trPr>
          <w:trHeight w:val="837"/>
        </w:trPr>
        <w:tc>
          <w:tcPr>
            <w:tcW w:w="8190" w:type="dxa"/>
            <w:shd w:val="clear" w:color="auto" w:fill="auto"/>
            <w:vAlign w:val="center"/>
          </w:tcPr>
          <w:p w14:paraId="139E735E" w14:textId="0E29925A" w:rsidR="003D1530" w:rsidRPr="00ED6690" w:rsidRDefault="00787647" w:rsidP="00CD2C6D">
            <w:pPr>
              <w:spacing w:line="276" w:lineRule="auto"/>
              <w:jc w:val="both"/>
              <w:rPr>
                <w:rFonts w:ascii="Times New Roman" w:hAnsi="Times New Roman" w:cs="Times New Roman"/>
                <w:szCs w:val="24"/>
              </w:rPr>
            </w:pPr>
            <m:oMathPara>
              <m:oMath>
                <m:sSubSup>
                  <m:sSubSupPr>
                    <m:ctrlPr>
                      <w:rPr>
                        <w:rFonts w:ascii="Cambria Math" w:hAnsi="Cambria Math" w:cs="Times New Roman"/>
                        <w:i/>
                        <w:szCs w:val="24"/>
                      </w:rPr>
                    </m:ctrlPr>
                  </m:sSubSupPr>
                  <m:e>
                    <m: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IG</m:t>
                    </m:r>
                  </m:sup>
                </m:sSubSup>
                <m:d>
                  <m:dPr>
                    <m:ctrlPr>
                      <w:rPr>
                        <w:rFonts w:ascii="Cambria Math" w:hAnsi="Cambria Math" w:cs="Times New Roman"/>
                        <w:i/>
                        <w:szCs w:val="24"/>
                      </w:rPr>
                    </m:ctrlPr>
                  </m:dPr>
                  <m:e>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e>
                </m:d>
                <m:r>
                  <w:rPr>
                    <w:rFonts w:ascii="Cambria Math" w:hAnsi="Cambria Math" w:cs="Times New Roman"/>
                    <w:szCs w:val="24"/>
                  </w:rPr>
                  <m:t>=</m:t>
                </m:r>
                <m:sSup>
                  <m:sSupPr>
                    <m:ctrlPr>
                      <w:rPr>
                        <w:rFonts w:ascii="Cambria Math" w:hAnsi="Cambria Math" w:cs="Times New Roman"/>
                        <w:i/>
                        <w:szCs w:val="24"/>
                      </w:rPr>
                    </m:ctrlPr>
                  </m:sSupPr>
                  <m:e>
                    <m:d>
                      <m:dPr>
                        <m:begChr m:val="["/>
                        <m:endChr m:val="]"/>
                        <m:ctrlPr>
                          <w:rPr>
                            <w:rFonts w:ascii="Cambria Math" w:hAnsi="Cambria Math" w:cs="Times New Roman"/>
                            <w:i/>
                            <w:szCs w:val="24"/>
                          </w:rPr>
                        </m:ctrlPr>
                      </m:dPr>
                      <m:e>
                        <m:r>
                          <w:rPr>
                            <w:rFonts w:ascii="Cambria Math" w:hAnsi="Cambria Math" w:cs="Times New Roman"/>
                            <w:szCs w:val="24"/>
                          </w:rPr>
                          <m:t>1+</m:t>
                        </m:r>
                        <m:f>
                          <m:fPr>
                            <m:ctrlPr>
                              <w:rPr>
                                <w:rFonts w:ascii="Cambria Math" w:hAnsi="Cambria Math" w:cs="Times New Roman"/>
                                <w:i/>
                                <w:szCs w:val="24"/>
                              </w:rPr>
                            </m:ctrlPr>
                          </m:fPr>
                          <m:num>
                            <m:r>
                              <w:rPr>
                                <w:rFonts w:ascii="Cambria Math" w:hAnsi="Cambria Math" w:cs="Times New Roman"/>
                                <w:szCs w:val="24"/>
                              </w:rPr>
                              <m:t>1-</m:t>
                            </m:r>
                            <m:sSup>
                              <m:sSupPr>
                                <m:ctrlPr>
                                  <w:rPr>
                                    <w:rFonts w:ascii="Cambria Math" w:hAnsi="Cambria Math" w:cs="Times New Roman"/>
                                    <w:i/>
                                    <w:szCs w:val="24"/>
                                  </w:rPr>
                                </m:ctrlPr>
                              </m:sSupPr>
                              <m:e>
                                <m:r>
                                  <w:rPr>
                                    <w:rFonts w:ascii="Cambria Math" w:hAnsi="Cambria Math" w:cs="Times New Roman"/>
                                    <w:szCs w:val="24"/>
                                  </w:rPr>
                                  <m:t>X</m:t>
                                </m:r>
                              </m:e>
                              <m:sup>
                                <m:r>
                                  <w:rPr>
                                    <w:rFonts w:ascii="Cambria Math" w:hAnsi="Cambria Math" w:cs="Times New Roman"/>
                                    <w:szCs w:val="24"/>
                                  </w:rPr>
                                  <m:t>C</m:t>
                                </m:r>
                              </m:sup>
                            </m:sSup>
                          </m:num>
                          <m:den>
                            <m:sSup>
                              <m:sSupPr>
                                <m:ctrlPr>
                                  <w:rPr>
                                    <w:rFonts w:ascii="Cambria Math" w:hAnsi="Cambria Math" w:cs="Times New Roman"/>
                                    <w:i/>
                                    <w:szCs w:val="24"/>
                                  </w:rPr>
                                </m:ctrlPr>
                              </m:sSupPr>
                              <m:e>
                                <m:r>
                                  <w:rPr>
                                    <w:rFonts w:ascii="Cambria Math" w:hAnsi="Cambria Math" w:cs="Times New Roman"/>
                                    <w:szCs w:val="24"/>
                                  </w:rPr>
                                  <m:t>X</m:t>
                                </m:r>
                              </m:e>
                              <m:sup>
                                <m:r>
                                  <w:rPr>
                                    <w:rFonts w:ascii="Cambria Math" w:hAnsi="Cambria Math" w:cs="Times New Roman"/>
                                    <w:szCs w:val="24"/>
                                  </w:rPr>
                                  <m:t>C</m:t>
                                </m:r>
                              </m:sup>
                            </m:sSup>
                          </m:den>
                        </m:f>
                        <m:r>
                          <w:rPr>
                            <w:rFonts w:ascii="Cambria Math" w:hAnsi="Cambria Math" w:cs="Times New Roman"/>
                            <w:szCs w:val="24"/>
                          </w:rPr>
                          <m:t>exp</m:t>
                        </m:r>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r>
                                  <w:rPr>
                                    <w:rFonts w:ascii="Cambria Math" w:hAnsi="Cambria Math" w:cs="Times New Roman"/>
                                    <w:szCs w:val="24"/>
                                  </w:rPr>
                                  <m:t>-</m:t>
                                </m:r>
                                <m:r>
                                  <w:rPr>
                                    <w:rFonts w:ascii="Cambria Math" w:hAnsi="Cambria Math" w:cs="Times New Roman"/>
                                    <w:szCs w:val="24"/>
                                  </w:rPr>
                                  <m:t>Tχ</m:t>
                                </m:r>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r>
                                  <w:rPr>
                                    <w:rFonts w:ascii="Cambria Math" w:hAnsi="Cambria Math" w:cs="Times New Roman"/>
                                    <w:szCs w:val="24"/>
                                  </w:rPr>
                                  <m:t>-</m:t>
                                </m:r>
                                <m:r>
                                  <w:rPr>
                                    <w:rFonts w:ascii="Cambria Math" w:hAnsi="Cambria Math" w:cs="Times New Roman"/>
                                    <w:szCs w:val="24"/>
                                  </w:rPr>
                                  <m:t>T</m:t>
                                </m:r>
                                <m:sSubSup>
                                  <m:sSubSupPr>
                                    <m:ctrlPr>
                                      <w:rPr>
                                        <w:rFonts w:ascii="Cambria Math" w:hAnsi="Cambria Math" w:cs="Times New Roman"/>
                                        <w:i/>
                                        <w:szCs w:val="24"/>
                                      </w:rPr>
                                    </m:ctrlPr>
                                  </m:sSubSupPr>
                                  <m:e>
                                    <m:r>
                                      <w:rPr>
                                        <w:rFonts w:ascii="Cambria Math" w:hAnsi="Cambria Math" w:cs="Times New Roman"/>
                                        <w:szCs w:val="24"/>
                                      </w:rPr>
                                      <m:t>∆</m:t>
                                    </m:r>
                                    <m:r>
                                      <w:rPr>
                                        <w:rFonts w:ascii="Cambria Math" w:hAnsi="Cambria Math" w:cs="Times New Roman"/>
                                        <w:szCs w:val="24"/>
                                      </w:rPr>
                                      <m:t>S</m:t>
                                    </m:r>
                                  </m:e>
                                  <m:sub>
                                    <m:r>
                                      <w:rPr>
                                        <w:rFonts w:ascii="Cambria Math" w:hAnsi="Cambria Math" w:cs="Times New Roman"/>
                                        <w:szCs w:val="24"/>
                                      </w:rPr>
                                      <m:t>0</m:t>
                                    </m:r>
                                  </m:sub>
                                  <m:sup>
                                    <m:r>
                                      <w:rPr>
                                        <w:rFonts w:ascii="Cambria Math" w:hAnsi="Cambria Math" w:cs="Times New Roman"/>
                                        <w:szCs w:val="24"/>
                                      </w:rPr>
                                      <m:t>solute</m:t>
                                    </m:r>
                                    <m:r>
                                      <w:rPr>
                                        <w:rFonts w:ascii="Cambria Math" w:hAnsi="Cambria Math" w:cs="Times New Roman"/>
                                        <w:szCs w:val="24"/>
                                      </w:rPr>
                                      <m:t>,</m:t>
                                    </m:r>
                                    <m:r>
                                      <w:rPr>
                                        <w:rFonts w:ascii="Cambria Math" w:hAnsi="Cambria Math" w:cs="Times New Roman"/>
                                        <w:szCs w:val="24"/>
                                      </w:rPr>
                                      <m:t>GB</m:t>
                                    </m:r>
                                  </m:sup>
                                </m:sSubSup>
                              </m:num>
                              <m:den>
                                <m:sSub>
                                  <m:sSubPr>
                                    <m:ctrlPr>
                                      <w:rPr>
                                        <w:rFonts w:ascii="Cambria Math" w:hAnsi="Cambria Math" w:cs="Times New Roman"/>
                                        <w:i/>
                                        <w:szCs w:val="24"/>
                                      </w:rPr>
                                    </m:ctrlPr>
                                  </m:sSubPr>
                                  <m:e>
                                    <m:r>
                                      <w:rPr>
                                        <w:rFonts w:ascii="Cambria Math" w:hAnsi="Cambria Math" w:cs="Times New Roman"/>
                                        <w:szCs w:val="24"/>
                                      </w:rPr>
                                      <m:t>k</m:t>
                                    </m:r>
                                  </m:e>
                                  <m:sub>
                                    <m:r>
                                      <w:rPr>
                                        <w:rFonts w:ascii="Cambria Math" w:hAnsi="Cambria Math" w:cs="Times New Roman"/>
                                        <w:szCs w:val="24"/>
                                      </w:rPr>
                                      <m:t>b</m:t>
                                    </m:r>
                                  </m:sub>
                                </m:sSub>
                                <m:r>
                                  <w:rPr>
                                    <w:rFonts w:ascii="Cambria Math" w:hAnsi="Cambria Math" w:cs="Times New Roman"/>
                                    <w:szCs w:val="24"/>
                                  </w:rPr>
                                  <m:t>T</m:t>
                                </m:r>
                              </m:den>
                            </m:f>
                          </m:e>
                        </m:d>
                      </m:e>
                    </m:d>
                  </m:e>
                  <m:sup>
                    <m:r>
                      <w:rPr>
                        <w:rFonts w:ascii="Cambria Math" w:hAnsi="Cambria Math" w:cs="Times New Roman"/>
                        <w:szCs w:val="24"/>
                      </w:rPr>
                      <m:t>-</m:t>
                    </m:r>
                    <m:r>
                      <w:rPr>
                        <w:rFonts w:ascii="Cambria Math" w:hAnsi="Cambria Math" w:cs="Times New Roman"/>
                        <w:szCs w:val="24"/>
                      </w:rPr>
                      <m:t>1</m:t>
                    </m:r>
                  </m:sup>
                </m:sSup>
              </m:oMath>
            </m:oMathPara>
          </w:p>
        </w:tc>
        <w:tc>
          <w:tcPr>
            <w:tcW w:w="715" w:type="dxa"/>
          </w:tcPr>
          <w:p w14:paraId="40BCA53B" w14:textId="77777777" w:rsidR="003D1530" w:rsidRPr="00ED6690" w:rsidRDefault="003D1530" w:rsidP="00CD2C6D">
            <w:pPr>
              <w:pStyle w:val="Caption"/>
              <w:spacing w:line="276" w:lineRule="auto"/>
              <w:jc w:val="both"/>
              <w:rPr>
                <w:rFonts w:ascii="Times New Roman" w:hAnsi="Times New Roman" w:cs="Times New Roman"/>
                <w:color w:val="auto"/>
                <w:sz w:val="24"/>
                <w:szCs w:val="24"/>
              </w:rPr>
            </w:pPr>
          </w:p>
        </w:tc>
        <w:tc>
          <w:tcPr>
            <w:tcW w:w="715" w:type="dxa"/>
            <w:shd w:val="clear" w:color="auto" w:fill="auto"/>
            <w:vAlign w:val="center"/>
          </w:tcPr>
          <w:p w14:paraId="201B983C" w14:textId="7CD40027" w:rsidR="003D1530" w:rsidRPr="00ED6690" w:rsidRDefault="003D1530" w:rsidP="00CD2C6D">
            <w:pPr>
              <w:pStyle w:val="Caption"/>
              <w:spacing w:line="276" w:lineRule="auto"/>
              <w:jc w:val="both"/>
              <w:rPr>
                <w:rFonts w:ascii="Times New Roman" w:hAnsi="Times New Roman" w:cs="Times New Roman"/>
                <w:color w:val="auto"/>
                <w:sz w:val="24"/>
                <w:szCs w:val="24"/>
              </w:rPr>
            </w:pPr>
            <w:r w:rsidRPr="00ED6690">
              <w:rPr>
                <w:rFonts w:ascii="Times New Roman" w:hAnsi="Times New Roman" w:cs="Times New Roman"/>
                <w:color w:val="auto"/>
                <w:sz w:val="24"/>
                <w:szCs w:val="24"/>
              </w:rPr>
              <w:t>(S</w:t>
            </w:r>
            <w:r w:rsidRPr="00ED6690">
              <w:rPr>
                <w:rFonts w:ascii="Times New Roman" w:hAnsi="Times New Roman" w:cs="Times New Roman"/>
                <w:color w:val="auto"/>
                <w:sz w:val="24"/>
                <w:szCs w:val="24"/>
              </w:rPr>
              <w:fldChar w:fldCharType="begin"/>
            </w:r>
            <w:r w:rsidRPr="00ED6690">
              <w:rPr>
                <w:rFonts w:ascii="Times New Roman" w:hAnsi="Times New Roman" w:cs="Times New Roman"/>
                <w:color w:val="auto"/>
                <w:sz w:val="24"/>
                <w:szCs w:val="24"/>
              </w:rPr>
              <w:instrText xml:space="preserve"> SEQ eq \* ARABIC </w:instrText>
            </w:r>
            <w:r w:rsidRPr="00ED6690">
              <w:rPr>
                <w:rFonts w:ascii="Times New Roman" w:hAnsi="Times New Roman" w:cs="Times New Roman"/>
                <w:color w:val="auto"/>
                <w:sz w:val="24"/>
                <w:szCs w:val="24"/>
              </w:rPr>
              <w:fldChar w:fldCharType="separate"/>
            </w:r>
            <w:r w:rsidR="00C8038C">
              <w:rPr>
                <w:rFonts w:ascii="Times New Roman" w:hAnsi="Times New Roman" w:cs="Times New Roman"/>
                <w:noProof/>
                <w:color w:val="auto"/>
                <w:sz w:val="24"/>
                <w:szCs w:val="24"/>
              </w:rPr>
              <w:t>8</w:t>
            </w:r>
            <w:r w:rsidRPr="00ED6690">
              <w:rPr>
                <w:rFonts w:ascii="Times New Roman" w:hAnsi="Times New Roman" w:cs="Times New Roman"/>
                <w:color w:val="auto"/>
                <w:sz w:val="24"/>
                <w:szCs w:val="24"/>
              </w:rPr>
              <w:fldChar w:fldCharType="end"/>
            </w:r>
            <w:r w:rsidRPr="00ED6690">
              <w:rPr>
                <w:rFonts w:ascii="Times New Roman" w:hAnsi="Times New Roman" w:cs="Times New Roman"/>
                <w:color w:val="auto"/>
                <w:sz w:val="24"/>
                <w:szCs w:val="24"/>
              </w:rPr>
              <w:t>)</w:t>
            </w:r>
          </w:p>
        </w:tc>
      </w:tr>
    </w:tbl>
    <w:p w14:paraId="5AC93721" w14:textId="6470AF07" w:rsidR="00332456" w:rsidRPr="00ED6690" w:rsidRDefault="00332456" w:rsidP="00F97ADD">
      <w:pPr>
        <w:rPr>
          <w:rFonts w:ascii="Times New Roman" w:hAnsi="Times New Roman" w:cs="Times New Roman"/>
          <w:szCs w:val="24"/>
        </w:rPr>
      </w:pPr>
    </w:p>
    <w:p w14:paraId="4A8F21AC" w14:textId="6E461DA4" w:rsidR="0074580E" w:rsidRPr="00ED6690" w:rsidRDefault="00C8461E" w:rsidP="005E4145">
      <w:pPr>
        <w:jc w:val="both"/>
        <w:rPr>
          <w:rFonts w:ascii="Times New Roman" w:hAnsi="Times New Roman" w:cs="Times New Roman"/>
          <w:szCs w:val="24"/>
        </w:rPr>
      </w:pPr>
      <w:r w:rsidRPr="00ED6690">
        <w:rPr>
          <w:rFonts w:ascii="Times New Roman" w:hAnsi="Times New Roman" w:cs="Times New Roman"/>
          <w:szCs w:val="24"/>
        </w:rPr>
        <w:t xml:space="preserve">Large grain size alternatives are also </w:t>
      </w:r>
      <w:r w:rsidR="00E477DA" w:rsidRPr="00ED6690">
        <w:rPr>
          <w:rFonts w:ascii="Times New Roman" w:hAnsi="Times New Roman" w:cs="Times New Roman"/>
          <w:szCs w:val="24"/>
        </w:rPr>
        <w:t>provided</w:t>
      </w:r>
      <w:r w:rsidRPr="00ED6690">
        <w:rPr>
          <w:rFonts w:ascii="Times New Roman" w:hAnsi="Times New Roman" w:cs="Times New Roman"/>
          <w:szCs w:val="24"/>
        </w:rPr>
        <w:t xml:space="preserve"> where </w:t>
      </w:r>
      <m:oMath>
        <m:sSup>
          <m:sSupPr>
            <m:ctrlPr>
              <w:rPr>
                <w:rFonts w:ascii="Cambria Math" w:hAnsi="Cambria Math" w:cs="Times New Roman"/>
                <w:i/>
                <w:szCs w:val="24"/>
              </w:rPr>
            </m:ctrlPr>
          </m:sSupPr>
          <m:e>
            <m:r>
              <w:rPr>
                <w:rFonts w:ascii="Cambria Math" w:hAnsi="Cambria Math" w:cs="Times New Roman"/>
                <w:szCs w:val="24"/>
              </w:rPr>
              <m:t>X</m:t>
            </m:r>
          </m:e>
          <m:sup>
            <m:r>
              <w:rPr>
                <w:rFonts w:ascii="Cambria Math" w:hAnsi="Cambria Math" w:cs="Times New Roman"/>
                <w:szCs w:val="24"/>
              </w:rPr>
              <m:t>C</m:t>
            </m:r>
          </m:sup>
        </m:sSup>
      </m:oMath>
      <w:r w:rsidR="00E477DA" w:rsidRPr="00ED6690">
        <w:rPr>
          <w:rFonts w:ascii="Times New Roman" w:eastAsiaTheme="minorEastAsia" w:hAnsi="Times New Roman" w:cs="Times New Roman"/>
          <w:szCs w:val="24"/>
        </w:rPr>
        <w:t xml:space="preserve"> </w:t>
      </w:r>
      <w:r w:rsidRPr="00ED6690">
        <w:rPr>
          <w:rFonts w:ascii="Times New Roman" w:hAnsi="Times New Roman" w:cs="Times New Roman"/>
          <w:szCs w:val="24"/>
        </w:rPr>
        <w:t xml:space="preserve">is assumed to be </w:t>
      </w:r>
      <m:oMath>
        <m:sSup>
          <m:sSupPr>
            <m:ctrlPr>
              <w:rPr>
                <w:rFonts w:ascii="Cambria Math" w:hAnsi="Cambria Math" w:cs="Times New Roman"/>
                <w:i/>
                <w:szCs w:val="24"/>
              </w:rPr>
            </m:ctrlPr>
          </m:sSupPr>
          <m:e>
            <m:r>
              <w:rPr>
                <w:rFonts w:ascii="Cambria Math" w:hAnsi="Cambria Math" w:cs="Times New Roman"/>
                <w:szCs w:val="24"/>
              </w:rPr>
              <m:t>X</m:t>
            </m:r>
          </m:e>
          <m:sup>
            <m:r>
              <w:rPr>
                <w:rFonts w:ascii="Cambria Math" w:hAnsi="Cambria Math" w:cs="Times New Roman"/>
                <w:szCs w:val="24"/>
              </w:rPr>
              <m:t>tot</m:t>
            </m:r>
          </m:sup>
        </m:sSup>
      </m:oMath>
      <w:r w:rsidRPr="00ED6690">
        <w:rPr>
          <w:rFonts w:ascii="Times New Roman" w:hAnsi="Times New Roman" w:cs="Times New Roman"/>
          <w:szCs w:val="24"/>
        </w:rPr>
        <w:t xml:space="preserve"> which is only valid for large grain sizes</w:t>
      </w:r>
      <w:r w:rsidR="00E477DA" w:rsidRPr="00ED6690">
        <w:rPr>
          <w:rFonts w:ascii="Times New Roman" w:hAnsi="Times New Roman" w:cs="Times New Roman"/>
          <w:szCs w:val="24"/>
        </w:rPr>
        <w:t xml:space="preserve">. </w:t>
      </w:r>
      <w:r w:rsidR="00A448C9" w:rsidRPr="00ED6690">
        <w:rPr>
          <w:rFonts w:ascii="Times New Roman" w:hAnsi="Times New Roman" w:cs="Times New Roman"/>
          <w:szCs w:val="24"/>
        </w:rPr>
        <w:t xml:space="preserve">They are identical to setting </w:t>
      </w:r>
      <m:oMath>
        <m:sSup>
          <m:sSupPr>
            <m:ctrlPr>
              <w:rPr>
                <w:rFonts w:ascii="Cambria Math" w:hAnsi="Cambria Math" w:cs="Times New Roman"/>
                <w:i/>
                <w:szCs w:val="24"/>
              </w:rPr>
            </m:ctrlPr>
          </m:sSupPr>
          <m:e>
            <m:r>
              <w:rPr>
                <w:rFonts w:ascii="Cambria Math" w:hAnsi="Cambria Math" w:cs="Times New Roman"/>
                <w:szCs w:val="24"/>
              </w:rPr>
              <m:t>f</m:t>
            </m:r>
          </m:e>
          <m:sup>
            <m:r>
              <w:rPr>
                <w:rFonts w:ascii="Cambria Math" w:hAnsi="Cambria Math" w:cs="Times New Roman"/>
                <w:szCs w:val="24"/>
              </w:rPr>
              <m:t>GB</m:t>
            </m:r>
          </m:sup>
        </m:sSup>
      </m:oMath>
      <w:r w:rsidR="00A448C9" w:rsidRPr="00ED6690">
        <w:rPr>
          <w:rFonts w:ascii="Times New Roman" w:hAnsi="Times New Roman" w:cs="Times New Roman"/>
          <w:szCs w:val="24"/>
        </w:rPr>
        <w:t xml:space="preserve"> to a low value</w:t>
      </w:r>
      <w:r w:rsidR="00560C6B" w:rsidRPr="00ED6690">
        <w:rPr>
          <w:rFonts w:ascii="Times New Roman" w:hAnsi="Times New Roman" w:cs="Times New Roman"/>
          <w:szCs w:val="24"/>
        </w:rPr>
        <w:t xml:space="preserve"> (</w:t>
      </w:r>
      <w:proofErr w:type="gramStart"/>
      <w:r w:rsidR="00560C6B" w:rsidRPr="00ED6690">
        <w:rPr>
          <w:rFonts w:ascii="Times New Roman" w:hAnsi="Times New Roman" w:cs="Times New Roman"/>
          <w:szCs w:val="24"/>
        </w:rPr>
        <w:t>i.e.</w:t>
      </w:r>
      <w:proofErr w:type="gramEnd"/>
      <w:r w:rsidR="00560C6B" w:rsidRPr="00ED6690">
        <w:rPr>
          <w:rFonts w:ascii="Times New Roman" w:hAnsi="Times New Roman" w:cs="Times New Roman"/>
          <w:szCs w:val="24"/>
        </w:rPr>
        <w:t xml:space="preserve"> 10</w:t>
      </w:r>
      <w:r w:rsidR="00560C6B" w:rsidRPr="00ED6690">
        <w:rPr>
          <w:rFonts w:ascii="Times New Roman" w:hAnsi="Times New Roman" w:cs="Times New Roman"/>
          <w:szCs w:val="24"/>
          <w:vertAlign w:val="superscript"/>
        </w:rPr>
        <w:t>-6</w:t>
      </w:r>
      <w:r w:rsidR="00560C6B" w:rsidRPr="00ED6690">
        <w:rPr>
          <w:rFonts w:ascii="Times New Roman" w:hAnsi="Times New Roman" w:cs="Times New Roman"/>
          <w:szCs w:val="24"/>
        </w:rPr>
        <w:t xml:space="preserve"> in the example of Fig. </w:t>
      </w:r>
      <w:r w:rsidR="00C75835" w:rsidRPr="00ED6690">
        <w:rPr>
          <w:rFonts w:ascii="Times New Roman" w:hAnsi="Times New Roman" w:cs="Times New Roman"/>
          <w:szCs w:val="24"/>
        </w:rPr>
        <w:t>S</w:t>
      </w:r>
      <w:r w:rsidR="00C75835">
        <w:rPr>
          <w:rFonts w:ascii="Times New Roman" w:hAnsi="Times New Roman" w:cs="Times New Roman"/>
          <w:szCs w:val="24"/>
        </w:rPr>
        <w:t>43</w:t>
      </w:r>
      <w:r w:rsidR="00560C6B" w:rsidRPr="00ED6690">
        <w:rPr>
          <w:rFonts w:ascii="Times New Roman" w:hAnsi="Times New Roman" w:cs="Times New Roman"/>
          <w:szCs w:val="24"/>
        </w:rPr>
        <w:t>)</w:t>
      </w:r>
      <w:r w:rsidR="00C75835">
        <w:rPr>
          <w:rFonts w:ascii="Times New Roman" w:hAnsi="Times New Roman" w:cs="Times New Roman"/>
          <w:szCs w:val="24"/>
        </w:rPr>
        <w:t xml:space="preserve"> but with</w:t>
      </w:r>
      <w:r w:rsidR="00D550BC">
        <w:rPr>
          <w:rFonts w:ascii="Times New Roman" w:hAnsi="Times New Roman" w:cs="Times New Roman"/>
          <w:szCs w:val="24"/>
        </w:rPr>
        <w:t xml:space="preserve"> a faster runtime</w:t>
      </w:r>
      <w:r w:rsidR="009D38AB" w:rsidRPr="00ED6690">
        <w:rPr>
          <w:rFonts w:ascii="Times New Roman" w:hAnsi="Times New Roman" w:cs="Times New Roman"/>
          <w:szCs w:val="24"/>
        </w:rPr>
        <w:t>. An example is plotted below for Ni(Pd)</w:t>
      </w:r>
      <w:r w:rsidR="00DE35A0" w:rsidRPr="00ED6690">
        <w:rPr>
          <w:rFonts w:ascii="Times New Roman" w:hAnsi="Times New Roman" w:cs="Times New Roman"/>
          <w:szCs w:val="24"/>
        </w:rPr>
        <w:fldChar w:fldCharType="begin"/>
      </w:r>
      <w:r w:rsidR="00052644">
        <w:rPr>
          <w:rFonts w:ascii="Times New Roman" w:hAnsi="Times New Roman" w:cs="Times New Roman"/>
          <w:szCs w:val="24"/>
        </w:rPr>
        <w:instrText xml:space="preserve"> ADDIN ZOTERO_ITEM CSL_CITATION {"citationID":"qSunrCLe","properties":{"formattedCitation":"\\super 10\\nosupersub{}","plainCitation":"10","noteIndex":0},"citationItems":[{"id":2455,"uris":["http://zotero.org/users/5159096/items/6GWLGNVC","http://zotero.org/users/5159096/items/2C2DCC5Z"],"itemData":{"id":2455,"type":"article-journal","container-title":"Physical Review B","DOI":"10.1103/PhysRevB.33.7983","issue":"12","journalAbbreviation":"Phys. Rev. B","note":"publisher: American Physical Society","page":"7983-7991","title":"Embedded-atom-method functions for the fcc metals Cu, Ag, Au, Ni, Pd, Pt, and their alloys","volume":"33","author":[{"family":"Foiles","given":"S. M."},{"family":"Baskes","given":"M. I."},{"family":"Daw","given":"M. S."}],"issued":{"date-parts":[["1986",6,15]]}}}],"schema":"https://github.com/citation-style-language/schema/raw/master/csl-citation.json"} </w:instrText>
      </w:r>
      <w:r w:rsidR="00DE35A0" w:rsidRPr="00ED6690">
        <w:rPr>
          <w:rFonts w:ascii="Times New Roman" w:hAnsi="Times New Roman" w:cs="Times New Roman"/>
          <w:szCs w:val="24"/>
        </w:rPr>
        <w:fldChar w:fldCharType="separate"/>
      </w:r>
      <w:r w:rsidR="00F32ABD" w:rsidRPr="00F32ABD">
        <w:rPr>
          <w:rFonts w:ascii="Times New Roman" w:hAnsi="Times New Roman" w:cs="Times New Roman"/>
          <w:szCs w:val="24"/>
          <w:vertAlign w:val="superscript"/>
        </w:rPr>
        <w:t>10</w:t>
      </w:r>
      <w:r w:rsidR="00DE35A0" w:rsidRPr="00ED6690">
        <w:rPr>
          <w:rFonts w:ascii="Times New Roman" w:hAnsi="Times New Roman" w:cs="Times New Roman"/>
          <w:szCs w:val="24"/>
        </w:rPr>
        <w:fldChar w:fldCharType="end"/>
      </w:r>
      <w:r w:rsidR="009D38AB" w:rsidRPr="00ED6690">
        <w:rPr>
          <w:rFonts w:ascii="Times New Roman" w:hAnsi="Times New Roman" w:cs="Times New Roman"/>
          <w:szCs w:val="24"/>
        </w:rPr>
        <w:t xml:space="preserve"> where we compare </w:t>
      </w:r>
      <w:r w:rsidR="005E4145" w:rsidRPr="00ED6690">
        <w:rPr>
          <w:rFonts w:ascii="Times New Roman" w:hAnsi="Times New Roman" w:cs="Times New Roman"/>
          <w:szCs w:val="24"/>
        </w:rPr>
        <w:t xml:space="preserve">bivariate </w:t>
      </w:r>
      <w:r w:rsidR="00C42856">
        <w:rPr>
          <w:rFonts w:ascii="Times New Roman" w:hAnsi="Times New Roman" w:cs="Times New Roman"/>
          <w:szCs w:val="24"/>
        </w:rPr>
        <w:t>with</w:t>
      </w:r>
      <w:r w:rsidR="005E4145" w:rsidRPr="00ED6690">
        <w:rPr>
          <w:rFonts w:ascii="Times New Roman" w:hAnsi="Times New Roman" w:cs="Times New Roman"/>
          <w:szCs w:val="24"/>
        </w:rPr>
        <w:t xml:space="preserve"> univariate isotherm</w:t>
      </w:r>
      <w:r w:rsidR="00C42856">
        <w:rPr>
          <w:rFonts w:ascii="Times New Roman" w:hAnsi="Times New Roman" w:cs="Times New Roman"/>
          <w:szCs w:val="24"/>
        </w:rPr>
        <w:t>s</w:t>
      </w:r>
      <w:r w:rsidR="00723504">
        <w:rPr>
          <w:rFonts w:ascii="Times New Roman" w:hAnsi="Times New Roman" w:cs="Times New Roman"/>
          <w:szCs w:val="24"/>
        </w:rPr>
        <w:t>.</w:t>
      </w:r>
    </w:p>
    <w:p w14:paraId="39EECC84" w14:textId="77777777" w:rsidR="005E3091" w:rsidRPr="00ED6690" w:rsidRDefault="005E3091" w:rsidP="00F97ADD">
      <w:pPr>
        <w:rPr>
          <w:rFonts w:ascii="Times New Roman" w:hAnsi="Times New Roman" w:cs="Times New Roman"/>
          <w:szCs w:val="24"/>
        </w:rPr>
      </w:pPr>
    </w:p>
    <w:p w14:paraId="4C8A0BF6" w14:textId="77777777" w:rsidR="005E3091" w:rsidRPr="00ED6690" w:rsidRDefault="005E3091" w:rsidP="00F97ADD">
      <w:pPr>
        <w:rPr>
          <w:rFonts w:ascii="Times New Roman" w:hAnsi="Times New Roman" w:cs="Times New Roman"/>
          <w:szCs w:val="24"/>
        </w:rPr>
      </w:pPr>
    </w:p>
    <w:p w14:paraId="163FD060" w14:textId="77777777" w:rsidR="005E3091" w:rsidRPr="00ED6690" w:rsidRDefault="005E3091" w:rsidP="00F97ADD">
      <w:pPr>
        <w:rPr>
          <w:rFonts w:ascii="Times New Roman" w:hAnsi="Times New Roman" w:cs="Times New Roman"/>
          <w:szCs w:val="24"/>
        </w:rPr>
      </w:pPr>
    </w:p>
    <w:p w14:paraId="7F9BA861" w14:textId="423FA037" w:rsidR="00F97ADD" w:rsidRPr="00ED6690" w:rsidRDefault="008C37E1" w:rsidP="00F97ADD">
      <w:pPr>
        <w:rPr>
          <w:rFonts w:ascii="Times New Roman" w:hAnsi="Times New Roman" w:cs="Times New Roman"/>
          <w:b/>
          <w:bCs/>
          <w:szCs w:val="24"/>
        </w:rPr>
      </w:pPr>
      <w:r>
        <w:rPr>
          <w:noProof/>
        </w:rPr>
        <w:drawing>
          <wp:inline distT="0" distB="0" distL="0" distR="0" wp14:anchorId="5B0C6590" wp14:editId="0D8B5888">
            <wp:extent cx="5035550" cy="6165850"/>
            <wp:effectExtent l="0" t="0" r="0" b="6350"/>
            <wp:docPr id="54" name="Picture 5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Chart, line chart&#10;&#10;Description automatically generated"/>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035550" cy="6165850"/>
                    </a:xfrm>
                    <a:prstGeom prst="rect">
                      <a:avLst/>
                    </a:prstGeom>
                    <a:noFill/>
                    <a:ln>
                      <a:noFill/>
                    </a:ln>
                  </pic:spPr>
                </pic:pic>
              </a:graphicData>
            </a:graphic>
          </wp:inline>
        </w:drawing>
      </w:r>
    </w:p>
    <w:p w14:paraId="11978049" w14:textId="421BA78F" w:rsidR="00F97ADD" w:rsidRPr="008C37E1" w:rsidRDefault="00F97ADD" w:rsidP="008C37E1">
      <w:pPr>
        <w:jc w:val="both"/>
        <w:rPr>
          <w:rFonts w:ascii="Times New Roman" w:hAnsi="Times New Roman" w:cs="Times New Roman"/>
          <w:szCs w:val="24"/>
        </w:rPr>
      </w:pPr>
      <w:r w:rsidRPr="00ED6690">
        <w:rPr>
          <w:rFonts w:ascii="Times New Roman" w:hAnsi="Times New Roman" w:cs="Times New Roman"/>
          <w:b/>
          <w:bCs/>
          <w:szCs w:val="24"/>
        </w:rPr>
        <w:t>Fig</w:t>
      </w:r>
      <w:r w:rsidR="0020662D" w:rsidRPr="00ED6690">
        <w:rPr>
          <w:rFonts w:ascii="Times New Roman" w:hAnsi="Times New Roman" w:cs="Times New Roman"/>
          <w:b/>
          <w:bCs/>
          <w:szCs w:val="24"/>
        </w:rPr>
        <w:t>.</w:t>
      </w:r>
      <w:r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43</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004C38F9">
        <w:rPr>
          <w:rFonts w:ascii="Times New Roman" w:hAnsi="Times New Roman" w:cs="Times New Roman"/>
          <w:b/>
          <w:bCs/>
          <w:szCs w:val="24"/>
        </w:rPr>
        <w:t>E</w:t>
      </w:r>
      <w:r w:rsidR="00534E24" w:rsidRPr="008C37E1">
        <w:rPr>
          <w:rFonts w:ascii="Times New Roman" w:hAnsi="Times New Roman" w:cs="Times New Roman"/>
          <w:b/>
          <w:bCs/>
          <w:szCs w:val="24"/>
        </w:rPr>
        <w:t xml:space="preserve">xample </w:t>
      </w:r>
      <w:proofErr w:type="gramStart"/>
      <w:r w:rsidRPr="008C37E1">
        <w:rPr>
          <w:rFonts w:ascii="Times New Roman" w:hAnsi="Times New Roman" w:cs="Times New Roman"/>
          <w:b/>
          <w:bCs/>
          <w:szCs w:val="24"/>
        </w:rPr>
        <w:t>Ni</w:t>
      </w:r>
      <w:r w:rsidR="00534E24" w:rsidRPr="008C37E1">
        <w:rPr>
          <w:rFonts w:ascii="Times New Roman" w:hAnsi="Times New Roman" w:cs="Times New Roman"/>
          <w:b/>
          <w:bCs/>
          <w:szCs w:val="24"/>
        </w:rPr>
        <w:t>(</w:t>
      </w:r>
      <w:proofErr w:type="gramEnd"/>
      <w:r w:rsidRPr="008C37E1">
        <w:rPr>
          <w:rFonts w:ascii="Times New Roman" w:hAnsi="Times New Roman" w:cs="Times New Roman"/>
          <w:b/>
          <w:bCs/>
          <w:szCs w:val="24"/>
        </w:rPr>
        <w:t>Pd</w:t>
      </w:r>
      <w:r w:rsidR="00534E24" w:rsidRPr="008C37E1">
        <w:rPr>
          <w:rFonts w:ascii="Times New Roman" w:hAnsi="Times New Roman" w:cs="Times New Roman"/>
          <w:b/>
          <w:bCs/>
          <w:szCs w:val="24"/>
        </w:rPr>
        <w:t>)</w:t>
      </w:r>
      <w:r w:rsidRPr="008C37E1">
        <w:rPr>
          <w:rFonts w:ascii="Times New Roman" w:hAnsi="Times New Roman" w:cs="Times New Roman"/>
          <w:b/>
          <w:bCs/>
          <w:szCs w:val="24"/>
        </w:rPr>
        <w:t xml:space="preserve"> </w:t>
      </w:r>
      <w:r w:rsidR="00270D6D" w:rsidRPr="008C37E1">
        <w:rPr>
          <w:rFonts w:ascii="Times New Roman" w:hAnsi="Times New Roman" w:cs="Times New Roman"/>
          <w:b/>
          <w:bCs/>
          <w:szCs w:val="24"/>
        </w:rPr>
        <w:t xml:space="preserve">Segregation </w:t>
      </w:r>
      <w:r w:rsidR="004C38F9">
        <w:rPr>
          <w:rFonts w:ascii="Times New Roman" w:hAnsi="Times New Roman" w:cs="Times New Roman"/>
          <w:b/>
          <w:bCs/>
          <w:szCs w:val="24"/>
        </w:rPr>
        <w:t>I</w:t>
      </w:r>
      <w:r w:rsidR="00270D6D" w:rsidRPr="008C37E1">
        <w:rPr>
          <w:rFonts w:ascii="Times New Roman" w:hAnsi="Times New Roman" w:cs="Times New Roman"/>
          <w:b/>
          <w:bCs/>
          <w:szCs w:val="24"/>
        </w:rPr>
        <w:t>sotherms</w:t>
      </w:r>
      <w:r w:rsidR="008C37E1">
        <w:rPr>
          <w:rFonts w:ascii="Times New Roman" w:hAnsi="Times New Roman" w:cs="Times New Roman"/>
          <w:b/>
          <w:bCs/>
          <w:szCs w:val="24"/>
        </w:rPr>
        <w:t xml:space="preserve">. </w:t>
      </w:r>
      <w:r w:rsidR="008C37E1">
        <w:rPr>
          <w:rFonts w:ascii="Times New Roman" w:hAnsi="Times New Roman" w:cs="Times New Roman"/>
          <w:szCs w:val="24"/>
        </w:rPr>
        <w:t>(</w:t>
      </w:r>
      <w:r w:rsidR="008C37E1" w:rsidRPr="005F5489">
        <w:rPr>
          <w:rFonts w:ascii="Times New Roman" w:hAnsi="Times New Roman" w:cs="Times New Roman"/>
          <w:b/>
          <w:bCs/>
          <w:szCs w:val="24"/>
        </w:rPr>
        <w:t>a-</w:t>
      </w:r>
      <w:r w:rsidR="004C38F9" w:rsidRPr="005F5489">
        <w:rPr>
          <w:rFonts w:ascii="Times New Roman" w:hAnsi="Times New Roman" w:cs="Times New Roman"/>
          <w:b/>
          <w:bCs/>
          <w:szCs w:val="24"/>
        </w:rPr>
        <w:t>d</w:t>
      </w:r>
      <w:r w:rsidR="008C37E1">
        <w:rPr>
          <w:rFonts w:ascii="Times New Roman" w:hAnsi="Times New Roman" w:cs="Times New Roman"/>
          <w:szCs w:val="24"/>
        </w:rPr>
        <w:t>) are</w:t>
      </w:r>
      <w:r w:rsidR="004C38F9">
        <w:rPr>
          <w:rFonts w:ascii="Times New Roman" w:hAnsi="Times New Roman" w:cs="Times New Roman"/>
          <w:szCs w:val="24"/>
        </w:rPr>
        <w:t xml:space="preserve"> calculated via a finite grain size with </w:t>
      </w:r>
      <w:proofErr w:type="spellStart"/>
      <w:r w:rsidR="004C38F9" w:rsidRPr="005F5489">
        <w:rPr>
          <w:rFonts w:ascii="Times New Roman" w:hAnsi="Times New Roman" w:cs="Times New Roman"/>
          <w:i/>
          <w:iCs/>
          <w:szCs w:val="24"/>
        </w:rPr>
        <w:t>f</w:t>
      </w:r>
      <w:r w:rsidR="004C38F9" w:rsidRPr="005F5489">
        <w:rPr>
          <w:rFonts w:ascii="Times New Roman" w:hAnsi="Times New Roman" w:cs="Times New Roman"/>
          <w:i/>
          <w:iCs/>
          <w:szCs w:val="24"/>
          <w:vertAlign w:val="superscript"/>
        </w:rPr>
        <w:t>GB</w:t>
      </w:r>
      <w:proofErr w:type="spellEnd"/>
      <w:r w:rsidR="004C38F9">
        <w:rPr>
          <w:rFonts w:ascii="Times New Roman" w:hAnsi="Times New Roman" w:cs="Times New Roman"/>
          <w:szCs w:val="24"/>
        </w:rPr>
        <w:t xml:space="preserve"> of 0.24. This grain size is similar to Ref.</w:t>
      </w:r>
      <w:r w:rsidR="003E5C91">
        <w:rPr>
          <w:rFonts w:ascii="Times New Roman" w:hAnsi="Times New Roman" w:cs="Times New Roman"/>
          <w:szCs w:val="24"/>
        </w:rPr>
        <w:fldChar w:fldCharType="begin"/>
      </w:r>
      <w:r w:rsidR="00052644">
        <w:rPr>
          <w:rFonts w:ascii="Times New Roman" w:hAnsi="Times New Roman" w:cs="Times New Roman"/>
          <w:szCs w:val="24"/>
        </w:rPr>
        <w:instrText xml:space="preserve"> ADDIN ZOTERO_ITEM CSL_CITATION {"citationID":"4i4LJkQg","properties":{"formattedCitation":"\\super 1\\nosupersub{}","plainCitation":"1","noteIndex":0},"citationItems":[{"id":1167,"uris":["http://zotero.org/users/5159096/items/ZLCFBZ4N"],"itemData":{"id":1167,"type":"article-journal","abstract":"The vibrational contributions to the energetics of grain boundary segregation are calculated for binary Ni polycrystals with solutes of Pd, Pt, Ag, Au and Cu. The computational challenge of the problem is to assess each different grain boundary site and produce full spectra of both site energies and entropies, which is addressed through a multiscale approach in which a full harmonic calculation is completed only in the vicinity of the solute atom, and a buffer region based on a local harmonic calculation effects connectivity to the bulk polycrystal. The resulting segregation free energy spectra illustrate the artificial nature of segregation temperature dependencies when the vibrational entropy is not considered, and highlight the importance of including the vibrational entropy spectrum for rigorous calculations. For a 5% solute loading level, for example, the magnitude of the artificial temperature dependence calculated ranges from 31 to 43% of the total effective segregation entropy for the various systems explored. Finally, a strong linear correlation between site segregation energy (which is not much affected by vibrational effects within the harmonic approximation) and vibrational entropy is observed in polycrystals, in agreement with prior works of coincident site lattice boundaries; this correlation promises sig­ nificant simplification of segregation calculations in polycrystals generally.","container-title":"Acta Materialia","DOI":"10.1016/j.actamat.2022.118630","ISSN":"13596454","journalAbbreviation":"Acta Materialia","language":"en","page":"118630","source":"DOI.org (Crossref)","title":"The vibrational entropy spectra of grain boundary segregation in polycrystals","volume":"245","author":[{"family":"Tuchinda","given":"Nutth"},{"family":"Schuh","given":"Christopher A."}],"issued":{"date-parts":[["2023",2]]}}}],"schema":"https://github.com/citation-style-language/schema/raw/master/csl-citation.json"} </w:instrText>
      </w:r>
      <w:r w:rsidR="003E5C91">
        <w:rPr>
          <w:rFonts w:ascii="Times New Roman" w:hAnsi="Times New Roman" w:cs="Times New Roman"/>
          <w:szCs w:val="24"/>
        </w:rPr>
        <w:fldChar w:fldCharType="separate"/>
      </w:r>
      <w:r w:rsidR="003E5C91" w:rsidRPr="003E5C91">
        <w:rPr>
          <w:rFonts w:ascii="Times New Roman" w:hAnsi="Times New Roman" w:cs="Times New Roman"/>
          <w:kern w:val="0"/>
          <w:szCs w:val="24"/>
          <w:vertAlign w:val="superscript"/>
        </w:rPr>
        <w:t>1</w:t>
      </w:r>
      <w:r w:rsidR="003E5C91">
        <w:rPr>
          <w:rFonts w:ascii="Times New Roman" w:hAnsi="Times New Roman" w:cs="Times New Roman"/>
          <w:szCs w:val="24"/>
        </w:rPr>
        <w:fldChar w:fldCharType="end"/>
      </w:r>
      <w:r w:rsidR="004C38F9">
        <w:rPr>
          <w:rFonts w:ascii="Times New Roman" w:hAnsi="Times New Roman" w:cs="Times New Roman"/>
          <w:szCs w:val="24"/>
        </w:rPr>
        <w:t>. (</w:t>
      </w:r>
      <w:r w:rsidR="004C38F9" w:rsidRPr="005F5489">
        <w:rPr>
          <w:rFonts w:ascii="Times New Roman" w:hAnsi="Times New Roman" w:cs="Times New Roman"/>
          <w:b/>
          <w:bCs/>
          <w:szCs w:val="24"/>
        </w:rPr>
        <w:t>e-h</w:t>
      </w:r>
      <w:r w:rsidR="004C38F9">
        <w:rPr>
          <w:rFonts w:ascii="Times New Roman" w:hAnsi="Times New Roman" w:cs="Times New Roman"/>
          <w:szCs w:val="24"/>
        </w:rPr>
        <w:t>)</w:t>
      </w:r>
      <w:r w:rsidR="008C37E1">
        <w:rPr>
          <w:rFonts w:ascii="Times New Roman" w:hAnsi="Times New Roman" w:cs="Times New Roman"/>
          <w:szCs w:val="24"/>
        </w:rPr>
        <w:t xml:space="preserve"> </w:t>
      </w:r>
      <w:r w:rsidR="004C38F9">
        <w:rPr>
          <w:rFonts w:ascii="Times New Roman" w:hAnsi="Times New Roman" w:cs="Times New Roman"/>
          <w:szCs w:val="24"/>
        </w:rPr>
        <w:t>are calculated with direct integration of the isotherms. The results from the univariate and bivariate are shown for comparison</w:t>
      </w:r>
      <w:r w:rsidR="006C7BF7">
        <w:rPr>
          <w:rFonts w:ascii="Times New Roman" w:hAnsi="Times New Roman" w:cs="Times New Roman"/>
          <w:szCs w:val="24"/>
        </w:rPr>
        <w:t>s</w:t>
      </w:r>
      <w:r w:rsidR="004C38F9">
        <w:rPr>
          <w:rFonts w:ascii="Times New Roman" w:hAnsi="Times New Roman" w:cs="Times New Roman"/>
          <w:szCs w:val="24"/>
        </w:rPr>
        <w:t>.</w:t>
      </w:r>
    </w:p>
    <w:p w14:paraId="28D2E50D" w14:textId="77777777" w:rsidR="00F97ADD" w:rsidRPr="00ED6690" w:rsidRDefault="00F97ADD" w:rsidP="00F97ADD">
      <w:pPr>
        <w:pStyle w:val="ListParagraph"/>
        <w:rPr>
          <w:rFonts w:ascii="Times New Roman" w:hAnsi="Times New Roman" w:cs="Times New Roman"/>
          <w:b/>
          <w:bCs/>
          <w:szCs w:val="24"/>
        </w:rPr>
      </w:pPr>
    </w:p>
    <w:p w14:paraId="3DA9E13D" w14:textId="77777777" w:rsidR="00F97ADD" w:rsidRPr="00ED6690" w:rsidRDefault="00F97ADD" w:rsidP="00F97ADD">
      <w:pPr>
        <w:pStyle w:val="ListParagraph"/>
        <w:rPr>
          <w:rFonts w:ascii="Times New Roman" w:hAnsi="Times New Roman" w:cs="Times New Roman"/>
          <w:b/>
          <w:bCs/>
          <w:szCs w:val="24"/>
        </w:rPr>
      </w:pPr>
    </w:p>
    <w:p w14:paraId="4AEA8F16" w14:textId="77777777" w:rsidR="00127A96" w:rsidRPr="00ED6690" w:rsidRDefault="00127A96" w:rsidP="00F97ADD">
      <w:pPr>
        <w:pStyle w:val="ListParagraph"/>
        <w:rPr>
          <w:rFonts w:ascii="Times New Roman" w:hAnsi="Times New Roman" w:cs="Times New Roman"/>
          <w:b/>
          <w:bCs/>
          <w:szCs w:val="24"/>
        </w:rPr>
      </w:pPr>
    </w:p>
    <w:p w14:paraId="533991AD" w14:textId="77777777" w:rsidR="00127A96" w:rsidRPr="00CF5D92" w:rsidRDefault="00127A96" w:rsidP="00CF5D92">
      <w:pPr>
        <w:rPr>
          <w:rFonts w:ascii="Times New Roman" w:hAnsi="Times New Roman" w:cs="Times New Roman"/>
          <w:b/>
          <w:bCs/>
          <w:szCs w:val="24"/>
        </w:rPr>
      </w:pPr>
    </w:p>
    <w:p w14:paraId="5BACFE0A" w14:textId="301C3CC2" w:rsidR="008F1BAB" w:rsidRDefault="009E096C" w:rsidP="008F1BAB">
      <w:pPr>
        <w:pStyle w:val="ListParagraph"/>
        <w:numPr>
          <w:ilvl w:val="0"/>
          <w:numId w:val="1"/>
        </w:numPr>
        <w:rPr>
          <w:rFonts w:ascii="Times New Roman" w:hAnsi="Times New Roman" w:cs="Times New Roman"/>
          <w:b/>
          <w:bCs/>
          <w:szCs w:val="24"/>
        </w:rPr>
      </w:pPr>
      <w:r w:rsidRPr="00ED6690">
        <w:rPr>
          <w:rFonts w:ascii="Times New Roman" w:hAnsi="Times New Roman" w:cs="Times New Roman"/>
          <w:b/>
          <w:bCs/>
          <w:szCs w:val="24"/>
        </w:rPr>
        <w:t>Temperature Dependent Segregation Isotherms</w:t>
      </w:r>
    </w:p>
    <w:p w14:paraId="38763848" w14:textId="0E85341D" w:rsidR="00F23CC4" w:rsidRPr="00B7633A" w:rsidRDefault="00F23CC4" w:rsidP="00F23CC4">
      <w:pPr>
        <w:jc w:val="both"/>
        <w:rPr>
          <w:rFonts w:ascii="Times New Roman" w:eastAsiaTheme="minorEastAsia" w:hAnsi="Times New Roman" w:cs="Times New Roman"/>
          <w:szCs w:val="24"/>
        </w:rPr>
      </w:pPr>
      <w:r>
        <w:rPr>
          <w:rFonts w:ascii="Times New Roman" w:eastAsiaTheme="minorEastAsia" w:hAnsi="Times New Roman" w:cs="Times New Roman"/>
          <w:szCs w:val="24"/>
        </w:rPr>
        <w:t>While the linear model of Eq. (</w:t>
      </w:r>
      <w:r w:rsidR="009E7ECB">
        <w:rPr>
          <w:rFonts w:ascii="Times New Roman" w:eastAsiaTheme="minorEastAsia" w:hAnsi="Times New Roman" w:cs="Times New Roman"/>
          <w:szCs w:val="24"/>
        </w:rPr>
        <w:t>5</w:t>
      </w:r>
      <w:r>
        <w:rPr>
          <w:rFonts w:ascii="Times New Roman" w:eastAsiaTheme="minorEastAsia" w:hAnsi="Times New Roman" w:cs="Times New Roman"/>
          <w:szCs w:val="24"/>
        </w:rPr>
        <w:t>) is attractive due to its simplicity, it may fail to accurately predict segregation content in the systems shown in Fig. 3 with a weakly correlated spectrum. As an illustration,</w:t>
      </w:r>
      <w:r w:rsidRPr="0023465D">
        <w:rPr>
          <w:rFonts w:ascii="Times New Roman" w:eastAsiaTheme="minorEastAsia" w:hAnsi="Times New Roman" w:cs="Times New Roman"/>
          <w:szCs w:val="24"/>
        </w:rPr>
        <w:t xml:space="preserve"> we evaluate the temperature dependence of</w:t>
      </w:r>
      <w:r>
        <w:rPr>
          <w:rFonts w:ascii="Times New Roman" w:eastAsiaTheme="minorEastAsia" w:hAnsi="Times New Roman" w:cs="Times New Roman"/>
          <w:szCs w:val="24"/>
        </w:rPr>
        <w:t xml:space="preserve"> the grain boundary enrichment</w:t>
      </w:r>
      <w:r w:rsidRPr="0023465D">
        <w:rPr>
          <w:rFonts w:ascii="Times New Roman" w:eastAsiaTheme="minorEastAsia" w:hAnsi="Times New Roman" w:cs="Times New Roman"/>
          <w:szCs w:val="24"/>
        </w:rPr>
        <w:t xml:space="preserve"> </w:t>
      </w:r>
      <w:r>
        <w:rPr>
          <w:rFonts w:ascii="Times New Roman" w:eastAsiaTheme="minorEastAsia" w:hAnsi="Times New Roman" w:cs="Times New Roman"/>
          <w:szCs w:val="24"/>
        </w:rPr>
        <w:t xml:space="preserve">at 1 </w:t>
      </w:r>
      <w:proofErr w:type="gramStart"/>
      <w:r>
        <w:rPr>
          <w:rFonts w:ascii="Times New Roman" w:eastAsiaTheme="minorEastAsia" w:hAnsi="Times New Roman" w:cs="Times New Roman"/>
          <w:szCs w:val="24"/>
        </w:rPr>
        <w:t>at.%</w:t>
      </w:r>
      <w:proofErr w:type="gramEnd"/>
      <w:r>
        <w:rPr>
          <w:rFonts w:ascii="Times New Roman" w:eastAsiaTheme="minorEastAsia" w:hAnsi="Times New Roman" w:cs="Times New Roman"/>
          <w:szCs w:val="24"/>
        </w:rPr>
        <w:t xml:space="preserve"> </w:t>
      </w:r>
      <w:r w:rsidRPr="00B7633A">
        <w:rPr>
          <w:rFonts w:ascii="Times New Roman" w:eastAsiaTheme="minorEastAsia" w:hAnsi="Times New Roman" w:cs="Times New Roman"/>
          <w:szCs w:val="24"/>
        </w:rPr>
        <w:t xml:space="preserve">solute content </w:t>
      </w:r>
      <w:r>
        <w:rPr>
          <w:rFonts w:ascii="Times New Roman" w:eastAsiaTheme="minorEastAsia" w:hAnsi="Times New Roman" w:cs="Times New Roman"/>
          <w:szCs w:val="24"/>
        </w:rPr>
        <w:t>in the</w:t>
      </w:r>
      <w:r w:rsidRPr="00B7633A">
        <w:rPr>
          <w:rFonts w:ascii="Times New Roman" w:eastAsiaTheme="minorEastAsia" w:hAnsi="Times New Roman" w:cs="Times New Roman"/>
          <w:szCs w:val="24"/>
        </w:rPr>
        <w:t xml:space="preserve"> large grain size limit</w:t>
      </w:r>
      <w:r>
        <w:rPr>
          <w:rFonts w:ascii="Times New Roman" w:eastAsiaTheme="minorEastAsia" w:hAnsi="Times New Roman" w:cs="Times New Roman"/>
          <w:szCs w:val="24"/>
        </w:rPr>
        <w:t xml:space="preserve"> for three example systems. We specifically address</w:t>
      </w:r>
      <w:r w:rsidRPr="00B7633A">
        <w:rPr>
          <w:rFonts w:ascii="Times New Roman" w:eastAsiaTheme="minorEastAsia" w:hAnsi="Times New Roman" w:cs="Times New Roman"/>
          <w:szCs w:val="24"/>
        </w:rPr>
        <w:t xml:space="preserve"> four modeled cases</w:t>
      </w:r>
      <w:r>
        <w:rPr>
          <w:rFonts w:ascii="Times New Roman" w:eastAsiaTheme="minorEastAsia" w:hAnsi="Times New Roman" w:cs="Times New Roman"/>
          <w:szCs w:val="24"/>
        </w:rPr>
        <w:t xml:space="preserve"> with which we evaluate Eq. (2)</w:t>
      </w:r>
      <w:r w:rsidRPr="00B7633A">
        <w:rPr>
          <w:rFonts w:ascii="Times New Roman" w:eastAsiaTheme="minorEastAsia" w:hAnsi="Times New Roman" w:cs="Times New Roman"/>
          <w:szCs w:val="24"/>
        </w:rPr>
        <w:t>:</w:t>
      </w:r>
    </w:p>
    <w:p w14:paraId="2A59ECB6" w14:textId="77777777" w:rsidR="00F23CC4" w:rsidRPr="00B7633A" w:rsidRDefault="00F23CC4" w:rsidP="00F23CC4">
      <w:pPr>
        <w:pStyle w:val="ListParagraph"/>
        <w:numPr>
          <w:ilvl w:val="0"/>
          <w:numId w:val="2"/>
        </w:numPr>
        <w:jc w:val="both"/>
        <w:rPr>
          <w:rFonts w:ascii="Times New Roman" w:eastAsiaTheme="minorEastAsia" w:hAnsi="Times New Roman" w:cs="Times New Roman"/>
          <w:szCs w:val="24"/>
        </w:rPr>
      </w:pPr>
      <w:r w:rsidRPr="00B7633A">
        <w:rPr>
          <w:rFonts w:ascii="Times New Roman" w:eastAsiaTheme="minorEastAsia" w:hAnsi="Times New Roman" w:cs="Times New Roman"/>
          <w:szCs w:val="24"/>
        </w:rPr>
        <w:t xml:space="preserve">A fitted bivariate Gaussian distribution with </w:t>
      </w:r>
      <m:oMath>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F</m:t>
            </m:r>
          </m:e>
          <m:sub>
            <m:r>
              <w:rPr>
                <w:rFonts w:ascii="Cambria Math" w:hAnsi="Cambria Math" w:cs="Times New Roman"/>
                <w:szCs w:val="24"/>
              </w:rPr>
              <m:t>i</m:t>
            </m:r>
          </m:sub>
          <m:sup>
            <m:r>
              <w:rPr>
                <w:rFonts w:ascii="Cambria Math" w:hAnsi="Cambria Math" w:cs="Times New Roman"/>
                <w:szCs w:val="24"/>
              </w:rPr>
              <m:t>seg</m:t>
            </m:r>
          </m:sup>
        </m:sSubSup>
        <m:r>
          <w:rPr>
            <w:rFonts w:ascii="Cambria Math" w:eastAsiaTheme="minorEastAsia" w:hAnsi="Cambria Math" w:cs="Times New Roman"/>
            <w:szCs w:val="24"/>
          </w:rPr>
          <m:t>=</m:t>
        </m:r>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E</m:t>
            </m:r>
          </m:e>
          <m:sub>
            <m:r>
              <w:rPr>
                <w:rFonts w:ascii="Cambria Math" w:hAnsi="Cambria Math" w:cs="Times New Roman"/>
                <w:szCs w:val="24"/>
              </w:rPr>
              <m:t>i</m:t>
            </m:r>
          </m:sub>
          <m:sup>
            <m:r>
              <w:rPr>
                <w:rFonts w:ascii="Cambria Math" w:hAnsi="Cambria Math" w:cs="Times New Roman"/>
                <w:szCs w:val="24"/>
              </w:rPr>
              <m:t>seg</m:t>
            </m:r>
          </m:sup>
        </m:sSubSup>
        <m:r>
          <w:rPr>
            <w:rFonts w:ascii="Cambria Math" w:hAnsi="Cambria Math" w:cs="Times New Roman"/>
            <w:szCs w:val="24"/>
          </w:rPr>
          <m:t>-T∆</m:t>
        </m:r>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i</m:t>
            </m:r>
          </m:sub>
          <m:sup>
            <m:r>
              <w:rPr>
                <w:rFonts w:ascii="Cambria Math" w:hAnsi="Cambria Math" w:cs="Times New Roman"/>
                <w:szCs w:val="24"/>
              </w:rPr>
              <m:t>seg</m:t>
            </m:r>
          </m:sup>
        </m:sSubSup>
      </m:oMath>
      <w:r>
        <w:rPr>
          <w:rFonts w:ascii="Times New Roman" w:eastAsiaTheme="minorEastAsia" w:hAnsi="Times New Roman" w:cs="Times New Roman"/>
          <w:szCs w:val="24"/>
        </w:rPr>
        <w:t xml:space="preserve">; this is the most rigorous approach that is inclusive of </w:t>
      </w:r>
      <w:proofErr w:type="gramStart"/>
      <w:r>
        <w:rPr>
          <w:rFonts w:ascii="Times New Roman" w:eastAsiaTheme="minorEastAsia" w:hAnsi="Times New Roman" w:cs="Times New Roman"/>
          <w:szCs w:val="24"/>
        </w:rPr>
        <w:t>all of</w:t>
      </w:r>
      <w:proofErr w:type="gramEnd"/>
      <w:r>
        <w:rPr>
          <w:rFonts w:ascii="Times New Roman" w:eastAsiaTheme="minorEastAsia" w:hAnsi="Times New Roman" w:cs="Times New Roman"/>
          <w:szCs w:val="24"/>
        </w:rPr>
        <w:t xml:space="preserve"> the site-wise variations of both energy and entropy of segregation.</w:t>
      </w:r>
    </w:p>
    <w:p w14:paraId="56DAD1B1" w14:textId="77777777" w:rsidR="00F23CC4" w:rsidRPr="00B7633A" w:rsidRDefault="00F23CC4" w:rsidP="00F23CC4">
      <w:pPr>
        <w:pStyle w:val="ListParagraph"/>
        <w:numPr>
          <w:ilvl w:val="0"/>
          <w:numId w:val="2"/>
        </w:numPr>
        <w:jc w:val="both"/>
        <w:rPr>
          <w:rFonts w:ascii="Times New Roman" w:eastAsiaTheme="minorEastAsia" w:hAnsi="Times New Roman" w:cs="Times New Roman"/>
          <w:szCs w:val="24"/>
        </w:rPr>
      </w:pPr>
      <w:r w:rsidRPr="00B7633A">
        <w:rPr>
          <w:rFonts w:ascii="Times New Roman" w:eastAsiaTheme="minorEastAsia" w:hAnsi="Times New Roman" w:cs="Times New Roman"/>
          <w:szCs w:val="24"/>
        </w:rPr>
        <w:t>The identical bivariate distribution to (</w:t>
      </w:r>
      <w:proofErr w:type="spellStart"/>
      <w:r w:rsidRPr="00B7633A">
        <w:rPr>
          <w:rFonts w:ascii="Times New Roman" w:eastAsiaTheme="minorEastAsia" w:hAnsi="Times New Roman" w:cs="Times New Roman"/>
          <w:szCs w:val="24"/>
        </w:rPr>
        <w:t>i</w:t>
      </w:r>
      <w:proofErr w:type="spellEnd"/>
      <w:r w:rsidRPr="00B7633A">
        <w:rPr>
          <w:rFonts w:ascii="Times New Roman" w:eastAsiaTheme="minorEastAsia" w:hAnsi="Times New Roman" w:cs="Times New Roman"/>
          <w:szCs w:val="24"/>
        </w:rPr>
        <w:t>) but the excess entropy is replaced with the linear approximation of Eq. (3)</w:t>
      </w:r>
      <w:r>
        <w:rPr>
          <w:rFonts w:ascii="Times New Roman" w:eastAsiaTheme="minorEastAsia" w:hAnsi="Times New Roman" w:cs="Times New Roman"/>
          <w:szCs w:val="24"/>
        </w:rPr>
        <w:t>; this is tantamount to assuming that all site variations are captured by the energy spectrum, and linearly map through to the entropy term.</w:t>
      </w:r>
      <w:r w:rsidRPr="00B7633A">
        <w:rPr>
          <w:rFonts w:ascii="Times New Roman" w:eastAsiaTheme="minorEastAsia" w:hAnsi="Times New Roman" w:cs="Times New Roman"/>
          <w:szCs w:val="24"/>
        </w:rPr>
        <w:t xml:space="preserve"> </w:t>
      </w:r>
    </w:p>
    <w:p w14:paraId="23AB4965" w14:textId="77777777" w:rsidR="00F23CC4" w:rsidRPr="00B7633A" w:rsidRDefault="00F23CC4" w:rsidP="00F23CC4">
      <w:pPr>
        <w:pStyle w:val="ListParagraph"/>
        <w:numPr>
          <w:ilvl w:val="0"/>
          <w:numId w:val="2"/>
        </w:numPr>
        <w:jc w:val="both"/>
        <w:rPr>
          <w:rFonts w:ascii="Times New Roman" w:eastAsiaTheme="minorEastAsia" w:hAnsi="Times New Roman" w:cs="Times New Roman"/>
          <w:szCs w:val="24"/>
        </w:rPr>
      </w:pPr>
      <w:r w:rsidRPr="00B7633A">
        <w:rPr>
          <w:rFonts w:ascii="Times New Roman" w:eastAsiaTheme="minorEastAsia" w:hAnsi="Times New Roman" w:cs="Times New Roman"/>
          <w:szCs w:val="24"/>
        </w:rPr>
        <w:t xml:space="preserve">Same as (ii) but with </w:t>
      </w:r>
      <m:oMath>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0</m:t>
            </m:r>
          </m:sub>
          <m:sup>
            <m:r>
              <w:rPr>
                <w:rFonts w:ascii="Cambria Math" w:hAnsi="Cambria Math" w:cs="Times New Roman"/>
                <w:szCs w:val="24"/>
              </w:rPr>
              <m:t>solute,GB</m:t>
            </m:r>
          </m:sup>
        </m:sSubSup>
        <m:r>
          <w:rPr>
            <w:rFonts w:ascii="Cambria Math" w:eastAsiaTheme="minorEastAsia" w:hAnsi="Cambria Math" w:cs="Times New Roman"/>
            <w:szCs w:val="24"/>
          </w:rPr>
          <m:t>=0</m:t>
        </m:r>
      </m:oMath>
      <w:r>
        <w:rPr>
          <w:rFonts w:ascii="Times New Roman" w:eastAsiaTheme="minorEastAsia" w:hAnsi="Times New Roman" w:cs="Times New Roman"/>
          <w:szCs w:val="24"/>
        </w:rPr>
        <w:t>; a further reduction in information, forcing solute atoms with no measurable segregation energy to also have no entropy, and influencing the form of Eq. (3)</w:t>
      </w:r>
      <w:r w:rsidRPr="00B7633A">
        <w:rPr>
          <w:rFonts w:ascii="Times New Roman" w:eastAsiaTheme="minorEastAsia" w:hAnsi="Times New Roman" w:cs="Times New Roman"/>
          <w:szCs w:val="24"/>
        </w:rPr>
        <w:t>.</w:t>
      </w:r>
    </w:p>
    <w:p w14:paraId="7D2B7636" w14:textId="77777777" w:rsidR="00F23CC4" w:rsidRPr="001C604A" w:rsidRDefault="00F23CC4" w:rsidP="00F23CC4">
      <w:pPr>
        <w:pStyle w:val="ListParagraph"/>
        <w:numPr>
          <w:ilvl w:val="0"/>
          <w:numId w:val="2"/>
        </w:numPr>
        <w:jc w:val="both"/>
        <w:rPr>
          <w:rFonts w:ascii="Times New Roman" w:eastAsiaTheme="minorEastAsia" w:hAnsi="Times New Roman" w:cs="Times New Roman"/>
          <w:b/>
          <w:bCs/>
          <w:szCs w:val="24"/>
        </w:rPr>
      </w:pPr>
      <w:r w:rsidRPr="00B7633A">
        <w:rPr>
          <w:rFonts w:ascii="Times New Roman" w:eastAsiaTheme="minorEastAsia" w:hAnsi="Times New Roman" w:cs="Times New Roman"/>
          <w:szCs w:val="24"/>
        </w:rPr>
        <w:t>The identical bivariate distribution to (</w:t>
      </w:r>
      <w:proofErr w:type="spellStart"/>
      <w:r w:rsidRPr="00B7633A">
        <w:rPr>
          <w:rFonts w:ascii="Times New Roman" w:eastAsiaTheme="minorEastAsia" w:hAnsi="Times New Roman" w:cs="Times New Roman"/>
          <w:szCs w:val="24"/>
        </w:rPr>
        <w:t>i</w:t>
      </w:r>
      <w:proofErr w:type="spellEnd"/>
      <w:r w:rsidRPr="00B7633A">
        <w:rPr>
          <w:rFonts w:ascii="Times New Roman" w:eastAsiaTheme="minorEastAsia" w:hAnsi="Times New Roman" w:cs="Times New Roman"/>
          <w:szCs w:val="24"/>
        </w:rPr>
        <w:t xml:space="preserve">) </w:t>
      </w:r>
      <w:r>
        <w:rPr>
          <w:rFonts w:ascii="Times New Roman" w:eastAsiaTheme="minorEastAsia" w:hAnsi="Times New Roman" w:cs="Times New Roman"/>
          <w:szCs w:val="24"/>
        </w:rPr>
        <w:t>but</w:t>
      </w:r>
      <w:r w:rsidRPr="001C604A">
        <w:rPr>
          <w:rFonts w:ascii="Times New Roman" w:eastAsiaTheme="minorEastAsia" w:hAnsi="Times New Roman" w:cs="Times New Roman"/>
          <w:szCs w:val="24"/>
        </w:rPr>
        <w:t xml:space="preserve"> without</w:t>
      </w:r>
      <w:r>
        <w:rPr>
          <w:rFonts w:ascii="Times New Roman" w:eastAsiaTheme="minorEastAsia" w:hAnsi="Times New Roman" w:cs="Times New Roman"/>
          <w:szCs w:val="24"/>
        </w:rPr>
        <w:t xml:space="preserve"> any consideration of site-wise entropy at all; this case considers what happens when site energies but not entropies are </w:t>
      </w:r>
      <w:proofErr w:type="gramStart"/>
      <w:r>
        <w:rPr>
          <w:rFonts w:ascii="Times New Roman" w:eastAsiaTheme="minorEastAsia" w:hAnsi="Times New Roman" w:cs="Times New Roman"/>
          <w:szCs w:val="24"/>
        </w:rPr>
        <w:t>taken into account</w:t>
      </w:r>
      <w:proofErr w:type="gramEnd"/>
      <w:r w:rsidRPr="001C604A">
        <w:rPr>
          <w:rFonts w:ascii="Times New Roman" w:eastAsiaTheme="minorEastAsia" w:hAnsi="Times New Roman" w:cs="Times New Roman"/>
          <w:szCs w:val="24"/>
        </w:rPr>
        <w:t>.</w:t>
      </w:r>
    </w:p>
    <w:p w14:paraId="7C8E333D" w14:textId="744CC92A" w:rsidR="00F23CC4" w:rsidRDefault="00F23CC4" w:rsidP="00F23CC4">
      <w:pPr>
        <w:ind w:firstLine="360"/>
        <w:jc w:val="both"/>
        <w:rPr>
          <w:rFonts w:ascii="Times New Roman" w:eastAsiaTheme="minorEastAsia" w:hAnsi="Times New Roman" w:cs="Times New Roman"/>
          <w:szCs w:val="24"/>
        </w:rPr>
      </w:pPr>
      <w:r>
        <w:rPr>
          <w:rFonts w:ascii="Times New Roman" w:eastAsiaTheme="minorEastAsia" w:hAnsi="Times New Roman" w:cs="Times New Roman"/>
          <w:szCs w:val="24"/>
        </w:rPr>
        <w:t>We show three examples of Cu</w:t>
      </w:r>
      <w:r w:rsidRPr="0023465D">
        <w:rPr>
          <w:rFonts w:ascii="Times New Roman" w:eastAsiaTheme="minorEastAsia" w:hAnsi="Times New Roman" w:cs="Times New Roman"/>
          <w:szCs w:val="24"/>
        </w:rPr>
        <w:t>(</w:t>
      </w:r>
      <w:r>
        <w:rPr>
          <w:rFonts w:ascii="Times New Roman" w:eastAsiaTheme="minorEastAsia" w:hAnsi="Times New Roman" w:cs="Times New Roman"/>
          <w:szCs w:val="24"/>
        </w:rPr>
        <w:t>Pb</w:t>
      </w:r>
      <w:r w:rsidRPr="0023465D">
        <w:rPr>
          <w:rFonts w:ascii="Times New Roman" w:eastAsiaTheme="minorEastAsia" w:hAnsi="Times New Roman" w:cs="Times New Roman"/>
          <w:szCs w:val="24"/>
        </w:rPr>
        <w:t>)</w:t>
      </w:r>
      <w:r w:rsidRPr="0023465D">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{"citationID":"W96kcL8E","properties":{"formattedCitation":"\\super 37\\nosupersub{}","plainCitation":"37","noteIndex":0},"citationItems":[{"id":626,"uris":["http://zotero.org/users/5159096/items/YHUDCBDJ"],"itemData":{"id":626,"type":"article-journal","abstract":"A simple procedure is used to formulate a Cu–Pb pair interaction function within the embedded atom (EAM) method framework. Embedding, density and pair functions for pure Cu and pure Pb are taken from previously published EAM studies. Optimization of the Cu–Pb potential was achieved by comparing with experiment the computed heats of mixing for Cu–Pb liquid alloys and the equilibrium phase diagram, the latter being determined via a thermodynamic integration technique. The topology of the temperature-composition phase diagram computed with this EAM potential is consistent with experiment and features a liquid–liquid miscibility gap, low solubility of Pb in solid Cu and a monotectic reaction at approximately 1012 K.","container-title":"Modelling and Simulation in Materials Science and Engineering","DOI":"10.1088/0965-0393/11/3/302","ISSN":"0965-0393","issue":"3","note":"publisher: IOP Publishing","page":"287-299","title":"An embedded atom method interatomic potential for the Cu Pb system","volume":"11","author":[{"family":"Hoyt","given":"J J"},{"family":"Garvin","given":"J W"},{"family":"Webb","given":"E B"},{"family":"Asta","given":"Mark"}],"issued":{"date-parts":[["2003",2,24]]}}}],"schema":"https://github.com/citation-style-language/schema/raw/master/csl-citation.json"} </w:instrText>
      </w:r>
      <w:r w:rsidRPr="0023465D">
        <w:rPr>
          <w:rFonts w:ascii="Times New Roman" w:eastAsiaTheme="minorEastAsia" w:hAnsi="Times New Roman" w:cs="Times New Roman"/>
          <w:szCs w:val="24"/>
        </w:rPr>
        <w:fldChar w:fldCharType="separate"/>
      </w:r>
      <w:r w:rsidR="0093472B" w:rsidRPr="0093472B">
        <w:rPr>
          <w:rFonts w:ascii="Times New Roman" w:hAnsi="Times New Roman" w:cs="Times New Roman"/>
          <w:kern w:val="0"/>
          <w:szCs w:val="24"/>
          <w:vertAlign w:val="superscript"/>
        </w:rPr>
        <w:t>37</w:t>
      </w:r>
      <w:r w:rsidRPr="0023465D">
        <w:rPr>
          <w:rFonts w:ascii="Times New Roman" w:eastAsiaTheme="minorEastAsia" w:hAnsi="Times New Roman" w:cs="Times New Roman"/>
          <w:szCs w:val="24"/>
        </w:rPr>
        <w:fldChar w:fldCharType="end"/>
      </w:r>
      <w:r>
        <w:rPr>
          <w:rFonts w:ascii="Times New Roman" w:eastAsiaTheme="minorEastAsia" w:hAnsi="Times New Roman" w:cs="Times New Roman"/>
          <w:szCs w:val="24"/>
        </w:rPr>
        <w:t xml:space="preserve"> (strong correlation)</w:t>
      </w:r>
      <w:r w:rsidRPr="0023465D">
        <w:rPr>
          <w:rFonts w:ascii="Times New Roman" w:eastAsiaTheme="minorEastAsia" w:hAnsi="Times New Roman" w:cs="Times New Roman"/>
          <w:szCs w:val="24"/>
        </w:rPr>
        <w:t>,</w:t>
      </w:r>
      <w:r>
        <w:rPr>
          <w:rFonts w:ascii="Times New Roman" w:eastAsiaTheme="minorEastAsia" w:hAnsi="Times New Roman" w:cs="Times New Roman"/>
          <w:szCs w:val="24"/>
        </w:rPr>
        <w:t xml:space="preserve"> Ni(Al)</w:t>
      </w:r>
      <w:r>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{"citationID":"C7miFUcQ","properties":{"formattedCitation":"\\super 15\\nosupersub{}","plainCitation":"15","noteIndex":0},"citationItems":[{"id":1207,"uris":["http://zotero.org/users/5159096/items/C6MF99JZ"],"itemData":{"id":1207,"type":"article-journal","abstract":"Abstract\n            \n              \n                \n              \n            \n          , \n            \n              A set of embedded atom model (EAM) interatomic potentials was developed to represent highly idealized face-centered cubic (FCC) mixtures of Fe–Ni–Cr–Co–Al at near-equiatomic compositions. Potential functions for the transition metals and their crossed interactions are taken from our previous work for Fe–Ni–Cr–Co–Cu [D. Farkas and A. Caro:\n              J. Mater. Res.\n              33 (19), 3218–3225, 2018], while cross-pair interactions involving Al were developed using a mix of the component pair functions fitted to known intermetallic properties. The resulting heats of mixing of all binary equiatomic random FCC mixtures not containing Al is low, but significant short-range ordering appears in those containing Al, driven by a large atomic size difference. The potentials are utilized to predict the relative stability of FCC quinary mixtures, as well as ordered L1\n              2\n              and B2 phases as a function of Al content. These predictions are in qualitative agreement with experiments. This interatomic potential set is developed to resemble but not model precisely the properties of this complex system, aiming at providing a tool to explore the consequences of the addition of a large size-misfit component into a high entropy mixture that develops multiphase microstructures.","container-title":"Journal of Materials Research","DOI":"10.1557/jmr.2020.294","ISSN":"0884-2914, 2044-5326","issue":"22","journalAbbreviation":"J. Mater. Res.","language":"en","page":"3031-3040","source":"DOI.org (Crossref)","title":"Model interatomic potentials for Fe–Ni–Cr–Co–Al high-entropy alloys","volume":"35","author":[{"family":"Farkas","given":"Diana"},{"family":"Caro","given":"Alfredo"}],"issued":{"date-parts":[["2020",11,30]]}}}],"schema":"https://github.com/citation-style-language/schema/raw/master/csl-citation.json"} </w:instrText>
      </w:r>
      <w:r>
        <w:rPr>
          <w:rFonts w:ascii="Times New Roman" w:eastAsiaTheme="minorEastAsia" w:hAnsi="Times New Roman" w:cs="Times New Roman"/>
          <w:szCs w:val="24"/>
        </w:rPr>
        <w:fldChar w:fldCharType="separate"/>
      </w:r>
      <w:r w:rsidR="0093472B" w:rsidRPr="0093472B">
        <w:rPr>
          <w:rFonts w:ascii="Times New Roman" w:hAnsi="Times New Roman" w:cs="Times New Roman"/>
          <w:kern w:val="0"/>
          <w:szCs w:val="24"/>
          <w:vertAlign w:val="superscript"/>
        </w:rPr>
        <w:t>15</w:t>
      </w:r>
      <w:r>
        <w:rPr>
          <w:rFonts w:ascii="Times New Roman" w:eastAsiaTheme="minorEastAsia" w:hAnsi="Times New Roman" w:cs="Times New Roman"/>
          <w:szCs w:val="24"/>
        </w:rPr>
        <w:fldChar w:fldCharType="end"/>
      </w:r>
      <w:r>
        <w:rPr>
          <w:rFonts w:ascii="Times New Roman" w:eastAsiaTheme="minorEastAsia" w:hAnsi="Times New Roman" w:cs="Times New Roman"/>
          <w:szCs w:val="24"/>
        </w:rPr>
        <w:t xml:space="preserve"> and Ni(Cr)</w:t>
      </w:r>
      <w:r>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{"citationID":"WQf2tlng","properties":{"formattedCitation":"\\super 48\\nosupersub{}","plainCitation":"48","noteIndex":0},"citationItems":[{"id":630,"uris":["http://zotero.org/users/5159096/items/VWD4BWHH"],"itemData":{"id":630,"type":"article-journal","abstract":"Fe-Ni-Cr stainless-steels are important structural materials because of their superior strength and corrosion resistance. Atomistic studies of mechanical properties of stainless-steels, however, have been limited by the lack of high-fidelity interatomic potentials. Here using density functional theory as a guide, we have developed a new Fe-Ni-Cr embedded atom method potential. We demonstrate that our potential enables stable molecular dynamics simulations of stainless-steel alloys at high temperatures, accurately reproduces the stacking fault energy?known to strongly influence the mode of plastic deformation (e.g., twinning vs. dislocation glide vs. cross-slip)?of these alloys over a range of compositions, and gives reasonable elastic constants, energies, and volumes for various compositions. The latter are pertinent for determining short-range order and solute strengthening effects. Our results suggest that our potential is suitable for studying mechanical properties of austenitic and ferritic stainless-steels which have vast implementation in the scientific and industrial communities. Published 2018. This article is a U.S. Government work and is in the public domain in the USA.","container-title":"Journal of Computational Chemistry","DOI":"10.1002/jcc.25573","ISSN":"0192-8651","issue":"29","journalAbbreviation":"Journal of Computational Chemistry","note":"publisher: John Wiley &amp; Sons, Ltd","page":"2420-2431","title":"An Fe-Ni-Cr embedded atom method potential for austenitic and ferritic systems","volume":"39","author":[{"family":"Zhou","given":"Xiaowang W."},{"family":"Foster","given":"Michael E."},{"family":"Sills","given":"Ryan B."}],"issued":{"date-parts":[["2018",11,5]]}}}],"schema":"https://github.com/citation-style-language/schema/raw/master/csl-citation.json"} </w:instrText>
      </w:r>
      <w:r>
        <w:rPr>
          <w:rFonts w:ascii="Times New Roman" w:eastAsiaTheme="minorEastAsia" w:hAnsi="Times New Roman" w:cs="Times New Roman"/>
          <w:szCs w:val="24"/>
        </w:rPr>
        <w:fldChar w:fldCharType="separate"/>
      </w:r>
      <w:r w:rsidR="0093472B" w:rsidRPr="0093472B">
        <w:rPr>
          <w:rFonts w:ascii="Times New Roman" w:hAnsi="Times New Roman" w:cs="Times New Roman"/>
          <w:kern w:val="0"/>
          <w:szCs w:val="24"/>
          <w:vertAlign w:val="superscript"/>
        </w:rPr>
        <w:t>48</w:t>
      </w:r>
      <w:r>
        <w:rPr>
          <w:rFonts w:ascii="Times New Roman" w:eastAsiaTheme="minorEastAsia" w:hAnsi="Times New Roman" w:cs="Times New Roman"/>
          <w:szCs w:val="24"/>
        </w:rPr>
        <w:fldChar w:fldCharType="end"/>
      </w:r>
      <w:r>
        <w:rPr>
          <w:rFonts w:ascii="Times New Roman" w:eastAsiaTheme="minorEastAsia" w:hAnsi="Times New Roman" w:cs="Times New Roman"/>
          <w:szCs w:val="24"/>
        </w:rPr>
        <w:t xml:space="preserve"> (weak correlation) in Fig. </w:t>
      </w:r>
      <w:r w:rsidR="00717452">
        <w:rPr>
          <w:rFonts w:ascii="Times New Roman" w:eastAsiaTheme="minorEastAsia" w:hAnsi="Times New Roman" w:cs="Times New Roman"/>
          <w:szCs w:val="24"/>
        </w:rPr>
        <w:t>S44</w:t>
      </w:r>
      <w:r>
        <w:rPr>
          <w:rFonts w:ascii="Times New Roman" w:eastAsiaTheme="minorEastAsia" w:hAnsi="Times New Roman" w:cs="Times New Roman"/>
          <w:szCs w:val="24"/>
        </w:rPr>
        <w:t xml:space="preserve">a-c, any of the isotherms that include any form of entropy more closely match the best prediction (case </w:t>
      </w:r>
      <w:proofErr w:type="spellStart"/>
      <w:r>
        <w:rPr>
          <w:rFonts w:ascii="Times New Roman" w:eastAsiaTheme="minorEastAsia" w:hAnsi="Times New Roman" w:cs="Times New Roman"/>
          <w:szCs w:val="24"/>
        </w:rPr>
        <w:t>i</w:t>
      </w:r>
      <w:proofErr w:type="spellEnd"/>
      <w:r>
        <w:rPr>
          <w:rFonts w:ascii="Times New Roman" w:eastAsiaTheme="minorEastAsia" w:hAnsi="Times New Roman" w:cs="Times New Roman"/>
          <w:szCs w:val="24"/>
        </w:rPr>
        <w:t xml:space="preserve">) as compared to case (iv) which neglects entropy. The success of cases (ii) and (iii) indicates that the linear correlation between site energy and entropy (Eq. (3)) holds very well and the intercept in that expression </w:t>
      </w:r>
      <m:oMath>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0</m:t>
            </m:r>
          </m:sub>
          <m:sup>
            <m:r>
              <w:rPr>
                <w:rFonts w:ascii="Cambria Math" w:hAnsi="Cambria Math" w:cs="Times New Roman"/>
                <w:szCs w:val="24"/>
              </w:rPr>
              <m:t>solute,GB</m:t>
            </m:r>
          </m:sup>
        </m:sSubSup>
      </m:oMath>
      <w:r>
        <w:rPr>
          <w:rFonts w:ascii="Times New Roman" w:eastAsiaTheme="minorEastAsia" w:hAnsi="Times New Roman" w:cs="Times New Roman"/>
          <w:szCs w:val="24"/>
        </w:rPr>
        <w:t xml:space="preserve"> plays a small and perhaps negligible role such as Cu(Pb)</w:t>
      </w:r>
      <w:r>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{"citationID":"HwPUK4mf","properties":{"formattedCitation":"\\super 37\\nosupersub{}","plainCitation":"37","noteIndex":0},"citationItems":[{"id":626,"uris":["http://zotero.org/users/5159096/items/YHUDCBDJ"],"itemData":{"id":626,"type":"article-journal","abstract":"A simple procedure is used to formulate a Cu–Pb pair interaction function within the embedded atom (EAM) method framework. Embedding, density and pair functions for pure Cu and pure Pb are taken from previously published EAM studies. Optimization of the Cu–Pb potential was achieved by comparing with experiment the computed heats of mixing for Cu–Pb liquid alloys and the equilibrium phase diagram, the latter being determined via a thermodynamic integration technique. The topology of the temperature-composition phase diagram computed with this EAM potential is consistent with experiment and features a liquid–liquid miscibility gap, low solubility of Pb in solid Cu and a monotectic reaction at approximately 1012 K.","container-title":"Modelling and Simulation in Materials Science and Engineering","DOI":"10.1088/0965-0393/11/3/302","ISSN":"0965-0393","issue":"3","note":"publisher: IOP Publishing","page":"287-299","title":"An embedded atom method interatomic potential for the Cu Pb system","volume":"11","author":[{"family":"Hoyt","given":"J J"},{"family":"Garvin","given":"J W"},{"family":"Webb","given":"E B"},{"family":"Asta","given":"Mark"}],"issued":{"date-parts":[["2003",2,24]]}}}],"schema":"https://github.com/citation-style-language/schema/raw/master/csl-citation.json"} </w:instrText>
      </w:r>
      <w:r>
        <w:rPr>
          <w:rFonts w:ascii="Times New Roman" w:eastAsiaTheme="minorEastAsia" w:hAnsi="Times New Roman" w:cs="Times New Roman"/>
          <w:szCs w:val="24"/>
        </w:rPr>
        <w:fldChar w:fldCharType="separate"/>
      </w:r>
      <w:r w:rsidR="0093472B" w:rsidRPr="0093472B">
        <w:rPr>
          <w:rFonts w:ascii="Times New Roman" w:hAnsi="Times New Roman" w:cs="Times New Roman"/>
          <w:kern w:val="0"/>
          <w:szCs w:val="24"/>
          <w:vertAlign w:val="superscript"/>
        </w:rPr>
        <w:t>37</w:t>
      </w:r>
      <w:r>
        <w:rPr>
          <w:rFonts w:ascii="Times New Roman" w:eastAsiaTheme="minorEastAsia" w:hAnsi="Times New Roman" w:cs="Times New Roman"/>
          <w:szCs w:val="24"/>
        </w:rPr>
        <w:fldChar w:fldCharType="end"/>
      </w:r>
      <w:r>
        <w:rPr>
          <w:rFonts w:ascii="Times New Roman" w:eastAsiaTheme="minorEastAsia" w:hAnsi="Times New Roman" w:cs="Times New Roman"/>
          <w:szCs w:val="24"/>
        </w:rPr>
        <w:t xml:space="preserve"> in Fig. </w:t>
      </w:r>
      <w:r w:rsidR="00717452">
        <w:rPr>
          <w:rFonts w:ascii="Times New Roman" w:eastAsiaTheme="minorEastAsia" w:hAnsi="Times New Roman" w:cs="Times New Roman"/>
          <w:szCs w:val="24"/>
        </w:rPr>
        <w:t>S44</w:t>
      </w:r>
      <w:r>
        <w:rPr>
          <w:rFonts w:ascii="Times New Roman" w:eastAsiaTheme="minorEastAsia" w:hAnsi="Times New Roman" w:cs="Times New Roman"/>
          <w:szCs w:val="24"/>
        </w:rPr>
        <w:t>a</w:t>
      </w:r>
      <w:r w:rsidRPr="0023465D">
        <w:rPr>
          <w:rFonts w:ascii="Times New Roman" w:eastAsiaTheme="minorEastAsia" w:hAnsi="Times New Roman" w:cs="Times New Roman"/>
          <w:szCs w:val="24"/>
        </w:rPr>
        <w:t xml:space="preserve">. </w:t>
      </w:r>
      <w:r>
        <w:rPr>
          <w:rFonts w:ascii="Times New Roman" w:eastAsiaTheme="minorEastAsia" w:hAnsi="Times New Roman" w:cs="Times New Roman"/>
          <w:szCs w:val="24"/>
        </w:rPr>
        <w:t>Ni(Al)</w:t>
      </w:r>
      <w:r>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{"citationID":"JVTxw4fd","properties":{"formattedCitation":"\\super 15\\nosupersub{}","plainCitation":"15","noteIndex":0},"citationItems":[{"id":1207,"uris":["http://zotero.org/users/5159096/items/C6MF99JZ"],"itemData":{"id":1207,"type":"article-journal","abstract":"Abstract\n            \n              \n                \n              \n            \n          , \n            \n              A set of embedded atom model (EAM) interatomic potentials was developed to represent highly idealized face-centered cubic (FCC) mixtures of Fe–Ni–Cr–Co–Al at near-equiatomic compositions. Potential functions for the transition metals and their crossed interactions are taken from our previous work for Fe–Ni–Cr–Co–Cu [D. Farkas and A. Caro:\n              J. Mater. Res.\n              33 (19), 3218–3225, 2018], while cross-pair interactions involving Al were developed using a mix of the component pair functions fitted to known intermetallic properties. The resulting heats of mixing of all binary equiatomic random FCC mixtures not containing Al is low, but significant short-range ordering appears in those containing Al, driven by a large atomic size difference. The potentials are utilized to predict the relative stability of FCC quinary mixtures, as well as ordered L1\n              2\n              and B2 phases as a function of Al content. These predictions are in qualitative agreement with experiments. This interatomic potential set is developed to resemble but not model precisely the properties of this complex system, aiming at providing a tool to explore the consequences of the addition of a large size-misfit component into a high entropy mixture that develops multiphase microstructures.","container-title":"Journal of Materials Research","DOI":"10.1557/jmr.2020.294","ISSN":"0884-2914, 2044-5326","issue":"22","journalAbbreviation":"J. Mater. Res.","language":"en","page":"3031-3040","source":"DOI.org (Crossref)","title":"Model interatomic potentials for Fe–Ni–Cr–Co–Al high-entropy alloys","volume":"35","author":[{"family":"Farkas","given":"Diana"},{"family":"Caro","given":"Alfredo"}],"issued":{"date-parts":[["2020",11,30]]}}}],"schema":"https://github.com/citation-style-language/schema/raw/master/csl-citation.json"} </w:instrText>
      </w:r>
      <w:r>
        <w:rPr>
          <w:rFonts w:ascii="Times New Roman" w:eastAsiaTheme="minorEastAsia" w:hAnsi="Times New Roman" w:cs="Times New Roman"/>
          <w:szCs w:val="24"/>
        </w:rPr>
        <w:fldChar w:fldCharType="separate"/>
      </w:r>
      <w:r w:rsidR="0093472B" w:rsidRPr="0093472B">
        <w:rPr>
          <w:rFonts w:ascii="Times New Roman" w:hAnsi="Times New Roman" w:cs="Times New Roman"/>
          <w:kern w:val="0"/>
          <w:szCs w:val="24"/>
          <w:vertAlign w:val="superscript"/>
        </w:rPr>
        <w:t>15</w:t>
      </w:r>
      <w:r>
        <w:rPr>
          <w:rFonts w:ascii="Times New Roman" w:eastAsiaTheme="minorEastAsia" w:hAnsi="Times New Roman" w:cs="Times New Roman"/>
          <w:szCs w:val="24"/>
        </w:rPr>
        <w:fldChar w:fldCharType="end"/>
      </w:r>
      <w:r>
        <w:rPr>
          <w:rFonts w:ascii="Times New Roman" w:eastAsiaTheme="minorEastAsia" w:hAnsi="Times New Roman" w:cs="Times New Roman"/>
          <w:szCs w:val="24"/>
        </w:rPr>
        <w:t xml:space="preserve"> in Fig. </w:t>
      </w:r>
      <w:r w:rsidR="00717452">
        <w:rPr>
          <w:rFonts w:ascii="Times New Roman" w:eastAsiaTheme="minorEastAsia" w:hAnsi="Times New Roman" w:cs="Times New Roman"/>
          <w:szCs w:val="24"/>
        </w:rPr>
        <w:t>S44</w:t>
      </w:r>
      <w:r>
        <w:rPr>
          <w:rFonts w:ascii="Times New Roman" w:eastAsiaTheme="minorEastAsia" w:hAnsi="Times New Roman" w:cs="Times New Roman"/>
          <w:szCs w:val="24"/>
        </w:rPr>
        <w:t>b, while showing reasonably good predictive capability from the linear approximation, has non-negligible</w:t>
      </w:r>
      <w:r>
        <w:t xml:space="preserve"> </w:t>
      </w:r>
      <m:oMath>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0</m:t>
            </m:r>
          </m:sub>
          <m:sup>
            <m:r>
              <w:rPr>
                <w:rFonts w:ascii="Cambria Math" w:hAnsi="Cambria Math" w:cs="Times New Roman"/>
                <w:szCs w:val="24"/>
              </w:rPr>
              <m:t>solute,GB</m:t>
            </m:r>
          </m:sup>
        </m:sSubSup>
      </m:oMath>
      <w:r>
        <w:rPr>
          <w:rFonts w:ascii="Times New Roman" w:eastAsiaTheme="minorEastAsia" w:hAnsi="Times New Roman" w:cs="Times New Roman"/>
          <w:szCs w:val="24"/>
        </w:rPr>
        <w:t xml:space="preserve"> (the differences between (ii) and (iii) are large)</w:t>
      </w:r>
      <w:r w:rsidRPr="0023465D">
        <w:rPr>
          <w:rFonts w:ascii="Times New Roman" w:eastAsiaTheme="minorEastAsia" w:hAnsi="Times New Roman" w:cs="Times New Roman"/>
          <w:szCs w:val="24"/>
        </w:rPr>
        <w:t xml:space="preserve">. </w:t>
      </w:r>
      <w:r>
        <w:rPr>
          <w:rFonts w:ascii="Times New Roman" w:eastAsiaTheme="minorEastAsia" w:hAnsi="Times New Roman" w:cs="Times New Roman"/>
          <w:szCs w:val="24"/>
        </w:rPr>
        <w:t xml:space="preserve">This physically means that on average, the solute occupying a GB site with the same energetics as a bulk site shows significant vibrational state changes resulting in </w:t>
      </w:r>
      <w:proofErr w:type="gramStart"/>
      <w:r>
        <w:rPr>
          <w:rFonts w:ascii="Times New Roman" w:eastAsiaTheme="minorEastAsia" w:hAnsi="Times New Roman" w:cs="Times New Roman"/>
          <w:szCs w:val="24"/>
        </w:rPr>
        <w:t>the excess</w:t>
      </w:r>
      <w:proofErr w:type="gramEnd"/>
      <w:r>
        <w:rPr>
          <w:rFonts w:ascii="Times New Roman" w:eastAsiaTheme="minorEastAsia" w:hAnsi="Times New Roman" w:cs="Times New Roman"/>
          <w:szCs w:val="24"/>
        </w:rPr>
        <w:t xml:space="preserve"> entropy. Lastly</w:t>
      </w:r>
      <w:r w:rsidRPr="0023465D">
        <w:rPr>
          <w:rFonts w:ascii="Times New Roman" w:eastAsiaTheme="minorEastAsia" w:hAnsi="Times New Roman" w:cs="Times New Roman"/>
          <w:szCs w:val="24"/>
        </w:rPr>
        <w:t xml:space="preserve">, </w:t>
      </w:r>
      <w:r>
        <w:rPr>
          <w:rFonts w:ascii="Times New Roman" w:eastAsiaTheme="minorEastAsia" w:hAnsi="Times New Roman" w:cs="Times New Roman"/>
          <w:szCs w:val="24"/>
        </w:rPr>
        <w:t>Ni(Cr)</w:t>
      </w:r>
      <w:r>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{"citationID":"wlokZEx3","properties":{"formattedCitation":"\\super 48\\nosupersub{}","plainCitation":"48","noteIndex":0},"citationItems":[{"id":630,"uris":["http://zotero.org/users/5159096/items/VWD4BWHH"],"itemData":{"id":630,"type":"article-journal","abstract":"Fe-Ni-Cr stainless-steels are important structural materials because of their superior strength and corrosion resistance. Atomistic studies of mechanical properties of stainless-steels, however, have been limited by the lack of high-fidelity interatomic potentials. Here using density functional theory as a guide, we have developed a new Fe-Ni-Cr embedded atom method potential. We demonstrate that our potential enables stable molecular dynamics simulations of stainless-steel alloys at high temperatures, accurately reproduces the stacking fault energy?known to strongly influence the mode of plastic deformation (e.g., twinning vs. dislocation glide vs. cross-slip)?of these alloys over a range of compositions, and gives reasonable elastic constants, energies, and volumes for various compositions. The latter are pertinent for determining short-range order and solute strengthening effects. Our results suggest that our potential is suitable for studying mechanical properties of austenitic and ferritic stainless-steels which have vast implementation in the scientific and industrial communities. Published 2018. This article is a U.S. Government work and is in the public domain in the USA.","container-title":"Journal of Computational Chemistry","DOI":"10.1002/jcc.25573","ISSN":"0192-8651","issue":"29","journalAbbreviation":"Journal of Computational Chemistry","note":"publisher: John Wiley &amp; Sons, Ltd","page":"2420-2431","title":"An Fe-Ni-Cr embedded atom method potential for austenitic and ferritic systems","volume":"39","author":[{"family":"Zhou","given":"Xiaowang W."},{"family":"Foster","given":"Michael E."},{"family":"Sills","given":"Ryan B."}],"issued":{"date-parts":[["2018",11,5]]}}}],"schema":"https://github.com/citation-style-language/schema/raw/master/csl-citation.json"} </w:instrText>
      </w:r>
      <w:r>
        <w:rPr>
          <w:rFonts w:ascii="Times New Roman" w:eastAsiaTheme="minorEastAsia" w:hAnsi="Times New Roman" w:cs="Times New Roman"/>
          <w:szCs w:val="24"/>
        </w:rPr>
        <w:fldChar w:fldCharType="separate"/>
      </w:r>
      <w:r w:rsidR="0093472B" w:rsidRPr="0093472B">
        <w:rPr>
          <w:rFonts w:ascii="Times New Roman" w:hAnsi="Times New Roman" w:cs="Times New Roman"/>
          <w:kern w:val="0"/>
          <w:szCs w:val="24"/>
          <w:vertAlign w:val="superscript"/>
        </w:rPr>
        <w:t>48</w:t>
      </w:r>
      <w:r>
        <w:rPr>
          <w:rFonts w:ascii="Times New Roman" w:eastAsiaTheme="minorEastAsia" w:hAnsi="Times New Roman" w:cs="Times New Roman"/>
          <w:szCs w:val="24"/>
        </w:rPr>
        <w:fldChar w:fldCharType="end"/>
      </w:r>
      <w:r>
        <w:rPr>
          <w:rFonts w:ascii="Times New Roman" w:eastAsiaTheme="minorEastAsia" w:hAnsi="Times New Roman" w:cs="Times New Roman"/>
          <w:szCs w:val="24"/>
        </w:rPr>
        <w:t xml:space="preserve"> in Fig. </w:t>
      </w:r>
      <w:r w:rsidR="00717452">
        <w:rPr>
          <w:rFonts w:ascii="Times New Roman" w:eastAsiaTheme="minorEastAsia" w:hAnsi="Times New Roman" w:cs="Times New Roman"/>
          <w:szCs w:val="24"/>
        </w:rPr>
        <w:t>S44</w:t>
      </w:r>
      <w:r>
        <w:rPr>
          <w:rFonts w:ascii="Times New Roman" w:eastAsiaTheme="minorEastAsia" w:hAnsi="Times New Roman" w:cs="Times New Roman"/>
          <w:szCs w:val="24"/>
        </w:rPr>
        <w:t>c</w:t>
      </w:r>
      <w:r w:rsidRPr="0023465D">
        <w:rPr>
          <w:rFonts w:ascii="Times New Roman" w:eastAsiaTheme="minorEastAsia" w:hAnsi="Times New Roman" w:cs="Times New Roman"/>
          <w:szCs w:val="24"/>
        </w:rPr>
        <w:t xml:space="preserve"> indicates that the approximation may not hold for every interatomic potential</w:t>
      </w:r>
      <w:r>
        <w:rPr>
          <w:rFonts w:ascii="Times New Roman" w:eastAsiaTheme="minorEastAsia" w:hAnsi="Times New Roman" w:cs="Times New Roman"/>
          <w:szCs w:val="24"/>
        </w:rPr>
        <w:t>. If a given spectrum is not strictly linear, or the spectrum shape is unknown (for example, fitting the isotherm with experiments) a conservative choice of a bivariate distribution is suggested.</w:t>
      </w:r>
    </w:p>
    <w:p w14:paraId="54CAAFEF" w14:textId="77777777" w:rsidR="00717452" w:rsidRDefault="00717452" w:rsidP="00F23CC4">
      <w:pPr>
        <w:ind w:firstLine="360"/>
        <w:jc w:val="both"/>
        <w:rPr>
          <w:rFonts w:ascii="Times New Roman" w:eastAsiaTheme="minorEastAsia" w:hAnsi="Times New Roman" w:cs="Times New Roman"/>
          <w:szCs w:val="24"/>
        </w:rPr>
      </w:pPr>
    </w:p>
    <w:p w14:paraId="678DF4EF" w14:textId="77777777" w:rsidR="003C63E3" w:rsidRDefault="003C63E3" w:rsidP="00F23CC4">
      <w:pPr>
        <w:ind w:firstLine="360"/>
        <w:jc w:val="both"/>
        <w:rPr>
          <w:rFonts w:ascii="Times New Roman" w:eastAsiaTheme="minorEastAsia" w:hAnsi="Times New Roman" w:cs="Times New Roman"/>
          <w:szCs w:val="24"/>
        </w:rPr>
      </w:pPr>
    </w:p>
    <w:p w14:paraId="76509482" w14:textId="77777777" w:rsidR="00F23CC4" w:rsidRDefault="00F23CC4" w:rsidP="00F23CC4">
      <w:pPr>
        <w:jc w:val="center"/>
        <w:rPr>
          <w:rFonts w:ascii="Times New Roman" w:eastAsiaTheme="minorEastAsia" w:hAnsi="Times New Roman" w:cs="Times New Roman"/>
          <w:b/>
          <w:bCs/>
          <w:szCs w:val="24"/>
        </w:rPr>
      </w:pPr>
      <w:r>
        <w:rPr>
          <w:noProof/>
        </w:rPr>
        <w:drawing>
          <wp:inline distT="0" distB="0" distL="0" distR="0" wp14:anchorId="1333590F" wp14:editId="29953DBB">
            <wp:extent cx="5798401" cy="1943631"/>
            <wp:effectExtent l="0" t="0" r="0" b="0"/>
            <wp:docPr id="18328605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860520" name="Picture 4"/>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r="8206"/>
                    <a:stretch/>
                  </pic:blipFill>
                  <pic:spPr bwMode="auto">
                    <a:xfrm>
                      <a:off x="0" y="0"/>
                      <a:ext cx="5798401" cy="1943631"/>
                    </a:xfrm>
                    <a:prstGeom prst="rect">
                      <a:avLst/>
                    </a:prstGeom>
                    <a:noFill/>
                    <a:ln>
                      <a:noFill/>
                    </a:ln>
                    <a:extLst>
                      <a:ext uri="{53640926-AAD7-44D8-BBD7-CCE9431645EC}">
                        <a14:shadowObscured xmlns:a14="http://schemas.microsoft.com/office/drawing/2010/main"/>
                      </a:ext>
                    </a:extLst>
                  </pic:spPr>
                </pic:pic>
              </a:graphicData>
            </a:graphic>
          </wp:inline>
        </w:drawing>
      </w:r>
    </w:p>
    <w:p w14:paraId="0C5E280E" w14:textId="785869E6" w:rsidR="00F23CC4" w:rsidRPr="00DE0253" w:rsidRDefault="00717452" w:rsidP="00F23CC4">
      <w:pPr>
        <w:jc w:val="both"/>
        <w:rPr>
          <w:rFonts w:ascii="Times New Roman" w:eastAsiaTheme="minorEastAsia" w:hAnsi="Times New Roman" w:cs="Times New Roman"/>
          <w:szCs w:val="24"/>
        </w:rPr>
      </w:pPr>
      <w:r w:rsidRPr="00ED6690">
        <w:rPr>
          <w:rFonts w:ascii="Times New Roman" w:hAnsi="Times New Roman" w:cs="Times New Roman"/>
          <w:b/>
          <w:bCs/>
          <w:szCs w:val="24"/>
        </w:rPr>
        <w:t xml:space="preserve">Fig. </w:t>
      </w:r>
      <w:r>
        <w:rPr>
          <w:rFonts w:ascii="Times New Roman" w:hAnsi="Times New Roman" w:cs="Times New Roman"/>
          <w:b/>
          <w:bCs/>
          <w:szCs w:val="24"/>
        </w:rPr>
        <w:t>S</w:t>
      </w:r>
      <w:r>
        <w:rPr>
          <w:rFonts w:ascii="Times New Roman" w:hAnsi="Times New Roman" w:cs="Times New Roman"/>
          <w:b/>
          <w:bCs/>
          <w:szCs w:val="24"/>
        </w:rPr>
        <w:fldChar w:fldCharType="begin"/>
      </w:r>
      <w:r>
        <w:rPr>
          <w:rFonts w:ascii="Times New Roman" w:hAnsi="Times New Roman" w:cs="Times New Roman"/>
          <w:b/>
          <w:bCs/>
          <w:szCs w:val="24"/>
        </w:rPr>
        <w:instrText xml:space="preserve"> SEQ Figure \* ARABIC </w:instrText>
      </w:r>
      <w:r>
        <w:rPr>
          <w:rFonts w:ascii="Times New Roman" w:hAnsi="Times New Roman" w:cs="Times New Roman"/>
          <w:b/>
          <w:bCs/>
          <w:szCs w:val="24"/>
        </w:rPr>
        <w:fldChar w:fldCharType="separate"/>
      </w:r>
      <w:r w:rsidR="00C8038C">
        <w:rPr>
          <w:rFonts w:ascii="Times New Roman" w:hAnsi="Times New Roman" w:cs="Times New Roman"/>
          <w:b/>
          <w:bCs/>
          <w:noProof/>
          <w:szCs w:val="24"/>
        </w:rPr>
        <w:t>44</w:t>
      </w:r>
      <w:r>
        <w:rPr>
          <w:rFonts w:ascii="Times New Roman" w:hAnsi="Times New Roman" w:cs="Times New Roman"/>
          <w:b/>
          <w:bCs/>
          <w:szCs w:val="24"/>
        </w:rPr>
        <w:fldChar w:fldCharType="end"/>
      </w:r>
      <w:r w:rsidR="00F23CC4">
        <w:rPr>
          <w:rFonts w:ascii="Times New Roman" w:eastAsiaTheme="minorEastAsia" w:hAnsi="Times New Roman" w:cs="Times New Roman"/>
          <w:b/>
          <w:bCs/>
          <w:szCs w:val="24"/>
        </w:rPr>
        <w:t xml:space="preserve"> Isotherms with Linear Entropy Approximation. </w:t>
      </w:r>
      <w:r w:rsidR="00F23CC4">
        <w:rPr>
          <w:rFonts w:ascii="Times New Roman" w:eastAsiaTheme="minorEastAsia" w:hAnsi="Times New Roman" w:cs="Times New Roman"/>
          <w:szCs w:val="24"/>
        </w:rPr>
        <w:t>The isotherms for (</w:t>
      </w:r>
      <w:r w:rsidR="00F23CC4" w:rsidRPr="00DE0253">
        <w:rPr>
          <w:rFonts w:ascii="Times New Roman" w:eastAsiaTheme="minorEastAsia" w:hAnsi="Times New Roman" w:cs="Times New Roman"/>
          <w:b/>
          <w:bCs/>
          <w:szCs w:val="24"/>
        </w:rPr>
        <w:t>a</w:t>
      </w:r>
      <w:r w:rsidR="00F23CC4">
        <w:rPr>
          <w:rFonts w:ascii="Times New Roman" w:eastAsiaTheme="minorEastAsia" w:hAnsi="Times New Roman" w:cs="Times New Roman"/>
          <w:szCs w:val="24"/>
        </w:rPr>
        <w:t>) Cu(Pb)</w:t>
      </w:r>
      <w:r w:rsidR="00F23CC4">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{"citationID":"V44W4cXq","properties":{"formattedCitation":"\\super 37\\nosupersub{}","plainCitation":"37","noteIndex":0},"citationItems":[{"id":626,"uris":["http://zotero.org/users/5159096/items/YHUDCBDJ"],"itemData":{"id":626,"type":"article-journal","abstract":"A simple procedure is used to formulate a Cu–Pb pair interaction function within the embedded atom (EAM) method framework. Embedding, density and pair functions for pure Cu and pure Pb are taken from previously published EAM studies. Optimization of the Cu–Pb potential was achieved by comparing with experiment the computed heats of mixing for Cu–Pb liquid alloys and the equilibrium phase diagram, the latter being determined via a thermodynamic integration technique. The topology of the temperature-composition phase diagram computed with this EAM potential is consistent with experiment and features a liquid–liquid miscibility gap, low solubility of Pb in solid Cu and a monotectic reaction at approximately 1012 K.","container-title":"Modelling and Simulation in Materials Science and Engineering","DOI":"10.1088/0965-0393/11/3/302","ISSN":"0965-0393","issue":"3","note":"publisher: IOP Publishing","page":"287-299","title":"An embedded atom method interatomic potential for the Cu Pb system","volume":"11","author":[{"family":"Hoyt","given":"J J"},{"family":"Garvin","given":"J W"},{"family":"Webb","given":"E B"},{"family":"Asta","given":"Mark"}],"issued":{"date-parts":[["2003",2,24]]}}}],"schema":"https://github.com/citation-style-language/schema/raw/master/csl-citation.json"} </w:instrText>
      </w:r>
      <w:r w:rsidR="00F23CC4">
        <w:rPr>
          <w:rFonts w:ascii="Times New Roman" w:eastAsiaTheme="minorEastAsia" w:hAnsi="Times New Roman" w:cs="Times New Roman"/>
          <w:szCs w:val="24"/>
        </w:rPr>
        <w:fldChar w:fldCharType="separate"/>
      </w:r>
      <w:r w:rsidR="0093472B" w:rsidRPr="0093472B">
        <w:rPr>
          <w:rFonts w:ascii="Times New Roman" w:hAnsi="Times New Roman" w:cs="Times New Roman"/>
          <w:kern w:val="0"/>
          <w:szCs w:val="24"/>
          <w:vertAlign w:val="superscript"/>
        </w:rPr>
        <w:t>37</w:t>
      </w:r>
      <w:r w:rsidR="00F23CC4">
        <w:rPr>
          <w:rFonts w:ascii="Times New Roman" w:eastAsiaTheme="minorEastAsia" w:hAnsi="Times New Roman" w:cs="Times New Roman"/>
          <w:szCs w:val="24"/>
        </w:rPr>
        <w:fldChar w:fldCharType="end"/>
      </w:r>
      <w:r w:rsidR="00F23CC4">
        <w:rPr>
          <w:rFonts w:ascii="Times New Roman" w:eastAsiaTheme="minorEastAsia" w:hAnsi="Times New Roman" w:cs="Times New Roman"/>
          <w:szCs w:val="24"/>
        </w:rPr>
        <w:t>, (</w:t>
      </w:r>
      <w:r w:rsidR="00F23CC4" w:rsidRPr="00DE0253">
        <w:rPr>
          <w:rFonts w:ascii="Times New Roman" w:eastAsiaTheme="minorEastAsia" w:hAnsi="Times New Roman" w:cs="Times New Roman"/>
          <w:b/>
          <w:bCs/>
          <w:szCs w:val="24"/>
        </w:rPr>
        <w:t>b</w:t>
      </w:r>
      <w:r w:rsidR="00F23CC4">
        <w:rPr>
          <w:rFonts w:ascii="Times New Roman" w:eastAsiaTheme="minorEastAsia" w:hAnsi="Times New Roman" w:cs="Times New Roman"/>
          <w:szCs w:val="24"/>
        </w:rPr>
        <w:t>) Ni(Al)</w:t>
      </w:r>
      <w:r w:rsidR="00F23CC4">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{"citationID":"L5AKg3hJ","properties":{"formattedCitation":"\\super 15\\nosupersub{}","plainCitation":"15","noteIndex":0},"citationItems":[{"id":1207,"uris":["http://zotero.org/users/5159096/items/C6MF99JZ"],"itemData":{"id":1207,"type":"article-journal","abstract":"Abstract\n            \n              \n                \n              \n            \n          , \n            \n              A set of embedded atom model (EAM) interatomic potentials was developed to represent highly idealized face-centered cubic (FCC) mixtures of Fe–Ni–Cr–Co–Al at near-equiatomic compositions. Potential functions for the transition metals and their crossed interactions are taken from our previous work for Fe–Ni–Cr–Co–Cu [D. Farkas and A. Caro:\n              J. Mater. Res.\n              33 (19), 3218–3225, 2018], while cross-pair interactions involving Al were developed using a mix of the component pair functions fitted to known intermetallic properties. The resulting heats of mixing of all binary equiatomic random FCC mixtures not containing Al is low, but significant short-range ordering appears in those containing Al, driven by a large atomic size difference. The potentials are utilized to predict the relative stability of FCC quinary mixtures, as well as ordered L1\n              2\n              and B2 phases as a function of Al content. These predictions are in qualitative agreement with experiments. This interatomic potential set is developed to resemble but not model precisely the properties of this complex system, aiming at providing a tool to explore the consequences of the addition of a large size-misfit component into a high entropy mixture that develops multiphase microstructures.","container-title":"Journal of Materials Research","DOI":"10.1557/jmr.2020.294","ISSN":"0884-2914, 2044-5326","issue":"22","journalAbbreviation":"J. Mater. Res.","language":"en","page":"3031-3040","source":"DOI.org (Crossref)","title":"Model interatomic potentials for Fe–Ni–Cr–Co–Al high-entropy alloys","volume":"35","author":[{"family":"Farkas","given":"Diana"},{"family":"Caro","given":"Alfredo"}],"issued":{"date-parts":[["2020",11,30]]}}}],"schema":"https://github.com/citation-style-language/schema/raw/master/csl-citation.json"} </w:instrText>
      </w:r>
      <w:r w:rsidR="00F23CC4">
        <w:rPr>
          <w:rFonts w:ascii="Times New Roman" w:eastAsiaTheme="minorEastAsia" w:hAnsi="Times New Roman" w:cs="Times New Roman"/>
          <w:szCs w:val="24"/>
        </w:rPr>
        <w:fldChar w:fldCharType="separate"/>
      </w:r>
      <w:r w:rsidR="0093472B" w:rsidRPr="0093472B">
        <w:rPr>
          <w:rFonts w:ascii="Times New Roman" w:hAnsi="Times New Roman" w:cs="Times New Roman"/>
          <w:kern w:val="0"/>
          <w:szCs w:val="24"/>
          <w:vertAlign w:val="superscript"/>
        </w:rPr>
        <w:t>15</w:t>
      </w:r>
      <w:r w:rsidR="00F23CC4">
        <w:rPr>
          <w:rFonts w:ascii="Times New Roman" w:eastAsiaTheme="minorEastAsia" w:hAnsi="Times New Roman" w:cs="Times New Roman"/>
          <w:szCs w:val="24"/>
        </w:rPr>
        <w:fldChar w:fldCharType="end"/>
      </w:r>
      <w:r w:rsidR="00F23CC4">
        <w:rPr>
          <w:rFonts w:ascii="Times New Roman" w:eastAsiaTheme="minorEastAsia" w:hAnsi="Times New Roman" w:cs="Times New Roman"/>
          <w:szCs w:val="24"/>
        </w:rPr>
        <w:t xml:space="preserve"> and (</w:t>
      </w:r>
      <w:r w:rsidR="00F23CC4" w:rsidRPr="00DE0253">
        <w:rPr>
          <w:rFonts w:ascii="Times New Roman" w:eastAsiaTheme="minorEastAsia" w:hAnsi="Times New Roman" w:cs="Times New Roman"/>
          <w:b/>
          <w:bCs/>
          <w:szCs w:val="24"/>
        </w:rPr>
        <w:t>c</w:t>
      </w:r>
      <w:r w:rsidR="00F23CC4">
        <w:rPr>
          <w:rFonts w:ascii="Times New Roman" w:eastAsiaTheme="minorEastAsia" w:hAnsi="Times New Roman" w:cs="Times New Roman"/>
          <w:szCs w:val="24"/>
        </w:rPr>
        <w:t>) Ni(Cr)</w:t>
      </w:r>
      <w:r w:rsidR="00F23CC4">
        <w:rPr>
          <w:rFonts w:ascii="Times New Roman" w:eastAsiaTheme="minorEastAsia" w:hAnsi="Times New Roman" w:cs="Times New Roman"/>
          <w:szCs w:val="24"/>
        </w:rPr>
        <w:fldChar w:fldCharType="begin"/>
      </w:r>
      <w:r w:rsidR="00052644">
        <w:rPr>
          <w:rFonts w:ascii="Times New Roman" w:eastAsiaTheme="minorEastAsia" w:hAnsi="Times New Roman" w:cs="Times New Roman"/>
          <w:szCs w:val="24"/>
        </w:rPr>
        <w:instrText xml:space="preserve"> ADDIN ZOTERO_ITEM CSL_CITATION {"citationID":"DYk8nTb6","properties":{"formattedCitation":"\\super 48\\nosupersub{}","plainCitation":"48","noteIndex":0},"citationItems":[{"id":630,"uris":["http://zotero.org/users/5159096/items/VWD4BWHH"],"itemData":{"id":630,"type":"article-journal","abstract":"Fe-Ni-Cr stainless-steels are important structural materials because of their superior strength and corrosion resistance. Atomistic studies of mechanical properties of stainless-steels, however, have been limited by the lack of high-fidelity interatomic potentials. Here using density functional theory as a guide, we have developed a new Fe-Ni-Cr embedded atom method potential. We demonstrate that our potential enables stable molecular dynamics simulations of stainless-steel alloys at high temperatures, accurately reproduces the stacking fault energy?known to strongly influence the mode of plastic deformation (e.g., twinning vs. dislocation glide vs. cross-slip)?of these alloys over a range of compositions, and gives reasonable elastic constants, energies, and volumes for various compositions. The latter are pertinent for determining short-range order and solute strengthening effects. Our results suggest that our potential is suitable for studying mechanical properties of austenitic and ferritic stainless-steels which have vast implementation in the scientific and industrial communities. Published 2018. This article is a U.S. Government work and is in the public domain in the USA.","container-title":"Journal of Computational Chemistry","DOI":"10.1002/jcc.25573","ISSN":"0192-8651","issue":"29","journalAbbreviation":"Journal of Computational Chemistry","note":"publisher: John Wiley &amp; Sons, Ltd","page":"2420-2431","title":"An Fe-Ni-Cr embedded atom method potential for austenitic and ferritic systems","volume":"39","author":[{"family":"Zhou","given":"Xiaowang W."},{"family":"Foster","given":"Michael E."},{"family":"Sills","given":"Ryan B."}],"issued":{"date-parts":[["2018",11,5]]}}}],"schema":"https://github.com/citation-style-language/schema/raw/master/csl-citation.json"} </w:instrText>
      </w:r>
      <w:r w:rsidR="00F23CC4">
        <w:rPr>
          <w:rFonts w:ascii="Times New Roman" w:eastAsiaTheme="minorEastAsia" w:hAnsi="Times New Roman" w:cs="Times New Roman"/>
          <w:szCs w:val="24"/>
        </w:rPr>
        <w:fldChar w:fldCharType="separate"/>
      </w:r>
      <w:r w:rsidR="0093472B" w:rsidRPr="0093472B">
        <w:rPr>
          <w:rFonts w:ascii="Times New Roman" w:hAnsi="Times New Roman" w:cs="Times New Roman"/>
          <w:kern w:val="0"/>
          <w:szCs w:val="24"/>
          <w:vertAlign w:val="superscript"/>
        </w:rPr>
        <w:t>48</w:t>
      </w:r>
      <w:r w:rsidR="00F23CC4">
        <w:rPr>
          <w:rFonts w:ascii="Times New Roman" w:eastAsiaTheme="minorEastAsia" w:hAnsi="Times New Roman" w:cs="Times New Roman"/>
          <w:szCs w:val="24"/>
        </w:rPr>
        <w:fldChar w:fldCharType="end"/>
      </w:r>
      <w:r w:rsidR="00F23CC4">
        <w:rPr>
          <w:rFonts w:ascii="Times New Roman" w:eastAsiaTheme="minorEastAsia" w:hAnsi="Times New Roman" w:cs="Times New Roman"/>
          <w:szCs w:val="24"/>
        </w:rPr>
        <w:t xml:space="preserve">. The </w:t>
      </w:r>
      <w:proofErr w:type="gramStart"/>
      <w:r w:rsidR="00F23CC4">
        <w:rPr>
          <w:rFonts w:ascii="Times New Roman" w:eastAsiaTheme="minorEastAsia" w:hAnsi="Times New Roman" w:cs="Times New Roman"/>
          <w:szCs w:val="24"/>
        </w:rPr>
        <w:t>Cu(</w:t>
      </w:r>
      <w:proofErr w:type="gramEnd"/>
      <w:r w:rsidR="00F23CC4">
        <w:rPr>
          <w:rFonts w:ascii="Times New Roman" w:eastAsiaTheme="minorEastAsia" w:hAnsi="Times New Roman" w:cs="Times New Roman"/>
          <w:szCs w:val="24"/>
        </w:rPr>
        <w:t xml:space="preserve">Pb) isotherms demonstrate a system with a strong linear relationship, resulting in good agreement between the full and linear spectrum. </w:t>
      </w:r>
      <w:proofErr w:type="gramStart"/>
      <w:r w:rsidR="00F23CC4">
        <w:rPr>
          <w:rFonts w:ascii="Times New Roman" w:eastAsiaTheme="minorEastAsia" w:hAnsi="Times New Roman" w:cs="Times New Roman"/>
          <w:szCs w:val="24"/>
        </w:rPr>
        <w:t>Ni(</w:t>
      </w:r>
      <w:proofErr w:type="gramEnd"/>
      <w:r w:rsidR="00F23CC4">
        <w:rPr>
          <w:rFonts w:ascii="Times New Roman" w:eastAsiaTheme="minorEastAsia" w:hAnsi="Times New Roman" w:cs="Times New Roman"/>
          <w:szCs w:val="24"/>
        </w:rPr>
        <w:t xml:space="preserve">Al) illustrates a system strongly dominated by </w:t>
      </w:r>
      <m:oMath>
        <m:sSubSup>
          <m:sSubSupPr>
            <m:ctrlPr>
              <w:rPr>
                <w:rFonts w:ascii="Cambria Math" w:hAnsi="Cambria Math" w:cs="Times New Roman"/>
                <w:i/>
                <w:szCs w:val="24"/>
              </w:rPr>
            </m:ctrlPr>
          </m:sSubSupPr>
          <m:e>
            <m:r>
              <w:rPr>
                <w:rFonts w:ascii="Cambria Math" w:hAnsi="Cambria Math" w:cs="Times New Roman"/>
                <w:szCs w:val="24"/>
              </w:rPr>
              <m:t>∆S</m:t>
            </m:r>
          </m:e>
          <m:sub>
            <m:r>
              <w:rPr>
                <w:rFonts w:ascii="Cambria Math" w:hAnsi="Cambria Math" w:cs="Times New Roman"/>
                <w:szCs w:val="24"/>
              </w:rPr>
              <m:t>0</m:t>
            </m:r>
          </m:sub>
          <m:sup>
            <m:r>
              <w:rPr>
                <w:rFonts w:ascii="Cambria Math" w:hAnsi="Cambria Math" w:cs="Times New Roman"/>
                <w:szCs w:val="24"/>
              </w:rPr>
              <m:t>solute,GB</m:t>
            </m:r>
          </m:sup>
        </m:sSubSup>
      </m:oMath>
      <w:r w:rsidR="00F23CC4">
        <w:rPr>
          <w:rFonts w:ascii="Times New Roman" w:eastAsiaTheme="minorEastAsia" w:hAnsi="Times New Roman" w:cs="Times New Roman"/>
          <w:szCs w:val="24"/>
        </w:rPr>
        <w:t xml:space="preserve">. </w:t>
      </w:r>
      <w:proofErr w:type="gramStart"/>
      <w:r w:rsidR="00F23CC4">
        <w:rPr>
          <w:rFonts w:ascii="Times New Roman" w:eastAsiaTheme="minorEastAsia" w:hAnsi="Times New Roman" w:cs="Times New Roman"/>
          <w:szCs w:val="24"/>
        </w:rPr>
        <w:t>Ni(</w:t>
      </w:r>
      <w:proofErr w:type="gramEnd"/>
      <w:r w:rsidR="00F23CC4">
        <w:rPr>
          <w:rFonts w:ascii="Times New Roman" w:eastAsiaTheme="minorEastAsia" w:hAnsi="Times New Roman" w:cs="Times New Roman"/>
          <w:szCs w:val="24"/>
        </w:rPr>
        <w:t>Cr) has low correlations and thus the full and linear spectrum do not match well compared to the case without excess entropies.</w:t>
      </w:r>
    </w:p>
    <w:p w14:paraId="4EF3AC5E" w14:textId="77777777" w:rsidR="00F23CC4" w:rsidRDefault="00F23CC4" w:rsidP="00F23CC4">
      <w:pPr>
        <w:rPr>
          <w:rFonts w:ascii="Times New Roman" w:hAnsi="Times New Roman" w:cs="Times New Roman"/>
          <w:b/>
          <w:bCs/>
          <w:szCs w:val="24"/>
        </w:rPr>
      </w:pPr>
    </w:p>
    <w:p w14:paraId="3A1C2064" w14:textId="77777777" w:rsidR="00F23CC4" w:rsidRPr="005F5489" w:rsidRDefault="00F23CC4" w:rsidP="004F1EBB">
      <w:pPr>
        <w:rPr>
          <w:rFonts w:ascii="Times New Roman" w:hAnsi="Times New Roman" w:cs="Times New Roman"/>
          <w:b/>
          <w:bCs/>
          <w:szCs w:val="24"/>
        </w:rPr>
      </w:pPr>
    </w:p>
    <w:p w14:paraId="6FEC1D25" w14:textId="6F903BE8" w:rsidR="004A37A3" w:rsidRPr="00ED6690" w:rsidRDefault="00181576" w:rsidP="00181576">
      <w:pPr>
        <w:rPr>
          <w:rFonts w:ascii="Times New Roman" w:hAnsi="Times New Roman" w:cs="Times New Roman"/>
          <w:b/>
          <w:bCs/>
          <w:szCs w:val="24"/>
        </w:rPr>
      </w:pPr>
      <w:r>
        <w:rPr>
          <w:noProof/>
        </w:rPr>
        <w:drawing>
          <wp:inline distT="0" distB="0" distL="0" distR="0" wp14:anchorId="45BC7C16" wp14:editId="506766B1">
            <wp:extent cx="5212078" cy="6949438"/>
            <wp:effectExtent l="0" t="0" r="8255" b="4445"/>
            <wp:docPr id="16753412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34120" name="Picture 16"/>
                    <pic:cNvPicPr>
                      <a:picLocks noChangeAspect="1" noChangeArrowheads="1"/>
                    </pic:cNvPicPr>
                  </pic:nvPicPr>
                  <pic:blipFill>
                    <a:blip r:embed="rId52" cstate="print">
                      <a:extLst>
                        <a:ext uri="{28A0092B-C50C-407E-A947-70E740481C1C}">
                          <a14:useLocalDpi xmlns:a14="http://schemas.microsoft.com/office/drawing/2010/main" val="0"/>
                        </a:ext>
                      </a:extLst>
                    </a:blip>
                    <a:stretch>
                      <a:fillRect/>
                    </a:stretch>
                  </pic:blipFill>
                  <pic:spPr bwMode="auto">
                    <a:xfrm>
                      <a:off x="0" y="0"/>
                      <a:ext cx="5212078" cy="6949438"/>
                    </a:xfrm>
                    <a:prstGeom prst="rect">
                      <a:avLst/>
                    </a:prstGeom>
                    <a:noFill/>
                    <a:ln>
                      <a:noFill/>
                    </a:ln>
                  </pic:spPr>
                </pic:pic>
              </a:graphicData>
            </a:graphic>
          </wp:inline>
        </w:drawing>
      </w:r>
    </w:p>
    <w:p w14:paraId="49F32D42" w14:textId="0D45563D" w:rsidR="00A86F96" w:rsidRPr="00ED6690" w:rsidRDefault="00A86F96" w:rsidP="00A86F96">
      <w:pPr>
        <w:jc w:val="both"/>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45</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and without excess entropy for A</w:t>
      </w:r>
      <w:r>
        <w:rPr>
          <w:rFonts w:ascii="Times New Roman" w:hAnsi="Times New Roman" w:cs="Times New Roman"/>
          <w:b/>
          <w:bCs/>
          <w:szCs w:val="24"/>
        </w:rPr>
        <w:t>g</w:t>
      </w:r>
      <w:r w:rsidRPr="00ED6690">
        <w:rPr>
          <w:rFonts w:ascii="Times New Roman" w:hAnsi="Times New Roman" w:cs="Times New Roman"/>
          <w:b/>
          <w:bCs/>
          <w:szCs w:val="24"/>
        </w:rPr>
        <w:t>-based Alloys.</w:t>
      </w:r>
    </w:p>
    <w:p w14:paraId="6E56C0EE" w14:textId="69DAD739" w:rsidR="00A86F96" w:rsidRDefault="00F4163D" w:rsidP="007D1558">
      <w:pPr>
        <w:jc w:val="both"/>
        <w:rPr>
          <w:rFonts w:ascii="Times New Roman" w:hAnsi="Times New Roman" w:cs="Times New Roman"/>
          <w:b/>
          <w:bCs/>
          <w:szCs w:val="24"/>
        </w:rPr>
      </w:pPr>
      <w:r>
        <w:rPr>
          <w:noProof/>
        </w:rPr>
        <w:drawing>
          <wp:inline distT="0" distB="0" distL="0" distR="0" wp14:anchorId="61034584" wp14:editId="05856450">
            <wp:extent cx="5943598" cy="4013155"/>
            <wp:effectExtent l="0" t="0" r="635" b="6985"/>
            <wp:docPr id="95783928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839282" name="Picture 17"/>
                    <pic:cNvPicPr>
                      <a:picLocks noChangeAspect="1" noChangeArrowheads="1"/>
                    </pic:cNvPicPr>
                  </pic:nvPicPr>
                  <pic:blipFill>
                    <a:blip r:embed="rId53" cstate="print">
                      <a:extLst>
                        <a:ext uri="{28A0092B-C50C-407E-A947-70E740481C1C}">
                          <a14:useLocalDpi xmlns:a14="http://schemas.microsoft.com/office/drawing/2010/main" val="0"/>
                        </a:ext>
                      </a:extLst>
                    </a:blip>
                    <a:stretch>
                      <a:fillRect/>
                    </a:stretch>
                  </pic:blipFill>
                  <pic:spPr bwMode="auto">
                    <a:xfrm>
                      <a:off x="0" y="0"/>
                      <a:ext cx="5943598" cy="4013155"/>
                    </a:xfrm>
                    <a:prstGeom prst="rect">
                      <a:avLst/>
                    </a:prstGeom>
                    <a:noFill/>
                    <a:ln>
                      <a:noFill/>
                    </a:ln>
                  </pic:spPr>
                </pic:pic>
              </a:graphicData>
            </a:graphic>
          </wp:inline>
        </w:drawing>
      </w:r>
    </w:p>
    <w:p w14:paraId="4AAAE66C" w14:textId="380A1988" w:rsidR="00F4163D" w:rsidRPr="00ED6690" w:rsidRDefault="00F4163D" w:rsidP="00F4163D">
      <w:pPr>
        <w:jc w:val="both"/>
        <w:rPr>
          <w:rFonts w:ascii="Times New Roman" w:hAnsi="Times New Roman" w:cs="Times New Roman"/>
          <w:b/>
          <w:bCs/>
          <w:szCs w:val="24"/>
        </w:rPr>
      </w:pPr>
      <w:r w:rsidRPr="00ED6690">
        <w:rPr>
          <w:rFonts w:ascii="Times New Roman" w:hAnsi="Times New Roman" w:cs="Times New Roman"/>
          <w:b/>
          <w:bCs/>
          <w:szCs w:val="24"/>
        </w:rPr>
        <w:t xml:space="preserve">Fig. </w:t>
      </w:r>
      <w:r>
        <w:rPr>
          <w:rFonts w:ascii="Times New Roman" w:hAnsi="Times New Roman" w:cs="Times New Roman"/>
          <w:b/>
          <w:bCs/>
          <w:szCs w:val="24"/>
        </w:rPr>
        <w:t>S</w:t>
      </w:r>
      <w:r>
        <w:rPr>
          <w:rFonts w:ascii="Times New Roman" w:hAnsi="Times New Roman" w:cs="Times New Roman"/>
          <w:b/>
          <w:bCs/>
          <w:szCs w:val="24"/>
        </w:rPr>
        <w:fldChar w:fldCharType="begin"/>
      </w:r>
      <w:r>
        <w:rPr>
          <w:rFonts w:ascii="Times New Roman" w:hAnsi="Times New Roman" w:cs="Times New Roman"/>
          <w:b/>
          <w:bCs/>
          <w:szCs w:val="24"/>
        </w:rPr>
        <w:instrText xml:space="preserve"> SEQ Figure \* ARABIC </w:instrText>
      </w:r>
      <w:r>
        <w:rPr>
          <w:rFonts w:ascii="Times New Roman" w:hAnsi="Times New Roman" w:cs="Times New Roman"/>
          <w:b/>
          <w:bCs/>
          <w:szCs w:val="24"/>
        </w:rPr>
        <w:fldChar w:fldCharType="separate"/>
      </w:r>
      <w:r w:rsidR="00C8038C">
        <w:rPr>
          <w:rFonts w:ascii="Times New Roman" w:hAnsi="Times New Roman" w:cs="Times New Roman"/>
          <w:b/>
          <w:bCs/>
          <w:noProof/>
          <w:szCs w:val="24"/>
        </w:rPr>
        <w:t>46</w:t>
      </w:r>
      <w:r>
        <w:rPr>
          <w:rFonts w:ascii="Times New Roman" w:hAnsi="Times New Roman" w:cs="Times New Roman"/>
          <w:b/>
          <w:bCs/>
          <w:szCs w:val="24"/>
        </w:rPr>
        <w:fldChar w:fldCharType="end"/>
      </w:r>
      <w:r>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and without excess entropy for A</w:t>
      </w:r>
      <w:r>
        <w:rPr>
          <w:rFonts w:ascii="Times New Roman" w:hAnsi="Times New Roman" w:cs="Times New Roman"/>
          <w:b/>
          <w:bCs/>
          <w:szCs w:val="24"/>
        </w:rPr>
        <w:t>g</w:t>
      </w:r>
      <w:r w:rsidRPr="00ED6690">
        <w:rPr>
          <w:rFonts w:ascii="Times New Roman" w:hAnsi="Times New Roman" w:cs="Times New Roman"/>
          <w:b/>
          <w:bCs/>
          <w:szCs w:val="24"/>
        </w:rPr>
        <w:t>-based Alloys</w:t>
      </w:r>
      <w:r>
        <w:rPr>
          <w:rFonts w:ascii="Times New Roman" w:hAnsi="Times New Roman" w:cs="Times New Roman"/>
          <w:b/>
          <w:bCs/>
          <w:szCs w:val="24"/>
        </w:rPr>
        <w:t xml:space="preserve"> (cont., 2)</w:t>
      </w:r>
      <w:r w:rsidRPr="00ED6690">
        <w:rPr>
          <w:rFonts w:ascii="Times New Roman" w:hAnsi="Times New Roman" w:cs="Times New Roman"/>
          <w:b/>
          <w:bCs/>
          <w:szCs w:val="24"/>
        </w:rPr>
        <w:t>.</w:t>
      </w:r>
    </w:p>
    <w:p w14:paraId="69B66BDD" w14:textId="77777777" w:rsidR="00F4163D" w:rsidRDefault="00F4163D" w:rsidP="007D1558">
      <w:pPr>
        <w:jc w:val="both"/>
        <w:rPr>
          <w:rFonts w:ascii="Times New Roman" w:hAnsi="Times New Roman" w:cs="Times New Roman"/>
          <w:b/>
          <w:bCs/>
          <w:szCs w:val="24"/>
        </w:rPr>
      </w:pPr>
    </w:p>
    <w:p w14:paraId="615A334E" w14:textId="5CBC04CA" w:rsidR="00F4163D" w:rsidRDefault="00F4163D" w:rsidP="007D1558">
      <w:pPr>
        <w:jc w:val="both"/>
        <w:rPr>
          <w:rFonts w:ascii="Times New Roman" w:hAnsi="Times New Roman" w:cs="Times New Roman"/>
          <w:b/>
          <w:bCs/>
          <w:szCs w:val="24"/>
        </w:rPr>
      </w:pPr>
      <w:r>
        <w:rPr>
          <w:noProof/>
        </w:rPr>
        <w:drawing>
          <wp:inline distT="0" distB="0" distL="0" distR="0" wp14:anchorId="1D90FB35" wp14:editId="564B4731">
            <wp:extent cx="5212078" cy="6949438"/>
            <wp:effectExtent l="0" t="0" r="8255" b="4445"/>
            <wp:docPr id="154729364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293644" name="Picture 18"/>
                    <pic:cNvPicPr>
                      <a:picLocks noChangeAspect="1" noChangeArrowheads="1"/>
                    </pic:cNvPicPr>
                  </pic:nvPicPr>
                  <pic:blipFill>
                    <a:blip r:embed="rId54" cstate="print">
                      <a:extLst>
                        <a:ext uri="{28A0092B-C50C-407E-A947-70E740481C1C}">
                          <a14:useLocalDpi xmlns:a14="http://schemas.microsoft.com/office/drawing/2010/main" val="0"/>
                        </a:ext>
                      </a:extLst>
                    </a:blip>
                    <a:stretch>
                      <a:fillRect/>
                    </a:stretch>
                  </pic:blipFill>
                  <pic:spPr bwMode="auto">
                    <a:xfrm>
                      <a:off x="0" y="0"/>
                      <a:ext cx="5212078" cy="6949438"/>
                    </a:xfrm>
                    <a:prstGeom prst="rect">
                      <a:avLst/>
                    </a:prstGeom>
                    <a:noFill/>
                    <a:ln>
                      <a:noFill/>
                    </a:ln>
                  </pic:spPr>
                </pic:pic>
              </a:graphicData>
            </a:graphic>
          </wp:inline>
        </w:drawing>
      </w:r>
    </w:p>
    <w:p w14:paraId="6A24C2CC" w14:textId="01A3632C" w:rsidR="007D1558" w:rsidRPr="00ED6690" w:rsidRDefault="007D1558" w:rsidP="007D1558">
      <w:pPr>
        <w:jc w:val="both"/>
        <w:rPr>
          <w:rFonts w:ascii="Times New Roman" w:hAnsi="Times New Roman" w:cs="Times New Roman"/>
          <w:b/>
          <w:bCs/>
          <w:szCs w:val="24"/>
        </w:rPr>
      </w:pPr>
      <w:r w:rsidRPr="00ED6690">
        <w:rPr>
          <w:rFonts w:ascii="Times New Roman" w:hAnsi="Times New Roman" w:cs="Times New Roman"/>
          <w:b/>
          <w:bCs/>
          <w:szCs w:val="24"/>
        </w:rPr>
        <w:t>Fig.</w:t>
      </w:r>
      <w:r w:rsidR="00FC10A7"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47</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Temperature dependence</w:t>
      </w:r>
      <w:r w:rsidR="00151774" w:rsidRPr="00ED6690">
        <w:rPr>
          <w:rFonts w:ascii="Times New Roman" w:hAnsi="Times New Roman" w:cs="Times New Roman"/>
          <w:b/>
          <w:bCs/>
          <w:szCs w:val="24"/>
        </w:rPr>
        <w:t>s</w:t>
      </w:r>
      <w:r w:rsidRPr="00ED6690">
        <w:rPr>
          <w:rFonts w:ascii="Times New Roman" w:hAnsi="Times New Roman" w:cs="Times New Roman"/>
          <w:b/>
          <w:bCs/>
          <w:szCs w:val="24"/>
        </w:rPr>
        <w:t xml:space="preserve">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00151774" w:rsidRPr="00ED6690">
        <w:rPr>
          <w:rFonts w:ascii="Times New Roman" w:hAnsi="Times New Roman" w:cs="Times New Roman"/>
          <w:b/>
          <w:bCs/>
          <w:szCs w:val="24"/>
        </w:rPr>
        <w:t>and without excess entropy</w:t>
      </w:r>
      <w:r w:rsidRPr="00ED6690">
        <w:rPr>
          <w:rFonts w:ascii="Times New Roman" w:hAnsi="Times New Roman" w:cs="Times New Roman"/>
          <w:b/>
          <w:bCs/>
          <w:szCs w:val="24"/>
        </w:rPr>
        <w:t xml:space="preserve"> for </w:t>
      </w:r>
      <w:r w:rsidR="00151774" w:rsidRPr="00ED6690">
        <w:rPr>
          <w:rFonts w:ascii="Times New Roman" w:hAnsi="Times New Roman" w:cs="Times New Roman"/>
          <w:b/>
          <w:bCs/>
          <w:szCs w:val="24"/>
        </w:rPr>
        <w:t>Al</w:t>
      </w:r>
      <w:r w:rsidRPr="00ED6690">
        <w:rPr>
          <w:rFonts w:ascii="Times New Roman" w:hAnsi="Times New Roman" w:cs="Times New Roman"/>
          <w:b/>
          <w:bCs/>
          <w:szCs w:val="24"/>
        </w:rPr>
        <w:t>-based Alloys.</w:t>
      </w:r>
    </w:p>
    <w:p w14:paraId="7241FC93" w14:textId="55E6A91A" w:rsidR="00151774" w:rsidRPr="00ED6690" w:rsidRDefault="00E13BC9" w:rsidP="00151774">
      <w:pPr>
        <w:rPr>
          <w:rFonts w:ascii="Times New Roman" w:hAnsi="Times New Roman" w:cs="Times New Roman"/>
          <w:b/>
          <w:bCs/>
          <w:szCs w:val="24"/>
        </w:rPr>
      </w:pPr>
      <w:r>
        <w:rPr>
          <w:noProof/>
        </w:rPr>
        <w:drawing>
          <wp:inline distT="0" distB="0" distL="0" distR="0" wp14:anchorId="498EC3CE" wp14:editId="07B05BF8">
            <wp:extent cx="5212078" cy="6949438"/>
            <wp:effectExtent l="0" t="0" r="8255" b="4445"/>
            <wp:docPr id="65761760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617604" name="Picture 19"/>
                    <pic:cNvPicPr>
                      <a:picLocks noChangeAspect="1" noChangeArrowheads="1"/>
                    </pic:cNvPicPr>
                  </pic:nvPicPr>
                  <pic:blipFill>
                    <a:blip r:embed="rId55" cstate="print">
                      <a:extLst>
                        <a:ext uri="{28A0092B-C50C-407E-A947-70E740481C1C}">
                          <a14:useLocalDpi xmlns:a14="http://schemas.microsoft.com/office/drawing/2010/main" val="0"/>
                        </a:ext>
                      </a:extLst>
                    </a:blip>
                    <a:stretch>
                      <a:fillRect/>
                    </a:stretch>
                  </pic:blipFill>
                  <pic:spPr bwMode="auto">
                    <a:xfrm>
                      <a:off x="0" y="0"/>
                      <a:ext cx="5212078" cy="6949438"/>
                    </a:xfrm>
                    <a:prstGeom prst="rect">
                      <a:avLst/>
                    </a:prstGeom>
                    <a:noFill/>
                    <a:ln>
                      <a:noFill/>
                    </a:ln>
                  </pic:spPr>
                </pic:pic>
              </a:graphicData>
            </a:graphic>
          </wp:inline>
        </w:drawing>
      </w:r>
    </w:p>
    <w:p w14:paraId="688386CA" w14:textId="74204A66" w:rsidR="00151774" w:rsidRDefault="00151774" w:rsidP="00151774">
      <w:pPr>
        <w:jc w:val="both"/>
        <w:rPr>
          <w:rFonts w:ascii="Times New Roman" w:hAnsi="Times New Roman" w:cs="Times New Roman"/>
          <w:b/>
          <w:bCs/>
          <w:szCs w:val="24"/>
        </w:rPr>
      </w:pPr>
      <w:r w:rsidRPr="00ED6690">
        <w:rPr>
          <w:rFonts w:ascii="Times New Roman" w:hAnsi="Times New Roman" w:cs="Times New Roman"/>
          <w:b/>
          <w:bCs/>
          <w:szCs w:val="24"/>
        </w:rPr>
        <w:t>Fig.</w:t>
      </w:r>
      <w:r w:rsidR="00FC10A7"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48</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and without excess entropy for Al-based Alloys (cont., 2).</w:t>
      </w:r>
    </w:p>
    <w:p w14:paraId="681D71A0" w14:textId="4F038E7F" w:rsidR="0073297F" w:rsidRPr="00ED6690" w:rsidRDefault="00E13BC9" w:rsidP="00151774">
      <w:pPr>
        <w:jc w:val="both"/>
        <w:rPr>
          <w:rFonts w:ascii="Times New Roman" w:hAnsi="Times New Roman" w:cs="Times New Roman"/>
          <w:b/>
          <w:bCs/>
          <w:szCs w:val="24"/>
        </w:rPr>
      </w:pPr>
      <w:r>
        <w:rPr>
          <w:noProof/>
        </w:rPr>
        <w:drawing>
          <wp:inline distT="0" distB="0" distL="0" distR="0" wp14:anchorId="0487D511" wp14:editId="36F35F52">
            <wp:extent cx="5212078" cy="6949438"/>
            <wp:effectExtent l="0" t="0" r="8255" b="4445"/>
            <wp:docPr id="105652159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521595" name="Picture 20"/>
                    <pic:cNvPicPr>
                      <a:picLocks noChangeAspect="1" noChangeArrowheads="1"/>
                    </pic:cNvPicPr>
                  </pic:nvPicPr>
                  <pic:blipFill>
                    <a:blip r:embed="rId56" cstate="print">
                      <a:extLst>
                        <a:ext uri="{28A0092B-C50C-407E-A947-70E740481C1C}">
                          <a14:useLocalDpi xmlns:a14="http://schemas.microsoft.com/office/drawing/2010/main" val="0"/>
                        </a:ext>
                      </a:extLst>
                    </a:blip>
                    <a:stretch>
                      <a:fillRect/>
                    </a:stretch>
                  </pic:blipFill>
                  <pic:spPr bwMode="auto">
                    <a:xfrm>
                      <a:off x="0" y="0"/>
                      <a:ext cx="5212078" cy="6949438"/>
                    </a:xfrm>
                    <a:prstGeom prst="rect">
                      <a:avLst/>
                    </a:prstGeom>
                    <a:noFill/>
                    <a:ln>
                      <a:noFill/>
                    </a:ln>
                  </pic:spPr>
                </pic:pic>
              </a:graphicData>
            </a:graphic>
          </wp:inline>
        </w:drawing>
      </w:r>
    </w:p>
    <w:p w14:paraId="484731FF" w14:textId="15D32CD6" w:rsidR="00A86F96" w:rsidRPr="00ED6690" w:rsidRDefault="00A86F96" w:rsidP="00A86F96">
      <w:pPr>
        <w:jc w:val="both"/>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49</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and without excess entropy for A</w:t>
      </w:r>
      <w:r>
        <w:rPr>
          <w:rFonts w:ascii="Times New Roman" w:hAnsi="Times New Roman" w:cs="Times New Roman"/>
          <w:b/>
          <w:bCs/>
          <w:szCs w:val="24"/>
        </w:rPr>
        <w:t>u</w:t>
      </w:r>
      <w:r w:rsidRPr="00ED6690">
        <w:rPr>
          <w:rFonts w:ascii="Times New Roman" w:hAnsi="Times New Roman" w:cs="Times New Roman"/>
          <w:b/>
          <w:bCs/>
          <w:szCs w:val="24"/>
        </w:rPr>
        <w:t>-based Alloys.</w:t>
      </w:r>
    </w:p>
    <w:p w14:paraId="284A5244" w14:textId="482BC0C3" w:rsidR="00151774" w:rsidRDefault="00151774" w:rsidP="00151774">
      <w:pPr>
        <w:jc w:val="both"/>
        <w:rPr>
          <w:rFonts w:ascii="Times New Roman" w:hAnsi="Times New Roman" w:cs="Times New Roman"/>
          <w:b/>
          <w:bCs/>
          <w:szCs w:val="24"/>
        </w:rPr>
      </w:pPr>
    </w:p>
    <w:p w14:paraId="601EBF0C" w14:textId="77777777" w:rsidR="00E13BC9" w:rsidRDefault="00E13BC9" w:rsidP="00151774">
      <w:pPr>
        <w:jc w:val="both"/>
        <w:rPr>
          <w:rFonts w:ascii="Times New Roman" w:hAnsi="Times New Roman" w:cs="Times New Roman"/>
          <w:b/>
          <w:bCs/>
          <w:szCs w:val="24"/>
        </w:rPr>
      </w:pPr>
    </w:p>
    <w:p w14:paraId="6795387C" w14:textId="5A935735" w:rsidR="00E13BC9" w:rsidRPr="00ED6690" w:rsidRDefault="00E13BC9" w:rsidP="00151774">
      <w:pPr>
        <w:jc w:val="both"/>
        <w:rPr>
          <w:rFonts w:ascii="Times New Roman" w:hAnsi="Times New Roman" w:cs="Times New Roman"/>
          <w:b/>
          <w:bCs/>
          <w:szCs w:val="24"/>
        </w:rPr>
      </w:pPr>
      <w:r>
        <w:rPr>
          <w:noProof/>
        </w:rPr>
        <w:drawing>
          <wp:inline distT="0" distB="0" distL="0" distR="0" wp14:anchorId="689AF0DA" wp14:editId="4DBED79C">
            <wp:extent cx="5212078" cy="6949438"/>
            <wp:effectExtent l="0" t="0" r="8255" b="4445"/>
            <wp:docPr id="43768284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682847" name="Picture 21"/>
                    <pic:cNvPicPr>
                      <a:picLocks noChangeAspect="1" noChangeArrowheads="1"/>
                    </pic:cNvPicPr>
                  </pic:nvPicPr>
                  <pic:blipFill>
                    <a:blip r:embed="rId57" cstate="print">
                      <a:extLst>
                        <a:ext uri="{28A0092B-C50C-407E-A947-70E740481C1C}">
                          <a14:useLocalDpi xmlns:a14="http://schemas.microsoft.com/office/drawing/2010/main" val="0"/>
                        </a:ext>
                      </a:extLst>
                    </a:blip>
                    <a:stretch>
                      <a:fillRect/>
                    </a:stretch>
                  </pic:blipFill>
                  <pic:spPr bwMode="auto">
                    <a:xfrm>
                      <a:off x="0" y="0"/>
                      <a:ext cx="5212078" cy="6949438"/>
                    </a:xfrm>
                    <a:prstGeom prst="rect">
                      <a:avLst/>
                    </a:prstGeom>
                    <a:noFill/>
                    <a:ln>
                      <a:noFill/>
                    </a:ln>
                  </pic:spPr>
                </pic:pic>
              </a:graphicData>
            </a:graphic>
          </wp:inline>
        </w:drawing>
      </w:r>
    </w:p>
    <w:p w14:paraId="7578BE90" w14:textId="616BBD78" w:rsidR="00151774" w:rsidRPr="00ED6690" w:rsidRDefault="00151774" w:rsidP="00151774">
      <w:pPr>
        <w:jc w:val="both"/>
        <w:rPr>
          <w:rFonts w:ascii="Times New Roman" w:hAnsi="Times New Roman" w:cs="Times New Roman"/>
          <w:b/>
          <w:bCs/>
          <w:szCs w:val="24"/>
        </w:rPr>
      </w:pPr>
      <w:r w:rsidRPr="00ED6690">
        <w:rPr>
          <w:rFonts w:ascii="Times New Roman" w:hAnsi="Times New Roman" w:cs="Times New Roman"/>
          <w:b/>
          <w:bCs/>
          <w:szCs w:val="24"/>
        </w:rPr>
        <w:t>Fig.</w:t>
      </w:r>
      <w:r w:rsidR="00FC10A7"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50</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and without excess entropy for Cu-based Alloys.</w:t>
      </w:r>
    </w:p>
    <w:p w14:paraId="1003A5C7" w14:textId="73745040" w:rsidR="00151774" w:rsidRPr="00ED6690" w:rsidRDefault="00E13BC9" w:rsidP="00151774">
      <w:pPr>
        <w:jc w:val="both"/>
        <w:rPr>
          <w:rFonts w:ascii="Times New Roman" w:hAnsi="Times New Roman" w:cs="Times New Roman"/>
          <w:b/>
          <w:bCs/>
          <w:szCs w:val="24"/>
        </w:rPr>
      </w:pPr>
      <w:r>
        <w:rPr>
          <w:noProof/>
        </w:rPr>
        <w:drawing>
          <wp:inline distT="0" distB="0" distL="0" distR="0" wp14:anchorId="30B9E04C" wp14:editId="7EE14087">
            <wp:extent cx="5212078" cy="6949438"/>
            <wp:effectExtent l="0" t="0" r="8255" b="4445"/>
            <wp:docPr id="177617496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174962" name="Picture 22"/>
                    <pic:cNvPicPr>
                      <a:picLocks noChangeAspect="1" noChangeArrowheads="1"/>
                    </pic:cNvPicPr>
                  </pic:nvPicPr>
                  <pic:blipFill>
                    <a:blip r:embed="rId58" cstate="print">
                      <a:extLst>
                        <a:ext uri="{28A0092B-C50C-407E-A947-70E740481C1C}">
                          <a14:useLocalDpi xmlns:a14="http://schemas.microsoft.com/office/drawing/2010/main" val="0"/>
                        </a:ext>
                      </a:extLst>
                    </a:blip>
                    <a:stretch>
                      <a:fillRect/>
                    </a:stretch>
                  </pic:blipFill>
                  <pic:spPr bwMode="auto">
                    <a:xfrm>
                      <a:off x="0" y="0"/>
                      <a:ext cx="5212078" cy="6949438"/>
                    </a:xfrm>
                    <a:prstGeom prst="rect">
                      <a:avLst/>
                    </a:prstGeom>
                    <a:noFill/>
                    <a:ln>
                      <a:noFill/>
                    </a:ln>
                  </pic:spPr>
                </pic:pic>
              </a:graphicData>
            </a:graphic>
          </wp:inline>
        </w:drawing>
      </w:r>
    </w:p>
    <w:p w14:paraId="00D173C8" w14:textId="7D50997A" w:rsidR="00151774" w:rsidRPr="00ED6690" w:rsidRDefault="00151774" w:rsidP="00151774">
      <w:pPr>
        <w:jc w:val="both"/>
        <w:rPr>
          <w:rFonts w:ascii="Times New Roman" w:hAnsi="Times New Roman" w:cs="Times New Roman"/>
          <w:b/>
          <w:bCs/>
          <w:szCs w:val="24"/>
        </w:rPr>
      </w:pPr>
      <w:r w:rsidRPr="00ED6690">
        <w:rPr>
          <w:rFonts w:ascii="Times New Roman" w:hAnsi="Times New Roman" w:cs="Times New Roman"/>
          <w:b/>
          <w:bCs/>
          <w:szCs w:val="24"/>
        </w:rPr>
        <w:t>Fig.</w:t>
      </w:r>
      <w:r w:rsidR="00FC10A7"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51</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and without excess entropy for Cu-based Alloys (cont., 2).</w:t>
      </w:r>
    </w:p>
    <w:p w14:paraId="6B77470D" w14:textId="13543D67" w:rsidR="00151774" w:rsidRPr="00ED6690" w:rsidRDefault="009626A2" w:rsidP="00151774">
      <w:pPr>
        <w:jc w:val="both"/>
        <w:rPr>
          <w:rFonts w:ascii="Times New Roman" w:hAnsi="Times New Roman" w:cs="Times New Roman"/>
          <w:b/>
          <w:bCs/>
          <w:szCs w:val="24"/>
        </w:rPr>
      </w:pPr>
      <w:r>
        <w:rPr>
          <w:noProof/>
        </w:rPr>
        <w:drawing>
          <wp:inline distT="0" distB="0" distL="0" distR="0" wp14:anchorId="3F4FD4F8" wp14:editId="05F6233F">
            <wp:extent cx="5212078" cy="6949438"/>
            <wp:effectExtent l="0" t="0" r="8255" b="4445"/>
            <wp:docPr id="61174661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746610" name="Picture 23"/>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5212078" cy="6949438"/>
                    </a:xfrm>
                    <a:prstGeom prst="rect">
                      <a:avLst/>
                    </a:prstGeom>
                    <a:noFill/>
                    <a:ln>
                      <a:noFill/>
                    </a:ln>
                  </pic:spPr>
                </pic:pic>
              </a:graphicData>
            </a:graphic>
          </wp:inline>
        </w:drawing>
      </w:r>
    </w:p>
    <w:p w14:paraId="1743039D" w14:textId="181CEB50" w:rsidR="00151774" w:rsidRPr="00ED6690" w:rsidRDefault="00151774" w:rsidP="00151774">
      <w:pPr>
        <w:jc w:val="both"/>
        <w:rPr>
          <w:rFonts w:ascii="Times New Roman" w:hAnsi="Times New Roman" w:cs="Times New Roman"/>
          <w:b/>
          <w:bCs/>
          <w:szCs w:val="24"/>
        </w:rPr>
      </w:pPr>
      <w:r w:rsidRPr="00ED6690">
        <w:rPr>
          <w:rFonts w:ascii="Times New Roman" w:hAnsi="Times New Roman" w:cs="Times New Roman"/>
          <w:b/>
          <w:bCs/>
          <w:szCs w:val="24"/>
        </w:rPr>
        <w:t>Fig.</w:t>
      </w:r>
      <w:r w:rsidR="00FC10A7"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52</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and without excess entropy for Cu-based Alloys (cont., 3).</w:t>
      </w:r>
    </w:p>
    <w:p w14:paraId="7D33DB24" w14:textId="228A20DA" w:rsidR="00151774" w:rsidRPr="00ED6690" w:rsidRDefault="009626A2" w:rsidP="00151774">
      <w:pPr>
        <w:jc w:val="both"/>
        <w:rPr>
          <w:rFonts w:ascii="Times New Roman" w:hAnsi="Times New Roman" w:cs="Times New Roman"/>
          <w:b/>
          <w:bCs/>
          <w:szCs w:val="24"/>
        </w:rPr>
      </w:pPr>
      <w:r>
        <w:rPr>
          <w:noProof/>
        </w:rPr>
        <w:drawing>
          <wp:inline distT="0" distB="0" distL="0" distR="0" wp14:anchorId="54F22501" wp14:editId="274C43E1">
            <wp:extent cx="5212078" cy="6949438"/>
            <wp:effectExtent l="0" t="0" r="8255" b="4445"/>
            <wp:docPr id="170878367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783678" name="Picture 24"/>
                    <pic:cNvPicPr>
                      <a:picLocks noChangeAspect="1" noChangeArrowheads="1"/>
                    </pic:cNvPicPr>
                  </pic:nvPicPr>
                  <pic:blipFill>
                    <a:blip r:embed="rId60" cstate="print">
                      <a:extLst>
                        <a:ext uri="{28A0092B-C50C-407E-A947-70E740481C1C}">
                          <a14:useLocalDpi xmlns:a14="http://schemas.microsoft.com/office/drawing/2010/main" val="0"/>
                        </a:ext>
                      </a:extLst>
                    </a:blip>
                    <a:stretch>
                      <a:fillRect/>
                    </a:stretch>
                  </pic:blipFill>
                  <pic:spPr bwMode="auto">
                    <a:xfrm>
                      <a:off x="0" y="0"/>
                      <a:ext cx="5212078" cy="6949438"/>
                    </a:xfrm>
                    <a:prstGeom prst="rect">
                      <a:avLst/>
                    </a:prstGeom>
                    <a:noFill/>
                    <a:ln>
                      <a:noFill/>
                    </a:ln>
                  </pic:spPr>
                </pic:pic>
              </a:graphicData>
            </a:graphic>
          </wp:inline>
        </w:drawing>
      </w:r>
    </w:p>
    <w:p w14:paraId="00EE6A9E" w14:textId="287C17A2" w:rsidR="00151774" w:rsidRPr="00ED6690" w:rsidRDefault="00151774" w:rsidP="00151774">
      <w:pPr>
        <w:jc w:val="both"/>
        <w:rPr>
          <w:rFonts w:ascii="Times New Roman" w:hAnsi="Times New Roman" w:cs="Times New Roman"/>
          <w:b/>
          <w:bCs/>
          <w:szCs w:val="24"/>
        </w:rPr>
      </w:pPr>
      <w:r w:rsidRPr="00ED6690">
        <w:rPr>
          <w:rFonts w:ascii="Times New Roman" w:hAnsi="Times New Roman" w:cs="Times New Roman"/>
          <w:b/>
          <w:bCs/>
          <w:szCs w:val="24"/>
        </w:rPr>
        <w:t>Fig.</w:t>
      </w:r>
      <w:r w:rsidR="00FC10A7"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53</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and without excess entropy for Ni-based Alloys.</w:t>
      </w:r>
    </w:p>
    <w:p w14:paraId="09722A8D" w14:textId="06B5380A" w:rsidR="00151774" w:rsidRPr="00ED6690" w:rsidRDefault="009626A2" w:rsidP="00151774">
      <w:pPr>
        <w:jc w:val="both"/>
        <w:rPr>
          <w:rFonts w:ascii="Times New Roman" w:hAnsi="Times New Roman" w:cs="Times New Roman"/>
          <w:b/>
          <w:bCs/>
          <w:szCs w:val="24"/>
        </w:rPr>
      </w:pPr>
      <w:r>
        <w:rPr>
          <w:noProof/>
        </w:rPr>
        <w:drawing>
          <wp:inline distT="0" distB="0" distL="0" distR="0" wp14:anchorId="3DE853B0" wp14:editId="797A9BAD">
            <wp:extent cx="5212078" cy="6949438"/>
            <wp:effectExtent l="0" t="0" r="8255" b="4445"/>
            <wp:docPr id="172096818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968184" name="Picture 25"/>
                    <pic:cNvPicPr>
                      <a:picLocks noChangeAspect="1" noChangeArrowheads="1"/>
                    </pic:cNvPicPr>
                  </pic:nvPicPr>
                  <pic:blipFill>
                    <a:blip r:embed="rId61" cstate="print">
                      <a:extLst>
                        <a:ext uri="{28A0092B-C50C-407E-A947-70E740481C1C}">
                          <a14:useLocalDpi xmlns:a14="http://schemas.microsoft.com/office/drawing/2010/main" val="0"/>
                        </a:ext>
                      </a:extLst>
                    </a:blip>
                    <a:stretch>
                      <a:fillRect/>
                    </a:stretch>
                  </pic:blipFill>
                  <pic:spPr bwMode="auto">
                    <a:xfrm>
                      <a:off x="0" y="0"/>
                      <a:ext cx="5212078" cy="6949438"/>
                    </a:xfrm>
                    <a:prstGeom prst="rect">
                      <a:avLst/>
                    </a:prstGeom>
                    <a:noFill/>
                    <a:ln>
                      <a:noFill/>
                    </a:ln>
                  </pic:spPr>
                </pic:pic>
              </a:graphicData>
            </a:graphic>
          </wp:inline>
        </w:drawing>
      </w:r>
    </w:p>
    <w:p w14:paraId="7BD7071C" w14:textId="3BA364D7" w:rsidR="00151774" w:rsidRPr="00ED6690" w:rsidRDefault="00151774" w:rsidP="00151774">
      <w:pPr>
        <w:jc w:val="both"/>
        <w:rPr>
          <w:rFonts w:ascii="Times New Roman" w:hAnsi="Times New Roman" w:cs="Times New Roman"/>
          <w:b/>
          <w:bCs/>
          <w:szCs w:val="24"/>
        </w:rPr>
      </w:pPr>
      <w:r w:rsidRPr="00ED6690">
        <w:rPr>
          <w:rFonts w:ascii="Times New Roman" w:hAnsi="Times New Roman" w:cs="Times New Roman"/>
          <w:b/>
          <w:bCs/>
          <w:szCs w:val="24"/>
        </w:rPr>
        <w:t>Fig.</w:t>
      </w:r>
      <w:r w:rsidR="00FC10A7"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54</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and without excess entropy for Ni-based Alloys (cont., 2).</w:t>
      </w:r>
    </w:p>
    <w:p w14:paraId="0442FC53" w14:textId="100AE061" w:rsidR="00151774" w:rsidRPr="00ED6690" w:rsidRDefault="009626A2" w:rsidP="00151774">
      <w:pPr>
        <w:jc w:val="both"/>
        <w:rPr>
          <w:rFonts w:ascii="Times New Roman" w:hAnsi="Times New Roman" w:cs="Times New Roman"/>
          <w:b/>
          <w:bCs/>
          <w:szCs w:val="24"/>
        </w:rPr>
      </w:pPr>
      <w:r>
        <w:rPr>
          <w:noProof/>
        </w:rPr>
        <w:drawing>
          <wp:inline distT="0" distB="0" distL="0" distR="0" wp14:anchorId="7DC8A72E" wp14:editId="6946CD97">
            <wp:extent cx="5212078" cy="6949438"/>
            <wp:effectExtent l="0" t="0" r="8255" b="4445"/>
            <wp:docPr id="1963573048"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573048" name="Picture 26"/>
                    <pic:cNvPicPr>
                      <a:picLocks noChangeAspect="1" noChangeArrowheads="1"/>
                    </pic:cNvPicPr>
                  </pic:nvPicPr>
                  <pic:blipFill>
                    <a:blip r:embed="rId62" cstate="print">
                      <a:extLst>
                        <a:ext uri="{28A0092B-C50C-407E-A947-70E740481C1C}">
                          <a14:useLocalDpi xmlns:a14="http://schemas.microsoft.com/office/drawing/2010/main" val="0"/>
                        </a:ext>
                      </a:extLst>
                    </a:blip>
                    <a:stretch>
                      <a:fillRect/>
                    </a:stretch>
                  </pic:blipFill>
                  <pic:spPr bwMode="auto">
                    <a:xfrm>
                      <a:off x="0" y="0"/>
                      <a:ext cx="5212078" cy="6949438"/>
                    </a:xfrm>
                    <a:prstGeom prst="rect">
                      <a:avLst/>
                    </a:prstGeom>
                    <a:noFill/>
                    <a:ln>
                      <a:noFill/>
                    </a:ln>
                  </pic:spPr>
                </pic:pic>
              </a:graphicData>
            </a:graphic>
          </wp:inline>
        </w:drawing>
      </w:r>
    </w:p>
    <w:p w14:paraId="0338BD9A" w14:textId="37AD2F32" w:rsidR="00151774" w:rsidRPr="00ED6690" w:rsidRDefault="00151774" w:rsidP="00151774">
      <w:pPr>
        <w:jc w:val="both"/>
        <w:rPr>
          <w:rFonts w:ascii="Times New Roman" w:hAnsi="Times New Roman" w:cs="Times New Roman"/>
          <w:b/>
          <w:bCs/>
          <w:szCs w:val="24"/>
        </w:rPr>
      </w:pPr>
      <w:r w:rsidRPr="00ED6690">
        <w:rPr>
          <w:rFonts w:ascii="Times New Roman" w:hAnsi="Times New Roman" w:cs="Times New Roman"/>
          <w:b/>
          <w:bCs/>
          <w:szCs w:val="24"/>
        </w:rPr>
        <w:t>Fig.</w:t>
      </w:r>
      <w:r w:rsidR="00FC10A7"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55</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and without excess entropy for Ni-based Alloys (cont., 3).</w:t>
      </w:r>
    </w:p>
    <w:p w14:paraId="05C81748" w14:textId="557CD4F0" w:rsidR="00151774" w:rsidRPr="00ED6690" w:rsidRDefault="00151774" w:rsidP="00151774">
      <w:pPr>
        <w:jc w:val="both"/>
        <w:rPr>
          <w:rFonts w:ascii="Times New Roman" w:hAnsi="Times New Roman" w:cs="Times New Roman"/>
          <w:b/>
          <w:bCs/>
          <w:szCs w:val="24"/>
        </w:rPr>
      </w:pPr>
    </w:p>
    <w:p w14:paraId="1724AC2E" w14:textId="5B3F05E8" w:rsidR="00D446DF" w:rsidRPr="00ED6690" w:rsidRDefault="009626A2" w:rsidP="00151774">
      <w:pPr>
        <w:jc w:val="both"/>
        <w:rPr>
          <w:rFonts w:ascii="Times New Roman" w:hAnsi="Times New Roman" w:cs="Times New Roman"/>
          <w:b/>
          <w:bCs/>
          <w:szCs w:val="24"/>
        </w:rPr>
      </w:pPr>
      <w:r>
        <w:rPr>
          <w:noProof/>
        </w:rPr>
        <w:drawing>
          <wp:inline distT="0" distB="0" distL="0" distR="0" wp14:anchorId="3439BB0F" wp14:editId="5F8D8CCC">
            <wp:extent cx="5212078" cy="6949438"/>
            <wp:effectExtent l="0" t="0" r="8255" b="4445"/>
            <wp:docPr id="190717269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172699" name="Picture 27"/>
                    <pic:cNvPicPr>
                      <a:picLocks noChangeAspect="1" noChangeArrowheads="1"/>
                    </pic:cNvPicPr>
                  </pic:nvPicPr>
                  <pic:blipFill>
                    <a:blip r:embed="rId63" cstate="print">
                      <a:extLst>
                        <a:ext uri="{28A0092B-C50C-407E-A947-70E740481C1C}">
                          <a14:useLocalDpi xmlns:a14="http://schemas.microsoft.com/office/drawing/2010/main" val="0"/>
                        </a:ext>
                      </a:extLst>
                    </a:blip>
                    <a:stretch>
                      <a:fillRect/>
                    </a:stretch>
                  </pic:blipFill>
                  <pic:spPr bwMode="auto">
                    <a:xfrm>
                      <a:off x="0" y="0"/>
                      <a:ext cx="5212078" cy="6949438"/>
                    </a:xfrm>
                    <a:prstGeom prst="rect">
                      <a:avLst/>
                    </a:prstGeom>
                    <a:noFill/>
                    <a:ln>
                      <a:noFill/>
                    </a:ln>
                  </pic:spPr>
                </pic:pic>
              </a:graphicData>
            </a:graphic>
          </wp:inline>
        </w:drawing>
      </w:r>
    </w:p>
    <w:p w14:paraId="798BA2F2" w14:textId="09F86038" w:rsidR="00151774" w:rsidRPr="00ED6690" w:rsidRDefault="00151774" w:rsidP="00151774">
      <w:pPr>
        <w:jc w:val="both"/>
        <w:rPr>
          <w:rFonts w:ascii="Times New Roman" w:hAnsi="Times New Roman" w:cs="Times New Roman"/>
          <w:b/>
          <w:bCs/>
          <w:szCs w:val="24"/>
        </w:rPr>
      </w:pPr>
      <w:r w:rsidRPr="00ED6690">
        <w:rPr>
          <w:rFonts w:ascii="Times New Roman" w:hAnsi="Times New Roman" w:cs="Times New Roman"/>
          <w:b/>
          <w:bCs/>
          <w:szCs w:val="24"/>
        </w:rPr>
        <w:t>Fig.</w:t>
      </w:r>
      <w:r w:rsidR="00FC10A7" w:rsidRPr="00ED6690">
        <w:rPr>
          <w:rFonts w:ascii="Times New Roman" w:hAnsi="Times New Roman" w:cs="Times New Roman"/>
          <w:b/>
          <w:bCs/>
          <w:szCs w:val="24"/>
        </w:rPr>
        <w:t xml:space="preserve">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56</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and without excess entropy for Ni-based Alloys (cont., 4).</w:t>
      </w:r>
    </w:p>
    <w:p w14:paraId="7939EC12" w14:textId="75D71CBF" w:rsidR="0073297F" w:rsidRDefault="009626A2" w:rsidP="0073297F">
      <w:pPr>
        <w:jc w:val="both"/>
        <w:rPr>
          <w:rFonts w:ascii="Times New Roman" w:hAnsi="Times New Roman" w:cs="Times New Roman"/>
          <w:b/>
          <w:bCs/>
          <w:szCs w:val="24"/>
        </w:rPr>
      </w:pPr>
      <w:r>
        <w:rPr>
          <w:noProof/>
        </w:rPr>
        <w:drawing>
          <wp:inline distT="0" distB="0" distL="0" distR="0" wp14:anchorId="378C9949" wp14:editId="54525AF8">
            <wp:extent cx="5518576" cy="1769423"/>
            <wp:effectExtent l="0" t="0" r="0" b="2540"/>
            <wp:docPr id="3245426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54262" name="Picture 28"/>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l="-849" r="-2324"/>
                    <a:stretch/>
                  </pic:blipFill>
                  <pic:spPr bwMode="auto">
                    <a:xfrm>
                      <a:off x="0" y="0"/>
                      <a:ext cx="5525711" cy="1771711"/>
                    </a:xfrm>
                    <a:prstGeom prst="rect">
                      <a:avLst/>
                    </a:prstGeom>
                    <a:noFill/>
                    <a:ln>
                      <a:noFill/>
                    </a:ln>
                    <a:extLst>
                      <a:ext uri="{53640926-AAD7-44D8-BBD7-CCE9431645EC}">
                        <a14:shadowObscured xmlns:a14="http://schemas.microsoft.com/office/drawing/2010/main"/>
                      </a:ext>
                    </a:extLst>
                  </pic:spPr>
                </pic:pic>
              </a:graphicData>
            </a:graphic>
          </wp:inline>
        </w:drawing>
      </w:r>
    </w:p>
    <w:p w14:paraId="787FD45D" w14:textId="188FE9A9" w:rsidR="002E1A7F" w:rsidRPr="00ED6690" w:rsidRDefault="002E1A7F" w:rsidP="002E1A7F">
      <w:pPr>
        <w:jc w:val="both"/>
        <w:rPr>
          <w:rFonts w:ascii="Times New Roman" w:hAnsi="Times New Roman" w:cs="Times New Roman"/>
          <w:b/>
          <w:bCs/>
          <w:szCs w:val="24"/>
        </w:rPr>
      </w:pPr>
      <w:r w:rsidRPr="00ED6690">
        <w:rPr>
          <w:rFonts w:ascii="Times New Roman" w:hAnsi="Times New Roman" w:cs="Times New Roman"/>
          <w:b/>
          <w:bCs/>
          <w:szCs w:val="24"/>
        </w:rPr>
        <w:t xml:space="preserve">Fig. </w:t>
      </w:r>
      <w:r>
        <w:rPr>
          <w:rFonts w:ascii="Times New Roman" w:hAnsi="Times New Roman" w:cs="Times New Roman"/>
          <w:b/>
          <w:bCs/>
          <w:szCs w:val="24"/>
        </w:rPr>
        <w:t>S</w:t>
      </w:r>
      <w:r>
        <w:rPr>
          <w:rFonts w:ascii="Times New Roman" w:hAnsi="Times New Roman" w:cs="Times New Roman"/>
          <w:b/>
          <w:bCs/>
          <w:szCs w:val="24"/>
        </w:rPr>
        <w:fldChar w:fldCharType="begin"/>
      </w:r>
      <w:r>
        <w:rPr>
          <w:rFonts w:ascii="Times New Roman" w:hAnsi="Times New Roman" w:cs="Times New Roman"/>
          <w:b/>
          <w:bCs/>
          <w:szCs w:val="24"/>
        </w:rPr>
        <w:instrText xml:space="preserve"> SEQ Figure \* ARABIC </w:instrText>
      </w:r>
      <w:r>
        <w:rPr>
          <w:rFonts w:ascii="Times New Roman" w:hAnsi="Times New Roman" w:cs="Times New Roman"/>
          <w:b/>
          <w:bCs/>
          <w:szCs w:val="24"/>
        </w:rPr>
        <w:fldChar w:fldCharType="separate"/>
      </w:r>
      <w:r w:rsidR="00C8038C">
        <w:rPr>
          <w:rFonts w:ascii="Times New Roman" w:hAnsi="Times New Roman" w:cs="Times New Roman"/>
          <w:b/>
          <w:bCs/>
          <w:noProof/>
          <w:szCs w:val="24"/>
        </w:rPr>
        <w:t>57</w:t>
      </w:r>
      <w:r>
        <w:rPr>
          <w:rFonts w:ascii="Times New Roman" w:hAnsi="Times New Roman" w:cs="Times New Roman"/>
          <w:b/>
          <w:bCs/>
          <w:szCs w:val="24"/>
        </w:rPr>
        <w:fldChar w:fldCharType="end"/>
      </w:r>
      <w:r>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 xml:space="preserve">and without excess entropy for Ni-based Alloys (cont., </w:t>
      </w:r>
      <w:r>
        <w:rPr>
          <w:rFonts w:ascii="Times New Roman" w:hAnsi="Times New Roman" w:cs="Times New Roman"/>
          <w:b/>
          <w:bCs/>
          <w:szCs w:val="24"/>
        </w:rPr>
        <w:t>5</w:t>
      </w:r>
      <w:r w:rsidRPr="00ED6690">
        <w:rPr>
          <w:rFonts w:ascii="Times New Roman" w:hAnsi="Times New Roman" w:cs="Times New Roman"/>
          <w:b/>
          <w:bCs/>
          <w:szCs w:val="24"/>
        </w:rPr>
        <w:t>).</w:t>
      </w:r>
    </w:p>
    <w:p w14:paraId="027005B1" w14:textId="77777777" w:rsidR="002E1A7F" w:rsidRDefault="002E1A7F" w:rsidP="0073297F">
      <w:pPr>
        <w:jc w:val="both"/>
        <w:rPr>
          <w:rFonts w:ascii="Times New Roman" w:hAnsi="Times New Roman" w:cs="Times New Roman"/>
          <w:b/>
          <w:bCs/>
          <w:szCs w:val="24"/>
        </w:rPr>
      </w:pPr>
    </w:p>
    <w:p w14:paraId="109E8FDA" w14:textId="48499EA0" w:rsidR="002E1A7F" w:rsidRPr="00ED6690" w:rsidRDefault="002E1A7F" w:rsidP="0073297F">
      <w:pPr>
        <w:jc w:val="both"/>
        <w:rPr>
          <w:rFonts w:ascii="Times New Roman" w:hAnsi="Times New Roman" w:cs="Times New Roman"/>
          <w:b/>
          <w:bCs/>
          <w:szCs w:val="24"/>
        </w:rPr>
      </w:pPr>
      <w:r>
        <w:rPr>
          <w:noProof/>
        </w:rPr>
        <w:drawing>
          <wp:inline distT="0" distB="0" distL="0" distR="0" wp14:anchorId="420FCB94" wp14:editId="56E1AFAF">
            <wp:extent cx="5212078" cy="6949438"/>
            <wp:effectExtent l="0" t="0" r="8255" b="4445"/>
            <wp:docPr id="18635231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52319" name="Picture 29"/>
                    <pic:cNvPicPr>
                      <a:picLocks noChangeAspect="1" noChangeArrowheads="1"/>
                    </pic:cNvPicPr>
                  </pic:nvPicPr>
                  <pic:blipFill>
                    <a:blip r:embed="rId65" cstate="print">
                      <a:extLst>
                        <a:ext uri="{28A0092B-C50C-407E-A947-70E740481C1C}">
                          <a14:useLocalDpi xmlns:a14="http://schemas.microsoft.com/office/drawing/2010/main" val="0"/>
                        </a:ext>
                      </a:extLst>
                    </a:blip>
                    <a:stretch>
                      <a:fillRect/>
                    </a:stretch>
                  </pic:blipFill>
                  <pic:spPr bwMode="auto">
                    <a:xfrm>
                      <a:off x="0" y="0"/>
                      <a:ext cx="5212078" cy="6949438"/>
                    </a:xfrm>
                    <a:prstGeom prst="rect">
                      <a:avLst/>
                    </a:prstGeom>
                    <a:noFill/>
                    <a:ln>
                      <a:noFill/>
                    </a:ln>
                  </pic:spPr>
                </pic:pic>
              </a:graphicData>
            </a:graphic>
          </wp:inline>
        </w:drawing>
      </w:r>
    </w:p>
    <w:p w14:paraId="3E2270B1" w14:textId="6403BD67" w:rsidR="0073297F" w:rsidRPr="00ED6690" w:rsidRDefault="0073297F" w:rsidP="0073297F">
      <w:pPr>
        <w:jc w:val="both"/>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58</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 xml:space="preserve">and without excess entropy for </w:t>
      </w:r>
      <w:r>
        <w:rPr>
          <w:rFonts w:ascii="Times New Roman" w:hAnsi="Times New Roman" w:cs="Times New Roman"/>
          <w:b/>
          <w:bCs/>
          <w:szCs w:val="24"/>
        </w:rPr>
        <w:t>Pd</w:t>
      </w:r>
      <w:r w:rsidRPr="00ED6690">
        <w:rPr>
          <w:rFonts w:ascii="Times New Roman" w:hAnsi="Times New Roman" w:cs="Times New Roman"/>
          <w:b/>
          <w:bCs/>
          <w:szCs w:val="24"/>
        </w:rPr>
        <w:t>-based Alloys.</w:t>
      </w:r>
    </w:p>
    <w:p w14:paraId="555531E2" w14:textId="1C98FAB2" w:rsidR="0073297F" w:rsidRPr="00ED6690" w:rsidRDefault="002E1A7F" w:rsidP="0073297F">
      <w:pPr>
        <w:jc w:val="both"/>
        <w:rPr>
          <w:rFonts w:ascii="Times New Roman" w:hAnsi="Times New Roman" w:cs="Times New Roman"/>
          <w:b/>
          <w:bCs/>
          <w:szCs w:val="24"/>
        </w:rPr>
      </w:pPr>
      <w:r>
        <w:rPr>
          <w:noProof/>
        </w:rPr>
        <w:drawing>
          <wp:inline distT="0" distB="0" distL="0" distR="0" wp14:anchorId="57053E12" wp14:editId="6DBC03C4">
            <wp:extent cx="5212078" cy="6949438"/>
            <wp:effectExtent l="0" t="0" r="8255" b="4445"/>
            <wp:docPr id="147870816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708169" name="Picture 30"/>
                    <pic:cNvPicPr>
                      <a:picLocks noChangeAspect="1" noChangeArrowheads="1"/>
                    </pic:cNvPicPr>
                  </pic:nvPicPr>
                  <pic:blipFill>
                    <a:blip r:embed="rId66" cstate="print">
                      <a:extLst>
                        <a:ext uri="{28A0092B-C50C-407E-A947-70E740481C1C}">
                          <a14:useLocalDpi xmlns:a14="http://schemas.microsoft.com/office/drawing/2010/main" val="0"/>
                        </a:ext>
                      </a:extLst>
                    </a:blip>
                    <a:stretch>
                      <a:fillRect/>
                    </a:stretch>
                  </pic:blipFill>
                  <pic:spPr bwMode="auto">
                    <a:xfrm>
                      <a:off x="0" y="0"/>
                      <a:ext cx="5212078" cy="6949438"/>
                    </a:xfrm>
                    <a:prstGeom prst="rect">
                      <a:avLst/>
                    </a:prstGeom>
                    <a:noFill/>
                    <a:ln>
                      <a:noFill/>
                    </a:ln>
                  </pic:spPr>
                </pic:pic>
              </a:graphicData>
            </a:graphic>
          </wp:inline>
        </w:drawing>
      </w:r>
    </w:p>
    <w:p w14:paraId="40679EA4" w14:textId="7E85FD6B" w:rsidR="0073297F" w:rsidRPr="00ED6690" w:rsidRDefault="0073297F" w:rsidP="0073297F">
      <w:pPr>
        <w:jc w:val="both"/>
        <w:rPr>
          <w:rFonts w:ascii="Times New Roman" w:hAnsi="Times New Roman" w:cs="Times New Roman"/>
          <w:b/>
          <w:bCs/>
          <w:szCs w:val="24"/>
        </w:rPr>
      </w:pPr>
      <w:r w:rsidRPr="00ED6690">
        <w:rPr>
          <w:rFonts w:ascii="Times New Roman" w:hAnsi="Times New Roman" w:cs="Times New Roman"/>
          <w:b/>
          <w:bCs/>
          <w:szCs w:val="24"/>
        </w:rPr>
        <w:t xml:space="preserve">Fig. </w:t>
      </w:r>
      <w:r w:rsidR="00E95521">
        <w:rPr>
          <w:rFonts w:ascii="Times New Roman" w:hAnsi="Times New Roman" w:cs="Times New Roman"/>
          <w:b/>
          <w:bCs/>
          <w:szCs w:val="24"/>
        </w:rPr>
        <w:t>S</w:t>
      </w:r>
      <w:r w:rsidR="00E95521">
        <w:rPr>
          <w:rFonts w:ascii="Times New Roman" w:hAnsi="Times New Roman" w:cs="Times New Roman"/>
          <w:b/>
          <w:bCs/>
          <w:szCs w:val="24"/>
        </w:rPr>
        <w:fldChar w:fldCharType="begin"/>
      </w:r>
      <w:r w:rsidR="00E95521">
        <w:rPr>
          <w:rFonts w:ascii="Times New Roman" w:hAnsi="Times New Roman" w:cs="Times New Roman"/>
          <w:b/>
          <w:bCs/>
          <w:szCs w:val="24"/>
        </w:rPr>
        <w:instrText xml:space="preserve"> SEQ Figure \* ARABIC </w:instrText>
      </w:r>
      <w:r w:rsidR="00E95521">
        <w:rPr>
          <w:rFonts w:ascii="Times New Roman" w:hAnsi="Times New Roman" w:cs="Times New Roman"/>
          <w:b/>
          <w:bCs/>
          <w:szCs w:val="24"/>
        </w:rPr>
        <w:fldChar w:fldCharType="separate"/>
      </w:r>
      <w:r w:rsidR="00C8038C">
        <w:rPr>
          <w:rFonts w:ascii="Times New Roman" w:hAnsi="Times New Roman" w:cs="Times New Roman"/>
          <w:b/>
          <w:bCs/>
          <w:noProof/>
          <w:szCs w:val="24"/>
        </w:rPr>
        <w:t>59</w:t>
      </w:r>
      <w:r w:rsidR="00E95521">
        <w:rPr>
          <w:rFonts w:ascii="Times New Roman" w:hAnsi="Times New Roman" w:cs="Times New Roman"/>
          <w:b/>
          <w:bCs/>
          <w:szCs w:val="24"/>
        </w:rPr>
        <w:fldChar w:fldCharType="end"/>
      </w:r>
      <w:r w:rsidR="00E95521">
        <w:rPr>
          <w:rFonts w:ascii="Times New Roman" w:hAnsi="Times New Roman" w:cs="Times New Roman"/>
          <w:b/>
          <w:bCs/>
          <w:szCs w:val="24"/>
        </w:rPr>
        <w:t xml:space="preserve"> </w:t>
      </w:r>
      <w:r w:rsidRPr="00ED6690">
        <w:rPr>
          <w:rFonts w:ascii="Times New Roman" w:hAnsi="Times New Roman" w:cs="Times New Roman"/>
          <w:b/>
          <w:bCs/>
          <w:szCs w:val="24"/>
        </w:rPr>
        <w:t xml:space="preserve">Temperature dependences of GB concentration (in </w:t>
      </w:r>
      <w:proofErr w:type="gramStart"/>
      <w:r w:rsidRPr="00ED6690">
        <w:rPr>
          <w:rFonts w:ascii="Times New Roman" w:hAnsi="Times New Roman" w:cs="Times New Roman"/>
          <w:b/>
          <w:bCs/>
          <w:szCs w:val="24"/>
        </w:rPr>
        <w:t>at.%</w:t>
      </w:r>
      <w:proofErr w:type="gramEnd"/>
      <w:r w:rsidRPr="00ED6690">
        <w:rPr>
          <w:rFonts w:ascii="Times New Roman" w:hAnsi="Times New Roman" w:cs="Times New Roman"/>
          <w:b/>
          <w:bCs/>
          <w:szCs w:val="24"/>
        </w:rPr>
        <w:t xml:space="preserve">) predicted with excess entropy from bivariate distribution, </w:t>
      </w:r>
      <w:r w:rsidR="00106552">
        <w:rPr>
          <w:rFonts w:ascii="Times New Roman" w:hAnsi="Times New Roman" w:cs="Times New Roman"/>
          <w:b/>
          <w:bCs/>
          <w:szCs w:val="24"/>
        </w:rPr>
        <w:t xml:space="preserve">linear relationship of Eq. (5) </w:t>
      </w:r>
      <w:r w:rsidR="00480A82">
        <w:rPr>
          <w:rFonts w:ascii="Times New Roman" w:hAnsi="Times New Roman" w:cs="Times New Roman"/>
          <w:b/>
          <w:bCs/>
          <w:szCs w:val="24"/>
        </w:rPr>
        <w:t xml:space="preserve"> </w:t>
      </w:r>
      <w:r w:rsidRPr="00ED6690">
        <w:rPr>
          <w:rFonts w:ascii="Times New Roman" w:hAnsi="Times New Roman" w:cs="Times New Roman"/>
          <w:b/>
          <w:bCs/>
          <w:szCs w:val="24"/>
        </w:rPr>
        <w:t xml:space="preserve">and without excess entropy for </w:t>
      </w:r>
      <w:r>
        <w:rPr>
          <w:rFonts w:ascii="Times New Roman" w:hAnsi="Times New Roman" w:cs="Times New Roman"/>
          <w:b/>
          <w:bCs/>
          <w:szCs w:val="24"/>
        </w:rPr>
        <w:t>Pt</w:t>
      </w:r>
      <w:r w:rsidRPr="00ED6690">
        <w:rPr>
          <w:rFonts w:ascii="Times New Roman" w:hAnsi="Times New Roman" w:cs="Times New Roman"/>
          <w:b/>
          <w:bCs/>
          <w:szCs w:val="24"/>
        </w:rPr>
        <w:t>-based Alloys.</w:t>
      </w:r>
    </w:p>
    <w:p w14:paraId="19C6AC9C" w14:textId="77777777" w:rsidR="00151774" w:rsidRPr="00ED6690" w:rsidRDefault="00151774" w:rsidP="007D1558">
      <w:pPr>
        <w:jc w:val="both"/>
        <w:rPr>
          <w:rFonts w:ascii="Times New Roman" w:hAnsi="Times New Roman" w:cs="Times New Roman"/>
          <w:b/>
          <w:bCs/>
          <w:szCs w:val="24"/>
        </w:rPr>
      </w:pPr>
    </w:p>
    <w:p w14:paraId="49FE2347" w14:textId="77777777" w:rsidR="007D1558" w:rsidRPr="00ED6690" w:rsidRDefault="007D1558" w:rsidP="007C4E3C">
      <w:pPr>
        <w:rPr>
          <w:rFonts w:ascii="Times New Roman" w:hAnsi="Times New Roman" w:cs="Times New Roman"/>
          <w:b/>
          <w:bCs/>
          <w:szCs w:val="24"/>
        </w:rPr>
      </w:pPr>
    </w:p>
    <w:p w14:paraId="0694D821" w14:textId="07AE6B85" w:rsidR="004A37A3" w:rsidRPr="00ED6690" w:rsidRDefault="004A37A3" w:rsidP="004A37A3">
      <w:pPr>
        <w:pStyle w:val="ListParagraph"/>
        <w:numPr>
          <w:ilvl w:val="0"/>
          <w:numId w:val="1"/>
        </w:numPr>
        <w:rPr>
          <w:rFonts w:ascii="Times New Roman" w:hAnsi="Times New Roman" w:cs="Times New Roman"/>
          <w:b/>
          <w:bCs/>
          <w:szCs w:val="24"/>
        </w:rPr>
      </w:pPr>
      <w:r w:rsidRPr="00ED6690">
        <w:rPr>
          <w:rFonts w:ascii="Times New Roman" w:hAnsi="Times New Roman" w:cs="Times New Roman"/>
          <w:b/>
          <w:bCs/>
          <w:szCs w:val="24"/>
        </w:rPr>
        <w:t>References</w:t>
      </w:r>
    </w:p>
    <w:p w14:paraId="7C505232" w14:textId="77777777" w:rsidR="00787647" w:rsidRDefault="003B1A55" w:rsidP="00787647">
      <w:pPr>
        <w:pStyle w:val="Bibliography"/>
      </w:pPr>
      <w:r w:rsidRPr="00ED6690">
        <w:rPr>
          <w:rFonts w:cs="Times New Roman"/>
          <w:b/>
          <w:bCs/>
          <w:sz w:val="22"/>
        </w:rPr>
        <w:fldChar w:fldCharType="begin"/>
      </w:r>
      <w:r w:rsidR="00087841">
        <w:rPr>
          <w:rFonts w:cs="Times New Roman"/>
          <w:b/>
          <w:bCs/>
        </w:rPr>
        <w:instrText xml:space="preserve"> ADDIN ZOTERO_BIBL {"uncited":[],"omitted":[],"custom":[]} CSL_BIBLIOGRAPHY </w:instrText>
      </w:r>
      <w:r w:rsidRPr="00ED6690">
        <w:rPr>
          <w:rFonts w:cs="Times New Roman"/>
          <w:b/>
          <w:bCs/>
          <w:sz w:val="22"/>
        </w:rPr>
        <w:fldChar w:fldCharType="separate"/>
      </w:r>
      <w:r w:rsidR="00787647">
        <w:t>1.</w:t>
      </w:r>
      <w:r w:rsidR="00787647">
        <w:tab/>
        <w:t xml:space="preserve">Tuchinda, N. &amp; Schuh, C. A. The vibrational entropy spectra of grain boundary segregation in polycrystals. </w:t>
      </w:r>
      <w:r w:rsidR="00787647">
        <w:rPr>
          <w:i/>
          <w:iCs/>
        </w:rPr>
        <w:t>Acta Mater.</w:t>
      </w:r>
      <w:r w:rsidR="00787647">
        <w:t xml:space="preserve"> </w:t>
      </w:r>
      <w:r w:rsidR="00787647">
        <w:rPr>
          <w:b/>
          <w:bCs/>
        </w:rPr>
        <w:t>245</w:t>
      </w:r>
      <w:r w:rsidR="00787647">
        <w:t>, 118630 (2023).</w:t>
      </w:r>
    </w:p>
    <w:p w14:paraId="306E370F" w14:textId="77777777" w:rsidR="00787647" w:rsidRDefault="00787647" w:rsidP="00787647">
      <w:pPr>
        <w:pStyle w:val="Bibliography"/>
      </w:pPr>
      <w:r>
        <w:t>2.</w:t>
      </w:r>
      <w:r>
        <w:tab/>
        <w:t xml:space="preserve">Plimpton, S. Fast parallel algorithms for short-range molecular dynamics. </w:t>
      </w:r>
      <w:r>
        <w:rPr>
          <w:i/>
          <w:iCs/>
        </w:rPr>
        <w:t xml:space="preserve">J. </w:t>
      </w:r>
      <w:proofErr w:type="spellStart"/>
      <w:r>
        <w:rPr>
          <w:i/>
          <w:iCs/>
        </w:rPr>
        <w:t>Comput</w:t>
      </w:r>
      <w:proofErr w:type="spellEnd"/>
      <w:r>
        <w:rPr>
          <w:i/>
          <w:iCs/>
        </w:rPr>
        <w:t>. Phys.</w:t>
      </w:r>
      <w:r>
        <w:t xml:space="preserve"> </w:t>
      </w:r>
      <w:r>
        <w:rPr>
          <w:b/>
          <w:bCs/>
        </w:rPr>
        <w:t>117</w:t>
      </w:r>
      <w:r>
        <w:t>, 1–19 (1995).</w:t>
      </w:r>
    </w:p>
    <w:p w14:paraId="0F430DB3" w14:textId="77777777" w:rsidR="00787647" w:rsidRDefault="00787647" w:rsidP="00787647">
      <w:pPr>
        <w:pStyle w:val="Bibliography"/>
      </w:pPr>
      <w:r>
        <w:t>3.</w:t>
      </w:r>
      <w:r>
        <w:tab/>
        <w:t xml:space="preserve">Brown, W. M., Wang, P., Plimpton, S. J. &amp; Tharrington, A. N. Implementing molecular dynamics on hybrid high performance computers–short range forces. </w:t>
      </w:r>
      <w:proofErr w:type="spellStart"/>
      <w:r>
        <w:rPr>
          <w:i/>
          <w:iCs/>
        </w:rPr>
        <w:t>Comput</w:t>
      </w:r>
      <w:proofErr w:type="spellEnd"/>
      <w:r>
        <w:rPr>
          <w:i/>
          <w:iCs/>
        </w:rPr>
        <w:t xml:space="preserve">. Phys. </w:t>
      </w:r>
      <w:proofErr w:type="spellStart"/>
      <w:r>
        <w:rPr>
          <w:i/>
          <w:iCs/>
        </w:rPr>
        <w:t>Commun</w:t>
      </w:r>
      <w:proofErr w:type="spellEnd"/>
      <w:r>
        <w:rPr>
          <w:i/>
          <w:iCs/>
        </w:rPr>
        <w:t>.</w:t>
      </w:r>
      <w:r>
        <w:t xml:space="preserve"> </w:t>
      </w:r>
      <w:r>
        <w:rPr>
          <w:b/>
          <w:bCs/>
        </w:rPr>
        <w:t>182</w:t>
      </w:r>
      <w:r>
        <w:t>, 898–911 (2011).</w:t>
      </w:r>
    </w:p>
    <w:p w14:paraId="1A7137F0" w14:textId="77777777" w:rsidR="00787647" w:rsidRDefault="00787647" w:rsidP="00787647">
      <w:pPr>
        <w:pStyle w:val="Bibliography"/>
      </w:pPr>
      <w:r>
        <w:t>4.</w:t>
      </w:r>
      <w:r>
        <w:tab/>
        <w:t xml:space="preserve">Brown, W. M., Kohlmeyer, A., Plimpton, S. J. &amp; Tharrington, A. N. Implementing molecular dynamics on hybrid high performance computers–Particle–particle particle-mesh. </w:t>
      </w:r>
      <w:proofErr w:type="spellStart"/>
      <w:r>
        <w:rPr>
          <w:i/>
          <w:iCs/>
        </w:rPr>
        <w:t>Comput</w:t>
      </w:r>
      <w:proofErr w:type="spellEnd"/>
      <w:r>
        <w:rPr>
          <w:i/>
          <w:iCs/>
        </w:rPr>
        <w:t xml:space="preserve">. Phys. </w:t>
      </w:r>
      <w:proofErr w:type="spellStart"/>
      <w:r>
        <w:rPr>
          <w:i/>
          <w:iCs/>
        </w:rPr>
        <w:t>Commun</w:t>
      </w:r>
      <w:proofErr w:type="spellEnd"/>
      <w:r>
        <w:rPr>
          <w:i/>
          <w:iCs/>
        </w:rPr>
        <w:t>.</w:t>
      </w:r>
      <w:r>
        <w:t xml:space="preserve"> </w:t>
      </w:r>
      <w:r>
        <w:rPr>
          <w:b/>
          <w:bCs/>
        </w:rPr>
        <w:t>183</w:t>
      </w:r>
      <w:r>
        <w:t>, 449–459 (2012).</w:t>
      </w:r>
    </w:p>
    <w:p w14:paraId="047BB69A" w14:textId="77777777" w:rsidR="00787647" w:rsidRDefault="00787647" w:rsidP="00787647">
      <w:pPr>
        <w:pStyle w:val="Bibliography"/>
      </w:pPr>
      <w:r>
        <w:t>5.</w:t>
      </w:r>
      <w:r>
        <w:tab/>
        <w:t xml:space="preserve">Brown, W. M. &amp; Yamada, M. Implementing molecular dynamics on hybrid high performance computers—three-body potentials. </w:t>
      </w:r>
      <w:proofErr w:type="spellStart"/>
      <w:r>
        <w:rPr>
          <w:i/>
          <w:iCs/>
        </w:rPr>
        <w:t>Comput</w:t>
      </w:r>
      <w:proofErr w:type="spellEnd"/>
      <w:r>
        <w:rPr>
          <w:i/>
          <w:iCs/>
        </w:rPr>
        <w:t xml:space="preserve">. Phys. </w:t>
      </w:r>
      <w:proofErr w:type="spellStart"/>
      <w:r>
        <w:rPr>
          <w:i/>
          <w:iCs/>
        </w:rPr>
        <w:t>Commun</w:t>
      </w:r>
      <w:proofErr w:type="spellEnd"/>
      <w:r>
        <w:rPr>
          <w:i/>
          <w:iCs/>
        </w:rPr>
        <w:t>.</w:t>
      </w:r>
      <w:r>
        <w:t xml:space="preserve"> </w:t>
      </w:r>
      <w:r>
        <w:rPr>
          <w:b/>
          <w:bCs/>
        </w:rPr>
        <w:t>184</w:t>
      </w:r>
      <w:r>
        <w:t>, 2785–2793 (2013).</w:t>
      </w:r>
    </w:p>
    <w:p w14:paraId="1918DF34" w14:textId="77777777" w:rsidR="00787647" w:rsidRDefault="00787647" w:rsidP="00787647">
      <w:pPr>
        <w:pStyle w:val="Bibliography"/>
      </w:pPr>
      <w:r>
        <w:t>6.</w:t>
      </w:r>
      <w:r>
        <w:tab/>
      </w:r>
      <w:proofErr w:type="spellStart"/>
      <w:r>
        <w:t>Bitzek</w:t>
      </w:r>
      <w:proofErr w:type="spellEnd"/>
      <w:r>
        <w:t xml:space="preserve">, E., Koskinen, P., </w:t>
      </w:r>
      <w:proofErr w:type="spellStart"/>
      <w:r>
        <w:t>Gähler</w:t>
      </w:r>
      <w:proofErr w:type="spellEnd"/>
      <w:r>
        <w:t xml:space="preserve">, F., Moseler, M. &amp; </w:t>
      </w:r>
      <w:proofErr w:type="spellStart"/>
      <w:r>
        <w:t>Gumbsch</w:t>
      </w:r>
      <w:proofErr w:type="spellEnd"/>
      <w:r>
        <w:t xml:space="preserve">, P. Structural Relaxation Made Simple. </w:t>
      </w:r>
      <w:r>
        <w:rPr>
          <w:i/>
          <w:iCs/>
        </w:rPr>
        <w:t>Phys. Rev. Lett.</w:t>
      </w:r>
      <w:r>
        <w:t xml:space="preserve"> </w:t>
      </w:r>
      <w:r>
        <w:rPr>
          <w:b/>
          <w:bCs/>
        </w:rPr>
        <w:t>97</w:t>
      </w:r>
      <w:r>
        <w:t>, 170201 (2006).</w:t>
      </w:r>
    </w:p>
    <w:p w14:paraId="6A379CA3" w14:textId="77777777" w:rsidR="00787647" w:rsidRDefault="00787647" w:rsidP="00787647">
      <w:pPr>
        <w:pStyle w:val="Bibliography"/>
      </w:pPr>
      <w:r>
        <w:t>7.</w:t>
      </w:r>
      <w:r>
        <w:tab/>
        <w:t xml:space="preserve">Guénolé, J. </w:t>
      </w:r>
      <w:r>
        <w:rPr>
          <w:i/>
          <w:iCs/>
        </w:rPr>
        <w:t>et al.</w:t>
      </w:r>
      <w:r>
        <w:t xml:space="preserve"> Assessment and optimization of the fast inertial relaxation engine (fire) for energy minimization in atomistic simulations and its implementation in </w:t>
      </w:r>
      <w:proofErr w:type="spellStart"/>
      <w:r>
        <w:t>lammps</w:t>
      </w:r>
      <w:proofErr w:type="spellEnd"/>
      <w:r>
        <w:t xml:space="preserve">. </w:t>
      </w:r>
      <w:proofErr w:type="spellStart"/>
      <w:r>
        <w:rPr>
          <w:i/>
          <w:iCs/>
        </w:rPr>
        <w:t>Comput</w:t>
      </w:r>
      <w:proofErr w:type="spellEnd"/>
      <w:r>
        <w:rPr>
          <w:i/>
          <w:iCs/>
        </w:rPr>
        <w:t>. Mater. Sci.</w:t>
      </w:r>
      <w:r>
        <w:t xml:space="preserve"> </w:t>
      </w:r>
      <w:r>
        <w:rPr>
          <w:b/>
          <w:bCs/>
        </w:rPr>
        <w:t>175</w:t>
      </w:r>
      <w:r>
        <w:t>, 109584 (2020).</w:t>
      </w:r>
    </w:p>
    <w:p w14:paraId="728115BE" w14:textId="77777777" w:rsidR="00787647" w:rsidRDefault="00787647" w:rsidP="00787647">
      <w:pPr>
        <w:pStyle w:val="Bibliography"/>
      </w:pPr>
      <w:r>
        <w:t>8.</w:t>
      </w:r>
      <w:r>
        <w:tab/>
        <w:t xml:space="preserve">Sheng, H. Al-Ag EAM Potential, Private communication. </w:t>
      </w:r>
      <w:r>
        <w:rPr>
          <w:i/>
          <w:iCs/>
        </w:rPr>
        <w:t>https://sites.google.com/site/eampotentials/AlAg</w:t>
      </w:r>
      <w:r>
        <w:t xml:space="preserve"> (2012).</w:t>
      </w:r>
    </w:p>
    <w:p w14:paraId="5D2C15E1" w14:textId="77777777" w:rsidR="00787647" w:rsidRDefault="00787647" w:rsidP="00787647">
      <w:pPr>
        <w:pStyle w:val="Bibliography"/>
      </w:pPr>
      <w:r>
        <w:t>9.</w:t>
      </w:r>
      <w:r>
        <w:tab/>
        <w:t xml:space="preserve">Adams, J. B., Foiles, S. M. &amp; Wolfer, W. G. Self-diffusion and impurity diffusion of fee metals using the five-frequency model and the Embedded Atom Method. </w:t>
      </w:r>
      <w:r>
        <w:rPr>
          <w:i/>
          <w:iCs/>
        </w:rPr>
        <w:t>J. Mater. Res.</w:t>
      </w:r>
      <w:r>
        <w:t xml:space="preserve"> </w:t>
      </w:r>
      <w:r>
        <w:rPr>
          <w:b/>
          <w:bCs/>
        </w:rPr>
        <w:t>4</w:t>
      </w:r>
      <w:r>
        <w:t>, 102–112 (1989).</w:t>
      </w:r>
    </w:p>
    <w:p w14:paraId="7F503C50" w14:textId="77777777" w:rsidR="00787647" w:rsidRDefault="00787647" w:rsidP="00787647">
      <w:pPr>
        <w:pStyle w:val="Bibliography"/>
      </w:pPr>
      <w:r>
        <w:t>10.</w:t>
      </w:r>
      <w:r>
        <w:tab/>
        <w:t xml:space="preserve">Foiles, S. M., Baskes, M. I. &amp; Daw, M. S. Embedded-atom-method functions for the </w:t>
      </w:r>
      <w:proofErr w:type="spellStart"/>
      <w:r>
        <w:t>fcc</w:t>
      </w:r>
      <w:proofErr w:type="spellEnd"/>
      <w:r>
        <w:t xml:space="preserve"> metals Cu, Ag, Au, Ni, Pd, Pt, and their alloys. </w:t>
      </w:r>
      <w:r>
        <w:rPr>
          <w:i/>
          <w:iCs/>
        </w:rPr>
        <w:t>Phys. Rev. B</w:t>
      </w:r>
      <w:r>
        <w:t xml:space="preserve"> </w:t>
      </w:r>
      <w:r>
        <w:rPr>
          <w:b/>
          <w:bCs/>
        </w:rPr>
        <w:t>33</w:t>
      </w:r>
      <w:r>
        <w:t>, 7983–7991 (1986).</w:t>
      </w:r>
    </w:p>
    <w:p w14:paraId="4426D8A0" w14:textId="77777777" w:rsidR="00787647" w:rsidRDefault="00787647" w:rsidP="00787647">
      <w:pPr>
        <w:pStyle w:val="Bibliography"/>
      </w:pPr>
      <w:r>
        <w:t>11.</w:t>
      </w:r>
      <w:r>
        <w:tab/>
        <w:t xml:space="preserve">Fujita, T. </w:t>
      </w:r>
      <w:r>
        <w:rPr>
          <w:i/>
          <w:iCs/>
        </w:rPr>
        <w:t>et al.</w:t>
      </w:r>
      <w:r>
        <w:t xml:space="preserve"> Coupling between chemical and dynamic heterogeneities in a multicomponent bulk metallic glass. </w:t>
      </w:r>
      <w:r>
        <w:rPr>
          <w:i/>
          <w:iCs/>
        </w:rPr>
        <w:t>Phys. Rev. B</w:t>
      </w:r>
      <w:r>
        <w:t xml:space="preserve"> </w:t>
      </w:r>
      <w:r>
        <w:rPr>
          <w:b/>
          <w:bCs/>
        </w:rPr>
        <w:t>81</w:t>
      </w:r>
      <w:r>
        <w:t>, 140204 (2010).</w:t>
      </w:r>
    </w:p>
    <w:p w14:paraId="21514CDE" w14:textId="77777777" w:rsidR="00787647" w:rsidRDefault="00787647" w:rsidP="00787647">
      <w:pPr>
        <w:pStyle w:val="Bibliography"/>
      </w:pPr>
      <w:r>
        <w:t>12.</w:t>
      </w:r>
      <w:r>
        <w:tab/>
        <w:t xml:space="preserve">Williams, P. L., Mishin, Y. &amp; Hamilton, J. C. An embedded-atom potential for the Cu–Ag system. </w:t>
      </w:r>
      <w:r>
        <w:rPr>
          <w:i/>
          <w:iCs/>
        </w:rPr>
        <w:t>Model. Simul. Mater. Sci. Eng.</w:t>
      </w:r>
      <w:r>
        <w:t xml:space="preserve"> </w:t>
      </w:r>
      <w:r>
        <w:rPr>
          <w:b/>
          <w:bCs/>
        </w:rPr>
        <w:t>14</w:t>
      </w:r>
      <w:r>
        <w:t>, 817 (2006).</w:t>
      </w:r>
    </w:p>
    <w:p w14:paraId="46FE92DA" w14:textId="77777777" w:rsidR="00787647" w:rsidRDefault="00787647" w:rsidP="00787647">
      <w:pPr>
        <w:pStyle w:val="Bibliography"/>
      </w:pPr>
      <w:r>
        <w:t>13.</w:t>
      </w:r>
      <w:r>
        <w:tab/>
        <w:t xml:space="preserve">Wu, H. H. &amp; Trinkle, D. R. Cu/Ag EAM potential optimized for heteroepitaxial diffusion from ab initio data. </w:t>
      </w:r>
      <w:proofErr w:type="spellStart"/>
      <w:r>
        <w:rPr>
          <w:i/>
          <w:iCs/>
        </w:rPr>
        <w:t>Comput</w:t>
      </w:r>
      <w:proofErr w:type="spellEnd"/>
      <w:r>
        <w:rPr>
          <w:i/>
          <w:iCs/>
        </w:rPr>
        <w:t>. Mater. Sci.</w:t>
      </w:r>
      <w:r>
        <w:t xml:space="preserve"> </w:t>
      </w:r>
      <w:r>
        <w:rPr>
          <w:b/>
          <w:bCs/>
        </w:rPr>
        <w:t>47</w:t>
      </w:r>
      <w:r>
        <w:t>, 577–583 (2009).</w:t>
      </w:r>
    </w:p>
    <w:p w14:paraId="2F54837F" w14:textId="77777777" w:rsidR="00787647" w:rsidRDefault="00787647" w:rsidP="00787647">
      <w:pPr>
        <w:pStyle w:val="Bibliography"/>
      </w:pPr>
      <w:r>
        <w:t>14.</w:t>
      </w:r>
      <w:r>
        <w:tab/>
        <w:t xml:space="preserve">Pan, Z., </w:t>
      </w:r>
      <w:proofErr w:type="spellStart"/>
      <w:r>
        <w:t>Borovikov</w:t>
      </w:r>
      <w:proofErr w:type="spellEnd"/>
      <w:r>
        <w:t xml:space="preserve">, V., </w:t>
      </w:r>
      <w:proofErr w:type="spellStart"/>
      <w:r>
        <w:t>Mendelev</w:t>
      </w:r>
      <w:proofErr w:type="spellEnd"/>
      <w:r>
        <w:t xml:space="preserve">, M. I. &amp; </w:t>
      </w:r>
      <w:proofErr w:type="spellStart"/>
      <w:r>
        <w:t>Sansoz</w:t>
      </w:r>
      <w:proofErr w:type="spellEnd"/>
      <w:r>
        <w:t xml:space="preserve">, F. Development of a semi-empirical potential for simulation of Ni solute segregation into grain boundaries in Ag. </w:t>
      </w:r>
      <w:r>
        <w:rPr>
          <w:i/>
          <w:iCs/>
        </w:rPr>
        <w:t>Model. Simul. Mater. Sci. Eng.</w:t>
      </w:r>
      <w:r>
        <w:t xml:space="preserve"> </w:t>
      </w:r>
      <w:r>
        <w:rPr>
          <w:b/>
          <w:bCs/>
        </w:rPr>
        <w:t>26</w:t>
      </w:r>
      <w:r>
        <w:t>, 075004 (2018).</w:t>
      </w:r>
    </w:p>
    <w:p w14:paraId="584571DB" w14:textId="77777777" w:rsidR="00787647" w:rsidRDefault="00787647" w:rsidP="00787647">
      <w:pPr>
        <w:pStyle w:val="Bibliography"/>
      </w:pPr>
      <w:r>
        <w:t>15.</w:t>
      </w:r>
      <w:r>
        <w:tab/>
        <w:t xml:space="preserve">Farkas, D. &amp; Caro, A. Model interatomic potentials for Fe–Ni–Cr–Co–Al high-entropy alloys. </w:t>
      </w:r>
      <w:r>
        <w:rPr>
          <w:i/>
          <w:iCs/>
        </w:rPr>
        <w:t>J. Mater. Res.</w:t>
      </w:r>
      <w:r>
        <w:t xml:space="preserve"> </w:t>
      </w:r>
      <w:r>
        <w:rPr>
          <w:b/>
          <w:bCs/>
        </w:rPr>
        <w:t>35</w:t>
      </w:r>
      <w:r>
        <w:t>, 3031–3040 (2020).</w:t>
      </w:r>
    </w:p>
    <w:p w14:paraId="7B2DCCC6" w14:textId="77777777" w:rsidR="00787647" w:rsidRDefault="00787647" w:rsidP="00787647">
      <w:pPr>
        <w:pStyle w:val="Bibliography"/>
      </w:pPr>
      <w:r>
        <w:t>16.</w:t>
      </w:r>
      <w:r>
        <w:tab/>
      </w:r>
      <w:proofErr w:type="spellStart"/>
      <w:r>
        <w:t>Purja</w:t>
      </w:r>
      <w:proofErr w:type="spellEnd"/>
      <w:r>
        <w:t xml:space="preserve"> Pun, G. P., </w:t>
      </w:r>
      <w:proofErr w:type="spellStart"/>
      <w:r>
        <w:t>Yamakov</w:t>
      </w:r>
      <w:proofErr w:type="spellEnd"/>
      <w:r>
        <w:t xml:space="preserve">, V. &amp; Mishin, Y. Interatomic potential for the ternary Ni–Al–Co system and application to atomistic modeling of the B2–L1 </w:t>
      </w:r>
      <w:r>
        <w:rPr>
          <w:vertAlign w:val="subscript"/>
        </w:rPr>
        <w:t>0</w:t>
      </w:r>
      <w:r>
        <w:t xml:space="preserve"> martensitic transformation. </w:t>
      </w:r>
      <w:r>
        <w:rPr>
          <w:i/>
          <w:iCs/>
        </w:rPr>
        <w:t>Model. Simul. Mater. Sci. Eng.</w:t>
      </w:r>
      <w:r>
        <w:t xml:space="preserve"> </w:t>
      </w:r>
      <w:r>
        <w:rPr>
          <w:b/>
          <w:bCs/>
        </w:rPr>
        <w:t>23</w:t>
      </w:r>
      <w:r>
        <w:t>, 065006 (2015).</w:t>
      </w:r>
    </w:p>
    <w:p w14:paraId="2715CF8D" w14:textId="77777777" w:rsidR="00787647" w:rsidRDefault="00787647" w:rsidP="00787647">
      <w:pPr>
        <w:pStyle w:val="Bibliography"/>
      </w:pPr>
      <w:r>
        <w:t>17.</w:t>
      </w:r>
      <w:r>
        <w:tab/>
        <w:t xml:space="preserve">Cheng, Y. Q., Ma, E. &amp; Sheng, H. W. Atomic Level Structure in Multicomponent Bulk Metallic Glass. </w:t>
      </w:r>
      <w:r>
        <w:rPr>
          <w:i/>
          <w:iCs/>
        </w:rPr>
        <w:t>Phys. Rev. Lett.</w:t>
      </w:r>
      <w:r>
        <w:t xml:space="preserve"> </w:t>
      </w:r>
      <w:r>
        <w:rPr>
          <w:b/>
          <w:bCs/>
        </w:rPr>
        <w:t>102</w:t>
      </w:r>
      <w:r>
        <w:t>, 245501 (2009).</w:t>
      </w:r>
    </w:p>
    <w:p w14:paraId="0AC82560" w14:textId="77777777" w:rsidR="00787647" w:rsidRDefault="00787647" w:rsidP="00787647">
      <w:pPr>
        <w:pStyle w:val="Bibliography"/>
      </w:pPr>
      <w:r>
        <w:t>18.</w:t>
      </w:r>
      <w:r>
        <w:tab/>
        <w:t xml:space="preserve">Liu, X.-Y., Liu, C.-L. &amp; Borucki, L. J. A new investigation of copper’s role in enhancing Al–Cu interconnect electromigration resistance from an atomistic view. </w:t>
      </w:r>
      <w:r>
        <w:rPr>
          <w:i/>
          <w:iCs/>
        </w:rPr>
        <w:t>Acta Mater.</w:t>
      </w:r>
      <w:r>
        <w:t xml:space="preserve"> </w:t>
      </w:r>
      <w:r>
        <w:rPr>
          <w:b/>
          <w:bCs/>
        </w:rPr>
        <w:t>47</w:t>
      </w:r>
      <w:r>
        <w:t>, 3227–3231 (1999).</w:t>
      </w:r>
    </w:p>
    <w:p w14:paraId="3B4E7C7D" w14:textId="77777777" w:rsidR="00787647" w:rsidRDefault="00787647" w:rsidP="00787647">
      <w:pPr>
        <w:pStyle w:val="Bibliography"/>
      </w:pPr>
      <w:r>
        <w:t>19.</w:t>
      </w:r>
      <w:r>
        <w:tab/>
      </w:r>
      <w:proofErr w:type="spellStart"/>
      <w:r>
        <w:t>Mendelev</w:t>
      </w:r>
      <w:proofErr w:type="spellEnd"/>
      <w:r>
        <w:t xml:space="preserve">, M. I., </w:t>
      </w:r>
      <w:proofErr w:type="spellStart"/>
      <w:r>
        <w:t>Srolovitz</w:t>
      </w:r>
      <w:proofErr w:type="spellEnd"/>
      <w:r>
        <w:t xml:space="preserve">, D. J., Ackland, G. J. &amp; Han, S. Effect of Fe Segregation on the Migration of a Non-Symmetric Σ5 Tilt Grain Boundary in Al. </w:t>
      </w:r>
      <w:r>
        <w:rPr>
          <w:i/>
          <w:iCs/>
        </w:rPr>
        <w:t>J. Mater. Res.</w:t>
      </w:r>
      <w:r>
        <w:t xml:space="preserve"> </w:t>
      </w:r>
      <w:r>
        <w:rPr>
          <w:b/>
          <w:bCs/>
        </w:rPr>
        <w:t>20</w:t>
      </w:r>
      <w:r>
        <w:t>, 208–218 (2005).</w:t>
      </w:r>
    </w:p>
    <w:p w14:paraId="4D0A8C1E" w14:textId="77777777" w:rsidR="00787647" w:rsidRDefault="00787647" w:rsidP="00787647">
      <w:pPr>
        <w:pStyle w:val="Bibliography"/>
      </w:pPr>
      <w:r>
        <w:t>20.</w:t>
      </w:r>
      <w:r>
        <w:tab/>
        <w:t xml:space="preserve">Liu, X.-Y., Ohotnicky, P. P., Adams, J. B., Rohrer, C. L. &amp; Hyland, R. W. Anisotropic surface segregation in </w:t>
      </w:r>
      <w:proofErr w:type="spellStart"/>
      <w:r>
        <w:t>AlMg</w:t>
      </w:r>
      <w:proofErr w:type="spellEnd"/>
      <w:r>
        <w:t xml:space="preserve"> alloys. </w:t>
      </w:r>
      <w:r>
        <w:rPr>
          <w:i/>
          <w:iCs/>
        </w:rPr>
        <w:t>Surf. Sci.</w:t>
      </w:r>
      <w:r>
        <w:t xml:space="preserve"> </w:t>
      </w:r>
      <w:r>
        <w:rPr>
          <w:b/>
          <w:bCs/>
        </w:rPr>
        <w:t>373</w:t>
      </w:r>
      <w:r>
        <w:t>, 357–370 (1997).</w:t>
      </w:r>
    </w:p>
    <w:p w14:paraId="28AE4A65" w14:textId="77777777" w:rsidR="00787647" w:rsidRDefault="00787647" w:rsidP="00787647">
      <w:pPr>
        <w:pStyle w:val="Bibliography"/>
      </w:pPr>
      <w:r>
        <w:t>21.</w:t>
      </w:r>
      <w:r>
        <w:tab/>
        <w:t xml:space="preserve">Liu, X.-Y. &amp; Adams, J. B. Grain-boundary segregation in Al–10%Mg alloys at hot working temperatures. </w:t>
      </w:r>
      <w:r>
        <w:rPr>
          <w:i/>
          <w:iCs/>
        </w:rPr>
        <w:t>Acta Mater.</w:t>
      </w:r>
      <w:r>
        <w:t xml:space="preserve"> </w:t>
      </w:r>
      <w:r>
        <w:rPr>
          <w:b/>
          <w:bCs/>
        </w:rPr>
        <w:t>46</w:t>
      </w:r>
      <w:r>
        <w:t>, 3467–3476 (1998).</w:t>
      </w:r>
    </w:p>
    <w:p w14:paraId="4168C2F5" w14:textId="77777777" w:rsidR="00787647" w:rsidRDefault="00787647" w:rsidP="00787647">
      <w:pPr>
        <w:pStyle w:val="Bibliography"/>
      </w:pPr>
      <w:r>
        <w:t>22.</w:t>
      </w:r>
      <w:r>
        <w:tab/>
      </w:r>
      <w:proofErr w:type="spellStart"/>
      <w:r>
        <w:t>Mendelev</w:t>
      </w:r>
      <w:proofErr w:type="spellEnd"/>
      <w:r>
        <w:t xml:space="preserve">, M. I., Asta, M., Rahman, M. J. &amp; Hoyt, J. J. Development of interatomic potentials appropriate for simulation of solid–liquid interface properties in Al–Mg alloys. </w:t>
      </w:r>
      <w:r>
        <w:rPr>
          <w:i/>
          <w:iCs/>
        </w:rPr>
        <w:t>Philos. Mag.</w:t>
      </w:r>
      <w:r>
        <w:t xml:space="preserve"> </w:t>
      </w:r>
      <w:r>
        <w:rPr>
          <w:b/>
          <w:bCs/>
        </w:rPr>
        <w:t>89</w:t>
      </w:r>
      <w:r>
        <w:t>, 3269–3285 (2009).</w:t>
      </w:r>
    </w:p>
    <w:p w14:paraId="6B0C08AB" w14:textId="77777777" w:rsidR="00787647" w:rsidRDefault="00787647" w:rsidP="00787647">
      <w:pPr>
        <w:pStyle w:val="Bibliography"/>
      </w:pPr>
      <w:r>
        <w:t>23.</w:t>
      </w:r>
      <w:r>
        <w:tab/>
        <w:t xml:space="preserve">Mishin, Y., Mehl, M. J. &amp; </w:t>
      </w:r>
      <w:proofErr w:type="spellStart"/>
      <w:r>
        <w:t>Papaconstantopoulos</w:t>
      </w:r>
      <w:proofErr w:type="spellEnd"/>
      <w:r>
        <w:t xml:space="preserve">, D. A. Embedded-atom potential for B 2 − NiAl. </w:t>
      </w:r>
      <w:r>
        <w:rPr>
          <w:i/>
          <w:iCs/>
        </w:rPr>
        <w:t>Phys. Rev. B</w:t>
      </w:r>
      <w:r>
        <w:t xml:space="preserve"> </w:t>
      </w:r>
      <w:r>
        <w:rPr>
          <w:b/>
          <w:bCs/>
        </w:rPr>
        <w:t>65</w:t>
      </w:r>
      <w:r>
        <w:t>, 224114 (2002).</w:t>
      </w:r>
    </w:p>
    <w:p w14:paraId="47B575E4" w14:textId="77777777" w:rsidR="00787647" w:rsidRDefault="00787647" w:rsidP="00787647">
      <w:pPr>
        <w:pStyle w:val="Bibliography"/>
      </w:pPr>
      <w:r>
        <w:t>24.</w:t>
      </w:r>
      <w:r>
        <w:tab/>
        <w:t xml:space="preserve">Mishin, Y. Atomistic modeling of the γ and γ′-phases of the Ni–Al system. </w:t>
      </w:r>
      <w:r>
        <w:rPr>
          <w:i/>
          <w:iCs/>
        </w:rPr>
        <w:t>Acta Mater.</w:t>
      </w:r>
      <w:r>
        <w:t xml:space="preserve"> </w:t>
      </w:r>
      <w:r>
        <w:rPr>
          <w:b/>
          <w:bCs/>
        </w:rPr>
        <w:t>52</w:t>
      </w:r>
      <w:r>
        <w:t>, 1451–1467 (2004).</w:t>
      </w:r>
    </w:p>
    <w:p w14:paraId="177889B7" w14:textId="77777777" w:rsidR="00787647" w:rsidRDefault="00787647" w:rsidP="00787647">
      <w:pPr>
        <w:pStyle w:val="Bibliography"/>
      </w:pPr>
      <w:r>
        <w:t>25.</w:t>
      </w:r>
      <w:r>
        <w:tab/>
      </w:r>
      <w:proofErr w:type="spellStart"/>
      <w:r>
        <w:t>Purja</w:t>
      </w:r>
      <w:proofErr w:type="spellEnd"/>
      <w:r>
        <w:t xml:space="preserve"> Pun, G. P. &amp; Mishin, Y. Development of an interatomic potential for the Ni-Al system. </w:t>
      </w:r>
      <w:r>
        <w:rPr>
          <w:i/>
          <w:iCs/>
        </w:rPr>
        <w:t>Philos. Mag.</w:t>
      </w:r>
      <w:r>
        <w:t xml:space="preserve"> </w:t>
      </w:r>
      <w:r>
        <w:rPr>
          <w:b/>
          <w:bCs/>
        </w:rPr>
        <w:t>89</w:t>
      </w:r>
      <w:r>
        <w:t>, 3245–3267 (2009).</w:t>
      </w:r>
    </w:p>
    <w:p w14:paraId="0647FBD0" w14:textId="77777777" w:rsidR="00787647" w:rsidRDefault="00787647" w:rsidP="00787647">
      <w:pPr>
        <w:pStyle w:val="Bibliography"/>
      </w:pPr>
      <w:r>
        <w:t>26.</w:t>
      </w:r>
      <w:r>
        <w:tab/>
        <w:t xml:space="preserve">Landa, A. </w:t>
      </w:r>
      <w:r>
        <w:rPr>
          <w:i/>
          <w:iCs/>
        </w:rPr>
        <w:t>et al.</w:t>
      </w:r>
      <w:r>
        <w:t xml:space="preserve"> Development of glue-type potentials for the Al–Pb system: phase diagram calculation. </w:t>
      </w:r>
      <w:r>
        <w:rPr>
          <w:i/>
          <w:iCs/>
        </w:rPr>
        <w:t>Acta Mater.</w:t>
      </w:r>
      <w:r>
        <w:t xml:space="preserve"> </w:t>
      </w:r>
      <w:r>
        <w:rPr>
          <w:b/>
          <w:bCs/>
        </w:rPr>
        <w:t>48</w:t>
      </w:r>
      <w:r>
        <w:t>, 1753–1761 (2000).</w:t>
      </w:r>
    </w:p>
    <w:p w14:paraId="1294153C" w14:textId="77777777" w:rsidR="00787647" w:rsidRDefault="00787647" w:rsidP="00787647">
      <w:pPr>
        <w:pStyle w:val="Bibliography"/>
      </w:pPr>
      <w:r>
        <w:t>27.</w:t>
      </w:r>
      <w:r>
        <w:tab/>
      </w:r>
      <w:proofErr w:type="spellStart"/>
      <w:r>
        <w:t>Mendelev</w:t>
      </w:r>
      <w:proofErr w:type="spellEnd"/>
      <w:r>
        <w:t xml:space="preserve">, M. I. </w:t>
      </w:r>
      <w:r>
        <w:rPr>
          <w:i/>
          <w:iCs/>
        </w:rPr>
        <w:t>et al.</w:t>
      </w:r>
      <w:r>
        <w:t xml:space="preserve"> Development of interatomic potentials appropriate for simulation of devitrification of Al90Sm10 alloy. </w:t>
      </w:r>
      <w:r>
        <w:rPr>
          <w:i/>
          <w:iCs/>
        </w:rPr>
        <w:t>Model. Simul. Mater. Sci. Eng.</w:t>
      </w:r>
      <w:r>
        <w:t xml:space="preserve"> </w:t>
      </w:r>
      <w:r>
        <w:rPr>
          <w:b/>
          <w:bCs/>
        </w:rPr>
        <w:t>23</w:t>
      </w:r>
      <w:r>
        <w:t>, 045013 (2015).</w:t>
      </w:r>
    </w:p>
    <w:p w14:paraId="55FF5AE3" w14:textId="77777777" w:rsidR="00787647" w:rsidRDefault="00787647" w:rsidP="00787647">
      <w:pPr>
        <w:pStyle w:val="Bibliography"/>
      </w:pPr>
      <w:r>
        <w:t>28.</w:t>
      </w:r>
      <w:r>
        <w:tab/>
        <w:t xml:space="preserve">Song, H. &amp; </w:t>
      </w:r>
      <w:proofErr w:type="spellStart"/>
      <w:r>
        <w:t>Mendelev</w:t>
      </w:r>
      <w:proofErr w:type="spellEnd"/>
      <w:r>
        <w:t xml:space="preserve">, M. I. Molecular Dynamics Study of Mechanism of Solid–Liquid Interface Migration and Defect Formation in Al3Sm Alloy. </w:t>
      </w:r>
      <w:r>
        <w:rPr>
          <w:i/>
          <w:iCs/>
        </w:rPr>
        <w:t>JOM</w:t>
      </w:r>
      <w:r>
        <w:t xml:space="preserve"> </w:t>
      </w:r>
      <w:r>
        <w:rPr>
          <w:b/>
          <w:bCs/>
        </w:rPr>
        <w:t>73</w:t>
      </w:r>
      <w:r>
        <w:t>, 2312–2319 (2021).</w:t>
      </w:r>
    </w:p>
    <w:p w14:paraId="404EAA3B" w14:textId="77777777" w:rsidR="00787647" w:rsidRDefault="00787647" w:rsidP="00787647">
      <w:pPr>
        <w:pStyle w:val="Bibliography"/>
      </w:pPr>
      <w:r>
        <w:t>29.</w:t>
      </w:r>
      <w:r>
        <w:tab/>
        <w:t xml:space="preserve">Farkas, D. &amp; Jones, C. Interatomic potentials for ternary Nb - Ti - Al alloys. </w:t>
      </w:r>
      <w:r>
        <w:rPr>
          <w:i/>
          <w:iCs/>
        </w:rPr>
        <w:t>Model. Simul. Mater. Sci. Eng.</w:t>
      </w:r>
      <w:r>
        <w:t xml:space="preserve"> </w:t>
      </w:r>
      <w:r>
        <w:rPr>
          <w:b/>
          <w:bCs/>
        </w:rPr>
        <w:t>4</w:t>
      </w:r>
      <w:r>
        <w:t>, 23–32 (1996).</w:t>
      </w:r>
    </w:p>
    <w:p w14:paraId="24E56543" w14:textId="77777777" w:rsidR="00787647" w:rsidRDefault="00787647" w:rsidP="00787647">
      <w:pPr>
        <w:pStyle w:val="Bibliography"/>
      </w:pPr>
      <w:r>
        <w:t>30.</w:t>
      </w:r>
      <w:r>
        <w:tab/>
      </w:r>
      <w:proofErr w:type="spellStart"/>
      <w:r>
        <w:t>Zope</w:t>
      </w:r>
      <w:proofErr w:type="spellEnd"/>
      <w:r>
        <w:t xml:space="preserve">, R. R. &amp; Mishin, Y. Interatomic potentials for atomistic simulations of the Ti-Al system. </w:t>
      </w:r>
      <w:r>
        <w:rPr>
          <w:i/>
          <w:iCs/>
        </w:rPr>
        <w:t>Phys. Rev. B</w:t>
      </w:r>
      <w:r>
        <w:t xml:space="preserve"> </w:t>
      </w:r>
      <w:r>
        <w:rPr>
          <w:b/>
          <w:bCs/>
        </w:rPr>
        <w:t>68</w:t>
      </w:r>
      <w:r>
        <w:t>, 024102 (2003).</w:t>
      </w:r>
    </w:p>
    <w:p w14:paraId="0F6A8E4A" w14:textId="77777777" w:rsidR="00787647" w:rsidRDefault="00787647" w:rsidP="00787647">
      <w:pPr>
        <w:pStyle w:val="Bibliography"/>
      </w:pPr>
      <w:r>
        <w:t>31.</w:t>
      </w:r>
      <w:r>
        <w:tab/>
      </w:r>
      <w:proofErr w:type="spellStart"/>
      <w:r>
        <w:t>Deluigi</w:t>
      </w:r>
      <w:proofErr w:type="spellEnd"/>
      <w:r>
        <w:t xml:space="preserve">, O. R. </w:t>
      </w:r>
      <w:r>
        <w:rPr>
          <w:i/>
          <w:iCs/>
        </w:rPr>
        <w:t>et al.</w:t>
      </w:r>
      <w:r>
        <w:t xml:space="preserve"> Simulations of primary damage in a High Entropy Alloy: Probing enhanced radiation resistance. </w:t>
      </w:r>
      <w:r>
        <w:rPr>
          <w:i/>
          <w:iCs/>
        </w:rPr>
        <w:t>Acta Mater.</w:t>
      </w:r>
      <w:r>
        <w:t xml:space="preserve"> </w:t>
      </w:r>
      <w:r>
        <w:rPr>
          <w:b/>
          <w:bCs/>
        </w:rPr>
        <w:t>213</w:t>
      </w:r>
      <w:r>
        <w:t>, 116951 (2021).</w:t>
      </w:r>
    </w:p>
    <w:p w14:paraId="05E16349" w14:textId="77777777" w:rsidR="00787647" w:rsidRDefault="00787647" w:rsidP="00787647">
      <w:pPr>
        <w:pStyle w:val="Bibliography"/>
      </w:pPr>
      <w:r>
        <w:t>32.</w:t>
      </w:r>
      <w:r>
        <w:tab/>
        <w:t xml:space="preserve">Farkas, D. &amp; Caro, A. Model interatomic potentials and lattice strain in a high-entropy alloy. </w:t>
      </w:r>
      <w:r>
        <w:rPr>
          <w:i/>
          <w:iCs/>
        </w:rPr>
        <w:t>J. Mater. Res.</w:t>
      </w:r>
      <w:r>
        <w:t xml:space="preserve"> </w:t>
      </w:r>
      <w:r>
        <w:rPr>
          <w:b/>
          <w:bCs/>
        </w:rPr>
        <w:t>33</w:t>
      </w:r>
      <w:r>
        <w:t>, 3218–3225 (2018).</w:t>
      </w:r>
    </w:p>
    <w:p w14:paraId="32AA960D" w14:textId="77777777" w:rsidR="00787647" w:rsidRDefault="00787647" w:rsidP="00787647">
      <w:pPr>
        <w:pStyle w:val="Bibliography"/>
      </w:pPr>
      <w:r>
        <w:t>33.</w:t>
      </w:r>
      <w:r>
        <w:tab/>
        <w:t xml:space="preserve">Bonny, G., </w:t>
      </w:r>
      <w:proofErr w:type="spellStart"/>
      <w:r>
        <w:t>Pasianot</w:t>
      </w:r>
      <w:proofErr w:type="spellEnd"/>
      <w:r>
        <w:t xml:space="preserve">, R. C., Castin, N. &amp; Malerba, L. Ternary Fe–Cu–Ni many-body potential to model reactor pressure vessel steels: First validation by simulated thermal annealing. </w:t>
      </w:r>
      <w:r>
        <w:rPr>
          <w:i/>
          <w:iCs/>
        </w:rPr>
        <w:t>Philos. Mag.</w:t>
      </w:r>
      <w:r>
        <w:t xml:space="preserve"> </w:t>
      </w:r>
      <w:r>
        <w:rPr>
          <w:b/>
          <w:bCs/>
        </w:rPr>
        <w:t>89</w:t>
      </w:r>
      <w:r>
        <w:t>, 3531–3546 (2009).</w:t>
      </w:r>
    </w:p>
    <w:p w14:paraId="554B42D8" w14:textId="77777777" w:rsidR="00787647" w:rsidRDefault="00787647" w:rsidP="00787647">
      <w:pPr>
        <w:pStyle w:val="Bibliography"/>
      </w:pPr>
      <w:r>
        <w:t>34.</w:t>
      </w:r>
      <w:r>
        <w:tab/>
        <w:t xml:space="preserve">Fischer, F., Schmitz, G. &amp; Eich, S. M. A systematic study of grain boundary segregation and grain boundary formation energy using a new copper–nickel embedded-atom potential. </w:t>
      </w:r>
      <w:r>
        <w:rPr>
          <w:i/>
          <w:iCs/>
        </w:rPr>
        <w:t>Acta Mater.</w:t>
      </w:r>
      <w:r>
        <w:t xml:space="preserve"> </w:t>
      </w:r>
      <w:r>
        <w:rPr>
          <w:b/>
          <w:bCs/>
        </w:rPr>
        <w:t>176</w:t>
      </w:r>
      <w:r>
        <w:t>, 220–231 (2019).</w:t>
      </w:r>
    </w:p>
    <w:p w14:paraId="4350354E" w14:textId="77777777" w:rsidR="00787647" w:rsidRDefault="00787647" w:rsidP="00787647">
      <w:pPr>
        <w:pStyle w:val="Bibliography"/>
      </w:pPr>
      <w:r>
        <w:t>35.</w:t>
      </w:r>
      <w:r>
        <w:tab/>
        <w:t xml:space="preserve">Foiles, S. M. Calculation of the surface segregation of Ni-Cu alloys with the use of the embedded-atom method. </w:t>
      </w:r>
      <w:r>
        <w:rPr>
          <w:i/>
          <w:iCs/>
        </w:rPr>
        <w:t>Phys. Rev. B</w:t>
      </w:r>
      <w:r>
        <w:t xml:space="preserve"> </w:t>
      </w:r>
      <w:r>
        <w:rPr>
          <w:b/>
          <w:bCs/>
        </w:rPr>
        <w:t>32</w:t>
      </w:r>
      <w:r>
        <w:t>, 7685–7693 (1985).</w:t>
      </w:r>
    </w:p>
    <w:p w14:paraId="7719CD32" w14:textId="77777777" w:rsidR="00787647" w:rsidRDefault="00787647" w:rsidP="00787647">
      <w:pPr>
        <w:pStyle w:val="Bibliography"/>
      </w:pPr>
      <w:r>
        <w:t>36.</w:t>
      </w:r>
      <w:r>
        <w:tab/>
        <w:t xml:space="preserve">Onat, B. &amp; </w:t>
      </w:r>
      <w:proofErr w:type="spellStart"/>
      <w:r>
        <w:t>Durukanoğlu</w:t>
      </w:r>
      <w:proofErr w:type="spellEnd"/>
      <w:r>
        <w:t xml:space="preserve">, S. An optimized interatomic potential for Cu–Ni alloys with the embedded-atom method. </w:t>
      </w:r>
      <w:r>
        <w:rPr>
          <w:i/>
          <w:iCs/>
        </w:rPr>
        <w:t xml:space="preserve">J. Phys. </w:t>
      </w:r>
      <w:proofErr w:type="spellStart"/>
      <w:r>
        <w:rPr>
          <w:i/>
          <w:iCs/>
        </w:rPr>
        <w:t>Condens</w:t>
      </w:r>
      <w:proofErr w:type="spellEnd"/>
      <w:r>
        <w:rPr>
          <w:i/>
          <w:iCs/>
        </w:rPr>
        <w:t>. Matter</w:t>
      </w:r>
      <w:r>
        <w:t xml:space="preserve"> </w:t>
      </w:r>
      <w:r>
        <w:rPr>
          <w:b/>
          <w:bCs/>
        </w:rPr>
        <w:t>26</w:t>
      </w:r>
      <w:r>
        <w:t>, 035404 (2013).</w:t>
      </w:r>
    </w:p>
    <w:p w14:paraId="33E1EB87" w14:textId="77777777" w:rsidR="00787647" w:rsidRDefault="00787647" w:rsidP="00787647">
      <w:pPr>
        <w:pStyle w:val="Bibliography"/>
      </w:pPr>
      <w:r>
        <w:t>37.</w:t>
      </w:r>
      <w:r>
        <w:tab/>
        <w:t xml:space="preserve">Hoyt, J. J., Garvin, J. W., Webb, E. B. &amp; Asta, M. An embedded atom method interatomic potential for the Cu Pb system. </w:t>
      </w:r>
      <w:r>
        <w:rPr>
          <w:i/>
          <w:iCs/>
        </w:rPr>
        <w:t>Model. Simul. Mater. Sci. Eng.</w:t>
      </w:r>
      <w:r>
        <w:t xml:space="preserve"> </w:t>
      </w:r>
      <w:r>
        <w:rPr>
          <w:b/>
          <w:bCs/>
        </w:rPr>
        <w:t>11</w:t>
      </w:r>
      <w:r>
        <w:t>, 287–299 (2003).</w:t>
      </w:r>
    </w:p>
    <w:p w14:paraId="7D157753" w14:textId="77777777" w:rsidR="00787647" w:rsidRDefault="00787647" w:rsidP="00787647">
      <w:pPr>
        <w:pStyle w:val="Bibliography"/>
      </w:pPr>
      <w:r>
        <w:t>38.</w:t>
      </w:r>
      <w:r>
        <w:tab/>
      </w:r>
      <w:proofErr w:type="spellStart"/>
      <w:r>
        <w:t>Borovikov</w:t>
      </w:r>
      <w:proofErr w:type="spellEnd"/>
      <w:r>
        <w:t xml:space="preserve">, V., </w:t>
      </w:r>
      <w:proofErr w:type="spellStart"/>
      <w:r>
        <w:t>Mendelev</w:t>
      </w:r>
      <w:proofErr w:type="spellEnd"/>
      <w:r>
        <w:t xml:space="preserve">, M. I. &amp; King, A. H. Effects of stable and unstable stacking fault energy on dislocation nucleation in nano-crystalline metals. </w:t>
      </w:r>
      <w:r>
        <w:rPr>
          <w:i/>
          <w:iCs/>
        </w:rPr>
        <w:t>Model. Simul. Mater. Sci. Eng.</w:t>
      </w:r>
      <w:r>
        <w:t xml:space="preserve"> </w:t>
      </w:r>
      <w:r>
        <w:rPr>
          <w:b/>
          <w:bCs/>
        </w:rPr>
        <w:t>24</w:t>
      </w:r>
      <w:r>
        <w:t>, 085017 (2016).</w:t>
      </w:r>
    </w:p>
    <w:p w14:paraId="3B8FB0D3" w14:textId="77777777" w:rsidR="00787647" w:rsidRDefault="00787647" w:rsidP="00787647">
      <w:pPr>
        <w:pStyle w:val="Bibliography"/>
      </w:pPr>
      <w:r>
        <w:t>39.</w:t>
      </w:r>
      <w:r>
        <w:tab/>
        <w:t xml:space="preserve">Cheng, Y. Q., Sheng, H. W. &amp; Ma, E. Relationship between structure, dynamics, and mechanical properties in metallic glass-forming alloys. </w:t>
      </w:r>
      <w:r>
        <w:rPr>
          <w:i/>
          <w:iCs/>
        </w:rPr>
        <w:t>Phys. Rev. B</w:t>
      </w:r>
      <w:r>
        <w:t xml:space="preserve"> </w:t>
      </w:r>
      <w:r>
        <w:rPr>
          <w:b/>
          <w:bCs/>
        </w:rPr>
        <w:t>78</w:t>
      </w:r>
      <w:r>
        <w:t>, 014207 (2008).</w:t>
      </w:r>
    </w:p>
    <w:p w14:paraId="127F6A4B" w14:textId="77777777" w:rsidR="00787647" w:rsidRDefault="00787647" w:rsidP="00787647">
      <w:pPr>
        <w:pStyle w:val="Bibliography"/>
      </w:pPr>
      <w:r>
        <w:t>40.</w:t>
      </w:r>
      <w:r>
        <w:tab/>
      </w:r>
      <w:proofErr w:type="spellStart"/>
      <w:r>
        <w:t>Mendelev</w:t>
      </w:r>
      <w:proofErr w:type="spellEnd"/>
      <w:r>
        <w:t xml:space="preserve">, M. I., Sordelet, D. J. &amp; Kramer, M. J. Using atomistic computer simulations to analyze x-ray diffraction data from metallic glasses. </w:t>
      </w:r>
      <w:r>
        <w:rPr>
          <w:i/>
          <w:iCs/>
        </w:rPr>
        <w:t>J. Appl. Phys.</w:t>
      </w:r>
      <w:r>
        <w:t xml:space="preserve"> </w:t>
      </w:r>
      <w:r>
        <w:rPr>
          <w:b/>
          <w:bCs/>
        </w:rPr>
        <w:t>102</w:t>
      </w:r>
      <w:r>
        <w:t>, 043501 (2007).</w:t>
      </w:r>
    </w:p>
    <w:p w14:paraId="3D1D7858" w14:textId="77777777" w:rsidR="00787647" w:rsidRDefault="00787647" w:rsidP="00787647">
      <w:pPr>
        <w:pStyle w:val="Bibliography"/>
      </w:pPr>
      <w:r>
        <w:t>41.</w:t>
      </w:r>
      <w:r>
        <w:tab/>
      </w:r>
      <w:proofErr w:type="spellStart"/>
      <w:r>
        <w:t>Mendelev</w:t>
      </w:r>
      <w:proofErr w:type="spellEnd"/>
      <w:r>
        <w:t xml:space="preserve">, M. I. </w:t>
      </w:r>
      <w:r>
        <w:rPr>
          <w:i/>
          <w:iCs/>
        </w:rPr>
        <w:t>et al.</w:t>
      </w:r>
      <w:r>
        <w:t xml:space="preserve"> Development of suitable interatomic potentials for simulation of liquid and amorphous Cu–Zr alloys. </w:t>
      </w:r>
      <w:r>
        <w:rPr>
          <w:i/>
          <w:iCs/>
        </w:rPr>
        <w:t>Philos. Mag.</w:t>
      </w:r>
      <w:r>
        <w:t xml:space="preserve"> </w:t>
      </w:r>
      <w:r>
        <w:rPr>
          <w:b/>
          <w:bCs/>
        </w:rPr>
        <w:t>89</w:t>
      </w:r>
      <w:r>
        <w:t>, 967–987 (2009).</w:t>
      </w:r>
    </w:p>
    <w:p w14:paraId="2E9E8B2E" w14:textId="77777777" w:rsidR="00787647" w:rsidRDefault="00787647" w:rsidP="00787647">
      <w:pPr>
        <w:pStyle w:val="Bibliography"/>
      </w:pPr>
      <w:r>
        <w:t>42.</w:t>
      </w:r>
      <w:r>
        <w:tab/>
        <w:t xml:space="preserve">M.I. Baskes, X. Sha, J.E. Angelo, &amp; N.R. Moody. Trapping of hydrogen to lattice defects in nickel. </w:t>
      </w:r>
      <w:r>
        <w:rPr>
          <w:i/>
          <w:iCs/>
        </w:rPr>
        <w:t>Model. Simul. Mater. Sci. Eng.</w:t>
      </w:r>
      <w:r>
        <w:t xml:space="preserve"> </w:t>
      </w:r>
      <w:r>
        <w:rPr>
          <w:b/>
          <w:bCs/>
        </w:rPr>
        <w:t>5</w:t>
      </w:r>
      <w:r>
        <w:t>, 651 (1997).</w:t>
      </w:r>
    </w:p>
    <w:p w14:paraId="134E3AEE" w14:textId="77777777" w:rsidR="00787647" w:rsidRDefault="00787647" w:rsidP="00787647">
      <w:pPr>
        <w:pStyle w:val="Bibliography"/>
      </w:pPr>
      <w:r>
        <w:t>43.</w:t>
      </w:r>
      <w:r>
        <w:tab/>
      </w:r>
      <w:proofErr w:type="spellStart"/>
      <w:r>
        <w:t>Béland</w:t>
      </w:r>
      <w:proofErr w:type="spellEnd"/>
      <w:r>
        <w:t xml:space="preserve">, L. K. </w:t>
      </w:r>
      <w:r>
        <w:rPr>
          <w:i/>
          <w:iCs/>
        </w:rPr>
        <w:t>et al.</w:t>
      </w:r>
      <w:r>
        <w:t xml:space="preserve"> Features of primary damage by high energy displacement cascades in concentrated Ni-based alloys. </w:t>
      </w:r>
      <w:r>
        <w:rPr>
          <w:i/>
          <w:iCs/>
        </w:rPr>
        <w:t>J. Appl. Phys.</w:t>
      </w:r>
      <w:r>
        <w:t xml:space="preserve"> </w:t>
      </w:r>
      <w:r>
        <w:rPr>
          <w:b/>
          <w:bCs/>
        </w:rPr>
        <w:t>119</w:t>
      </w:r>
      <w:r>
        <w:t>, 085901 (2016).</w:t>
      </w:r>
    </w:p>
    <w:p w14:paraId="3B37806C" w14:textId="77777777" w:rsidR="00787647" w:rsidRDefault="00787647" w:rsidP="00787647">
      <w:pPr>
        <w:pStyle w:val="Bibliography"/>
      </w:pPr>
      <w:r>
        <w:t>44.</w:t>
      </w:r>
      <w:r>
        <w:tab/>
        <w:t xml:space="preserve">Li, Q.-J., Sheng, H. &amp; Ma, E. Strengthening in multi-principal element alloys with local-chemical-order roughened dislocation pathways. </w:t>
      </w:r>
      <w:r>
        <w:rPr>
          <w:i/>
          <w:iCs/>
        </w:rPr>
        <w:t xml:space="preserve">Nat. </w:t>
      </w:r>
      <w:proofErr w:type="spellStart"/>
      <w:r>
        <w:rPr>
          <w:i/>
          <w:iCs/>
        </w:rPr>
        <w:t>Commun</w:t>
      </w:r>
      <w:proofErr w:type="spellEnd"/>
      <w:r>
        <w:rPr>
          <w:i/>
          <w:iCs/>
        </w:rPr>
        <w:t>.</w:t>
      </w:r>
      <w:r>
        <w:t xml:space="preserve"> </w:t>
      </w:r>
      <w:r>
        <w:rPr>
          <w:b/>
          <w:bCs/>
        </w:rPr>
        <w:t>10</w:t>
      </w:r>
      <w:r>
        <w:t>, 3563 (2019).</w:t>
      </w:r>
    </w:p>
    <w:p w14:paraId="5B467F68" w14:textId="77777777" w:rsidR="00787647" w:rsidRDefault="00787647" w:rsidP="00787647">
      <w:pPr>
        <w:pStyle w:val="Bibliography"/>
      </w:pPr>
      <w:r>
        <w:t>45.</w:t>
      </w:r>
      <w:r>
        <w:tab/>
      </w:r>
      <w:proofErr w:type="spellStart"/>
      <w:r>
        <w:t>Béland</w:t>
      </w:r>
      <w:proofErr w:type="spellEnd"/>
      <w:r>
        <w:t xml:space="preserve">, L. K. </w:t>
      </w:r>
      <w:r>
        <w:rPr>
          <w:i/>
          <w:iCs/>
        </w:rPr>
        <w:t>et al.</w:t>
      </w:r>
      <w:r>
        <w:t xml:space="preserve"> Accurate classical short-range forces for the study of collision cascades in Fe–Ni–Cr. </w:t>
      </w:r>
      <w:proofErr w:type="spellStart"/>
      <w:r>
        <w:rPr>
          <w:i/>
          <w:iCs/>
        </w:rPr>
        <w:t>Comput</w:t>
      </w:r>
      <w:proofErr w:type="spellEnd"/>
      <w:r>
        <w:rPr>
          <w:i/>
          <w:iCs/>
        </w:rPr>
        <w:t xml:space="preserve">. Phys. </w:t>
      </w:r>
      <w:proofErr w:type="spellStart"/>
      <w:r>
        <w:rPr>
          <w:i/>
          <w:iCs/>
        </w:rPr>
        <w:t>Commun</w:t>
      </w:r>
      <w:proofErr w:type="spellEnd"/>
      <w:r>
        <w:rPr>
          <w:i/>
          <w:iCs/>
        </w:rPr>
        <w:t>.</w:t>
      </w:r>
      <w:r>
        <w:t xml:space="preserve"> </w:t>
      </w:r>
      <w:r>
        <w:rPr>
          <w:b/>
          <w:bCs/>
        </w:rPr>
        <w:t>219</w:t>
      </w:r>
      <w:r>
        <w:t>, 11–19 (2017).</w:t>
      </w:r>
    </w:p>
    <w:p w14:paraId="3A92A042" w14:textId="77777777" w:rsidR="00787647" w:rsidRDefault="00787647" w:rsidP="00787647">
      <w:pPr>
        <w:pStyle w:val="Bibliography"/>
      </w:pPr>
      <w:r>
        <w:t>46.</w:t>
      </w:r>
      <w:r>
        <w:tab/>
        <w:t xml:space="preserve">Bonny, G., </w:t>
      </w:r>
      <w:proofErr w:type="spellStart"/>
      <w:r>
        <w:t>Terentyev</w:t>
      </w:r>
      <w:proofErr w:type="spellEnd"/>
      <w:r>
        <w:t xml:space="preserve">, D., </w:t>
      </w:r>
      <w:proofErr w:type="spellStart"/>
      <w:r>
        <w:t>Pasianot</w:t>
      </w:r>
      <w:proofErr w:type="spellEnd"/>
      <w:r>
        <w:t xml:space="preserve">, R. C., </w:t>
      </w:r>
      <w:proofErr w:type="spellStart"/>
      <w:r>
        <w:t>Poncé</w:t>
      </w:r>
      <w:proofErr w:type="spellEnd"/>
      <w:r>
        <w:t xml:space="preserve">, S. &amp; </w:t>
      </w:r>
      <w:proofErr w:type="spellStart"/>
      <w:r>
        <w:t>Bakaev</w:t>
      </w:r>
      <w:proofErr w:type="spellEnd"/>
      <w:r>
        <w:t xml:space="preserve">, A. Interatomic potential to study plasticity in stainless steels: the </w:t>
      </w:r>
      <w:proofErr w:type="spellStart"/>
      <w:r>
        <w:t>FeNiCr</w:t>
      </w:r>
      <w:proofErr w:type="spellEnd"/>
      <w:r>
        <w:t xml:space="preserve"> model alloy. </w:t>
      </w:r>
      <w:r>
        <w:rPr>
          <w:i/>
          <w:iCs/>
        </w:rPr>
        <w:t>Model. Simul. Mater. Sci. Eng.</w:t>
      </w:r>
      <w:r>
        <w:t xml:space="preserve"> </w:t>
      </w:r>
      <w:r>
        <w:rPr>
          <w:b/>
          <w:bCs/>
        </w:rPr>
        <w:t>19</w:t>
      </w:r>
      <w:r>
        <w:t>, 085008 (2011).</w:t>
      </w:r>
    </w:p>
    <w:p w14:paraId="261AD7E6" w14:textId="77777777" w:rsidR="00787647" w:rsidRDefault="00787647" w:rsidP="00787647">
      <w:pPr>
        <w:pStyle w:val="Bibliography"/>
      </w:pPr>
      <w:r>
        <w:t>47.</w:t>
      </w:r>
      <w:r>
        <w:tab/>
        <w:t xml:space="preserve">Bonny, G., Castin, N. &amp; </w:t>
      </w:r>
      <w:proofErr w:type="spellStart"/>
      <w:r>
        <w:t>Terentyev</w:t>
      </w:r>
      <w:proofErr w:type="spellEnd"/>
      <w:r>
        <w:t xml:space="preserve">, D. Interatomic potential for studying ageing under irradiation in stainless steels: the </w:t>
      </w:r>
      <w:proofErr w:type="spellStart"/>
      <w:r>
        <w:t>FeNiCr</w:t>
      </w:r>
      <w:proofErr w:type="spellEnd"/>
      <w:r>
        <w:t xml:space="preserve"> model alloy. </w:t>
      </w:r>
      <w:r>
        <w:rPr>
          <w:i/>
          <w:iCs/>
        </w:rPr>
        <w:t>Model. Simul. Mater. Sci. Eng.</w:t>
      </w:r>
      <w:r>
        <w:t xml:space="preserve"> </w:t>
      </w:r>
      <w:r>
        <w:rPr>
          <w:b/>
          <w:bCs/>
        </w:rPr>
        <w:t>21</w:t>
      </w:r>
      <w:r>
        <w:t>, 085004 (2013).</w:t>
      </w:r>
    </w:p>
    <w:p w14:paraId="6ED956D0" w14:textId="77777777" w:rsidR="00787647" w:rsidRDefault="00787647" w:rsidP="00787647">
      <w:pPr>
        <w:pStyle w:val="Bibliography"/>
      </w:pPr>
      <w:r>
        <w:t>48.</w:t>
      </w:r>
      <w:r>
        <w:tab/>
        <w:t xml:space="preserve">Zhou, X. W., Foster, M. E. &amp; Sills, R. B. An Fe-Ni-Cr embedded atom method potential for austenitic and ferritic systems. </w:t>
      </w:r>
      <w:r>
        <w:rPr>
          <w:i/>
          <w:iCs/>
        </w:rPr>
        <w:t xml:space="preserve">J. </w:t>
      </w:r>
      <w:proofErr w:type="spellStart"/>
      <w:r>
        <w:rPr>
          <w:i/>
          <w:iCs/>
        </w:rPr>
        <w:t>Comput</w:t>
      </w:r>
      <w:proofErr w:type="spellEnd"/>
      <w:r>
        <w:rPr>
          <w:i/>
          <w:iCs/>
        </w:rPr>
        <w:t>. Chem.</w:t>
      </w:r>
      <w:r>
        <w:t xml:space="preserve"> </w:t>
      </w:r>
      <w:r>
        <w:rPr>
          <w:b/>
          <w:bCs/>
        </w:rPr>
        <w:t>39</w:t>
      </w:r>
      <w:r>
        <w:t>, 2420–2431 (2018).</w:t>
      </w:r>
    </w:p>
    <w:p w14:paraId="22E4559C" w14:textId="77777777" w:rsidR="00787647" w:rsidRDefault="00787647" w:rsidP="00787647">
      <w:pPr>
        <w:pStyle w:val="Bibliography"/>
      </w:pPr>
      <w:r>
        <w:t>49.</w:t>
      </w:r>
      <w:r>
        <w:tab/>
        <w:t xml:space="preserve">Zhang, Y., Ashcraft, R., </w:t>
      </w:r>
      <w:proofErr w:type="spellStart"/>
      <w:r>
        <w:t>Mendelev</w:t>
      </w:r>
      <w:proofErr w:type="spellEnd"/>
      <w:r>
        <w:t xml:space="preserve">, M. I., Wang, C. Z. &amp; Kelton, K. F. Experimental and molecular dynamics simulation study of structure of liquid and amorphous Ni62Nb38 alloy. </w:t>
      </w:r>
      <w:r>
        <w:rPr>
          <w:i/>
          <w:iCs/>
        </w:rPr>
        <w:t>J. Chem. Phys.</w:t>
      </w:r>
      <w:r>
        <w:t xml:space="preserve"> </w:t>
      </w:r>
      <w:r>
        <w:rPr>
          <w:b/>
          <w:bCs/>
        </w:rPr>
        <w:t>145</w:t>
      </w:r>
      <w:r>
        <w:t>, 204505 (2016).</w:t>
      </w:r>
    </w:p>
    <w:p w14:paraId="2CB518D1" w14:textId="77777777" w:rsidR="00787647" w:rsidRDefault="00787647" w:rsidP="00787647">
      <w:pPr>
        <w:pStyle w:val="Bibliography"/>
      </w:pPr>
      <w:r>
        <w:t>50.</w:t>
      </w:r>
      <w:r>
        <w:tab/>
      </w:r>
      <w:proofErr w:type="spellStart"/>
      <w:r>
        <w:t>Samolyuk</w:t>
      </w:r>
      <w:proofErr w:type="spellEnd"/>
      <w:r>
        <w:t xml:space="preserve">, G. D., </w:t>
      </w:r>
      <w:proofErr w:type="spellStart"/>
      <w:r>
        <w:t>Béland</w:t>
      </w:r>
      <w:proofErr w:type="spellEnd"/>
      <w:r>
        <w:t xml:space="preserve">, L. K., Stocks, G. M. &amp; Stoller, R. E. Electron–phonon coupling in Ni-based binary alloys with application to displacement cascade modeling. </w:t>
      </w:r>
      <w:r>
        <w:rPr>
          <w:i/>
          <w:iCs/>
        </w:rPr>
        <w:t xml:space="preserve">J. Phys. </w:t>
      </w:r>
      <w:proofErr w:type="spellStart"/>
      <w:r>
        <w:rPr>
          <w:i/>
          <w:iCs/>
        </w:rPr>
        <w:t>Condens</w:t>
      </w:r>
      <w:proofErr w:type="spellEnd"/>
      <w:r>
        <w:rPr>
          <w:i/>
          <w:iCs/>
        </w:rPr>
        <w:t>. Matter</w:t>
      </w:r>
      <w:r>
        <w:t xml:space="preserve"> </w:t>
      </w:r>
      <w:r>
        <w:rPr>
          <w:b/>
          <w:bCs/>
        </w:rPr>
        <w:t>28</w:t>
      </w:r>
      <w:r>
        <w:t>, 175501 (2016).</w:t>
      </w:r>
    </w:p>
    <w:p w14:paraId="3A85C6EB" w14:textId="77777777" w:rsidR="00787647" w:rsidRDefault="00787647" w:rsidP="00787647">
      <w:pPr>
        <w:pStyle w:val="Bibliography"/>
      </w:pPr>
      <w:r>
        <w:t>51.</w:t>
      </w:r>
      <w:r>
        <w:tab/>
        <w:t xml:space="preserve">Sheng, H. W., Ma, E. &amp; Kramer, M. J. Relating Dynamic Properties to Atomic Structure in Metallic Glasses. </w:t>
      </w:r>
      <w:r>
        <w:rPr>
          <w:i/>
          <w:iCs/>
        </w:rPr>
        <w:t>JOM</w:t>
      </w:r>
      <w:r>
        <w:t xml:space="preserve"> </w:t>
      </w:r>
      <w:r>
        <w:rPr>
          <w:b/>
          <w:bCs/>
        </w:rPr>
        <w:t>64</w:t>
      </w:r>
      <w:r>
        <w:t>, 856–881 (2012).</w:t>
      </w:r>
    </w:p>
    <w:p w14:paraId="392CF9AB" w14:textId="77777777" w:rsidR="00787647" w:rsidRDefault="00787647" w:rsidP="00787647">
      <w:pPr>
        <w:pStyle w:val="Bibliography"/>
      </w:pPr>
      <w:r>
        <w:t>52.</w:t>
      </w:r>
      <w:r>
        <w:tab/>
        <w:t xml:space="preserve">Kong, L. T., Liu, J. B., Lal, W. S. &amp; Liu, B. X. Correlation of lattice constant versus tungsten concentration of the Ni-based solid solution examined by molecular dynamics simulation. </w:t>
      </w:r>
      <w:r>
        <w:rPr>
          <w:i/>
          <w:iCs/>
        </w:rPr>
        <w:t>J. Alloys Compd.</w:t>
      </w:r>
      <w:r>
        <w:t xml:space="preserve"> </w:t>
      </w:r>
      <w:r>
        <w:rPr>
          <w:b/>
          <w:bCs/>
        </w:rPr>
        <w:t>337</w:t>
      </w:r>
      <w:r>
        <w:t>, 143–147 (2002).</w:t>
      </w:r>
    </w:p>
    <w:p w14:paraId="0D72D5DD" w14:textId="77777777" w:rsidR="00787647" w:rsidRDefault="00787647" w:rsidP="00787647">
      <w:pPr>
        <w:pStyle w:val="Bibliography"/>
      </w:pPr>
      <w:r>
        <w:t>53.</w:t>
      </w:r>
      <w:r>
        <w:tab/>
      </w:r>
      <w:proofErr w:type="spellStart"/>
      <w:r>
        <w:t>Mendelev</w:t>
      </w:r>
      <w:proofErr w:type="spellEnd"/>
      <w:r>
        <w:t xml:space="preserve">, M. I., Kramer, M. J., Hao, S. G., Ho, K. M. &amp; Wang, C. Z. Development of interatomic potentials appropriate for simulation of liquid and glass properties of NiZr2 alloy. </w:t>
      </w:r>
      <w:r>
        <w:rPr>
          <w:i/>
          <w:iCs/>
        </w:rPr>
        <w:t>Philos. Mag.</w:t>
      </w:r>
      <w:r>
        <w:t xml:space="preserve"> </w:t>
      </w:r>
      <w:r>
        <w:rPr>
          <w:b/>
          <w:bCs/>
        </w:rPr>
        <w:t>92</w:t>
      </w:r>
      <w:r>
        <w:t>, 4454–4469 (2012).</w:t>
      </w:r>
    </w:p>
    <w:p w14:paraId="0983305E" w14:textId="77777777" w:rsidR="00787647" w:rsidRDefault="00787647" w:rsidP="00787647">
      <w:pPr>
        <w:pStyle w:val="Bibliography"/>
      </w:pPr>
      <w:r>
        <w:t>54.</w:t>
      </w:r>
      <w:r>
        <w:tab/>
        <w:t xml:space="preserve">Wilson, S. R. &amp; </w:t>
      </w:r>
      <w:proofErr w:type="spellStart"/>
      <w:r>
        <w:t>Mendelev</w:t>
      </w:r>
      <w:proofErr w:type="spellEnd"/>
      <w:r>
        <w:t xml:space="preserve">, M. I. Anisotropy of the solid–liquid interface properties of the Ni–Zr B33 phase from molecular dynamics simulation. </w:t>
      </w:r>
      <w:r>
        <w:rPr>
          <w:i/>
          <w:iCs/>
        </w:rPr>
        <w:t>Philos. Mag.</w:t>
      </w:r>
      <w:r>
        <w:t xml:space="preserve"> </w:t>
      </w:r>
      <w:r>
        <w:rPr>
          <w:b/>
          <w:bCs/>
        </w:rPr>
        <w:t>95</w:t>
      </w:r>
      <w:r>
        <w:t>, 224–241 (2015).</w:t>
      </w:r>
    </w:p>
    <w:p w14:paraId="08E338A7" w14:textId="77777777" w:rsidR="00787647" w:rsidRDefault="00787647" w:rsidP="00787647">
      <w:pPr>
        <w:pStyle w:val="Bibliography"/>
      </w:pPr>
      <w:r>
        <w:t>55.</w:t>
      </w:r>
      <w:r>
        <w:tab/>
      </w:r>
      <w:proofErr w:type="spellStart"/>
      <w:r>
        <w:t>Creuze</w:t>
      </w:r>
      <w:proofErr w:type="spellEnd"/>
      <w:r>
        <w:t xml:space="preserve">, J., Berthier, F., </w:t>
      </w:r>
      <w:proofErr w:type="spellStart"/>
      <w:r>
        <w:t>Tétot</w:t>
      </w:r>
      <w:proofErr w:type="spellEnd"/>
      <w:r>
        <w:t xml:space="preserve">, R., Legrand, B. &amp; </w:t>
      </w:r>
      <w:proofErr w:type="spellStart"/>
      <w:r>
        <w:t>Tréglia</w:t>
      </w:r>
      <w:proofErr w:type="spellEnd"/>
      <w:r>
        <w:t xml:space="preserve">, G. Intergranular segregation and vibrational effects: A local analysis. </w:t>
      </w:r>
      <w:r>
        <w:rPr>
          <w:i/>
          <w:iCs/>
        </w:rPr>
        <w:t>Phys. Rev. B</w:t>
      </w:r>
      <w:r>
        <w:t xml:space="preserve"> </w:t>
      </w:r>
      <w:r>
        <w:rPr>
          <w:b/>
          <w:bCs/>
        </w:rPr>
        <w:t>61</w:t>
      </w:r>
      <w:r>
        <w:t>, 14470–14480 (2000).</w:t>
      </w:r>
    </w:p>
    <w:p w14:paraId="1001227B" w14:textId="77777777" w:rsidR="00787647" w:rsidRDefault="00787647" w:rsidP="00787647">
      <w:pPr>
        <w:pStyle w:val="Bibliography"/>
      </w:pPr>
      <w:r>
        <w:t>56.</w:t>
      </w:r>
      <w:r>
        <w:tab/>
        <w:t xml:space="preserve">LeSar, R., </w:t>
      </w:r>
      <w:proofErr w:type="spellStart"/>
      <w:r>
        <w:t>Najafabadi</w:t>
      </w:r>
      <w:proofErr w:type="spellEnd"/>
      <w:r>
        <w:t xml:space="preserve">, R. &amp; </w:t>
      </w:r>
      <w:proofErr w:type="spellStart"/>
      <w:r>
        <w:t>Srolovitz</w:t>
      </w:r>
      <w:proofErr w:type="spellEnd"/>
      <w:r>
        <w:t xml:space="preserve">, D. J. Finite-temperature defect properties from free-energy minimization. </w:t>
      </w:r>
      <w:r>
        <w:rPr>
          <w:i/>
          <w:iCs/>
        </w:rPr>
        <w:t>Phys. Rev. Lett.</w:t>
      </w:r>
      <w:r>
        <w:t xml:space="preserve"> </w:t>
      </w:r>
      <w:r>
        <w:rPr>
          <w:b/>
          <w:bCs/>
        </w:rPr>
        <w:t>63</w:t>
      </w:r>
      <w:r>
        <w:t>, 624–627 (1989).</w:t>
      </w:r>
    </w:p>
    <w:p w14:paraId="16948AEC" w14:textId="77777777" w:rsidR="00787647" w:rsidRDefault="00787647" w:rsidP="00787647">
      <w:pPr>
        <w:pStyle w:val="Bibliography"/>
      </w:pPr>
      <w:r>
        <w:t>57.</w:t>
      </w:r>
      <w:r>
        <w:tab/>
      </w:r>
      <w:proofErr w:type="spellStart"/>
      <w:r>
        <w:t>Najafabadi</w:t>
      </w:r>
      <w:proofErr w:type="spellEnd"/>
      <w:r>
        <w:t xml:space="preserve">, R., Wang, H. Y., </w:t>
      </w:r>
      <w:proofErr w:type="spellStart"/>
      <w:r>
        <w:t>Srolovitz</w:t>
      </w:r>
      <w:proofErr w:type="spellEnd"/>
      <w:r>
        <w:t xml:space="preserve">, D. J. &amp; LeSar, R. A new method for the simulation of alloys: Application to interfacial segregation. </w:t>
      </w:r>
      <w:r>
        <w:rPr>
          <w:i/>
          <w:iCs/>
        </w:rPr>
        <w:t>Acta Metall. Mater.</w:t>
      </w:r>
      <w:r>
        <w:t xml:space="preserve"> </w:t>
      </w:r>
      <w:r>
        <w:rPr>
          <w:b/>
          <w:bCs/>
        </w:rPr>
        <w:t>39</w:t>
      </w:r>
      <w:r>
        <w:t>, 3071–3082 (1991).</w:t>
      </w:r>
    </w:p>
    <w:p w14:paraId="5BA24916" w14:textId="77777777" w:rsidR="00787647" w:rsidRDefault="00787647" w:rsidP="00787647">
      <w:pPr>
        <w:pStyle w:val="Bibliography"/>
      </w:pPr>
      <w:r>
        <w:t>58.</w:t>
      </w:r>
      <w:r>
        <w:tab/>
        <w:t xml:space="preserve">Rittner, J. D. &amp; Seidman, D. N. Solute-atom segregation to&lt; 110&gt; symmetric tilt grain boundaries. </w:t>
      </w:r>
      <w:r>
        <w:rPr>
          <w:i/>
          <w:iCs/>
        </w:rPr>
        <w:t>Acta Mater.</w:t>
      </w:r>
      <w:r>
        <w:t xml:space="preserve"> </w:t>
      </w:r>
      <w:r>
        <w:rPr>
          <w:b/>
          <w:bCs/>
        </w:rPr>
        <w:t>45</w:t>
      </w:r>
      <w:r>
        <w:t>, 3191–3202 (1997).</w:t>
      </w:r>
    </w:p>
    <w:p w14:paraId="7BDACA86" w14:textId="77777777" w:rsidR="00787647" w:rsidRDefault="00787647" w:rsidP="00787647">
      <w:pPr>
        <w:pStyle w:val="Bibliography"/>
      </w:pPr>
      <w:r>
        <w:t>59.</w:t>
      </w:r>
      <w:r>
        <w:tab/>
        <w:t xml:space="preserve">Tuchinda, N. &amp; Schuh, C. A. Dataset - Computed Entropy Spectra for Grain Boundary Segregation in Polycrystals. </w:t>
      </w:r>
      <w:proofErr w:type="spellStart"/>
      <w:proofErr w:type="gramStart"/>
      <w:r>
        <w:t>doi:https</w:t>
      </w:r>
      <w:proofErr w:type="spellEnd"/>
      <w:r>
        <w:t>://doi.org/10.6084/m9.figshare.23532294</w:t>
      </w:r>
      <w:proofErr w:type="gramEnd"/>
      <w:r>
        <w:t xml:space="preserve"> Private Share Link: https://figshare.com/s/5c938da6492c513e4360.</w:t>
      </w:r>
    </w:p>
    <w:p w14:paraId="13986859" w14:textId="77777777" w:rsidR="00787647" w:rsidRDefault="00787647" w:rsidP="00787647">
      <w:pPr>
        <w:pStyle w:val="Bibliography"/>
      </w:pPr>
      <w:r>
        <w:t>60.</w:t>
      </w:r>
      <w:r>
        <w:tab/>
        <w:t xml:space="preserve">Wagih, M., Larsen, P. M. &amp; Schuh, C. A. Learning grain boundary segregation energy spectra in polycrystals. </w:t>
      </w:r>
      <w:r>
        <w:rPr>
          <w:i/>
          <w:iCs/>
        </w:rPr>
        <w:t xml:space="preserve">Nat. </w:t>
      </w:r>
      <w:proofErr w:type="spellStart"/>
      <w:r>
        <w:rPr>
          <w:i/>
          <w:iCs/>
        </w:rPr>
        <w:t>Commun</w:t>
      </w:r>
      <w:proofErr w:type="spellEnd"/>
      <w:r>
        <w:rPr>
          <w:i/>
          <w:iCs/>
        </w:rPr>
        <w:t>.</w:t>
      </w:r>
      <w:r>
        <w:t xml:space="preserve"> </w:t>
      </w:r>
      <w:r>
        <w:rPr>
          <w:b/>
          <w:bCs/>
        </w:rPr>
        <w:t>11</w:t>
      </w:r>
      <w:r>
        <w:t>, 6376 (2020).</w:t>
      </w:r>
    </w:p>
    <w:p w14:paraId="58E7E6F0" w14:textId="77777777" w:rsidR="00787647" w:rsidRDefault="00787647" w:rsidP="00787647">
      <w:pPr>
        <w:pStyle w:val="Bibliography"/>
      </w:pPr>
      <w:r>
        <w:t>61.</w:t>
      </w:r>
      <w:r>
        <w:tab/>
        <w:t xml:space="preserve">Virtanen, P. </w:t>
      </w:r>
      <w:r>
        <w:rPr>
          <w:i/>
          <w:iCs/>
        </w:rPr>
        <w:t>et al.</w:t>
      </w:r>
      <w:r>
        <w:t xml:space="preserve"> SciPy 1.0: fundamental algorithms for scientific computing in Python. </w:t>
      </w:r>
      <w:r>
        <w:rPr>
          <w:i/>
          <w:iCs/>
        </w:rPr>
        <w:t>Nat. Methods</w:t>
      </w:r>
      <w:r>
        <w:t xml:space="preserve"> </w:t>
      </w:r>
      <w:r>
        <w:rPr>
          <w:b/>
          <w:bCs/>
        </w:rPr>
        <w:t>17</w:t>
      </w:r>
      <w:r>
        <w:t>, 261–272 (2020).</w:t>
      </w:r>
    </w:p>
    <w:p w14:paraId="53935F66" w14:textId="77777777" w:rsidR="00787647" w:rsidRDefault="00787647" w:rsidP="00787647">
      <w:pPr>
        <w:pStyle w:val="Bibliography"/>
      </w:pPr>
      <w:r>
        <w:t>62.</w:t>
      </w:r>
      <w:r>
        <w:tab/>
      </w:r>
      <w:proofErr w:type="spellStart"/>
      <w:r>
        <w:t>vanRossum</w:t>
      </w:r>
      <w:proofErr w:type="spellEnd"/>
      <w:r>
        <w:t xml:space="preserve">, G. Python reference manual. </w:t>
      </w:r>
      <w:r>
        <w:rPr>
          <w:i/>
          <w:iCs/>
        </w:rPr>
        <w:t xml:space="preserve">Dep. </w:t>
      </w:r>
      <w:proofErr w:type="spellStart"/>
      <w:r>
        <w:rPr>
          <w:i/>
          <w:iCs/>
        </w:rPr>
        <w:t>Comput</w:t>
      </w:r>
      <w:proofErr w:type="spellEnd"/>
      <w:r>
        <w:rPr>
          <w:i/>
          <w:iCs/>
        </w:rPr>
        <w:t>. Sci. CS</w:t>
      </w:r>
      <w:r>
        <w:t xml:space="preserve"> (1995).</w:t>
      </w:r>
    </w:p>
    <w:p w14:paraId="57BFC091" w14:textId="77777777" w:rsidR="00787647" w:rsidRDefault="00787647" w:rsidP="00787647">
      <w:pPr>
        <w:pStyle w:val="Bibliography"/>
      </w:pPr>
      <w:r>
        <w:t>63.</w:t>
      </w:r>
      <w:r>
        <w:tab/>
      </w:r>
      <w:proofErr w:type="spellStart"/>
      <w:r>
        <w:t>Kluyver</w:t>
      </w:r>
      <w:proofErr w:type="spellEnd"/>
      <w:r>
        <w:t xml:space="preserve">, T. </w:t>
      </w:r>
      <w:r>
        <w:rPr>
          <w:i/>
          <w:iCs/>
        </w:rPr>
        <w:t>et al.</w:t>
      </w:r>
      <w:r>
        <w:t xml:space="preserve"> </w:t>
      </w:r>
      <w:proofErr w:type="spellStart"/>
      <w:r>
        <w:t>Jupyter</w:t>
      </w:r>
      <w:proofErr w:type="spellEnd"/>
      <w:r>
        <w:t xml:space="preserve"> Notebooks – a publishing format for reproducible computational workflows. in </w:t>
      </w:r>
      <w:r>
        <w:rPr>
          <w:i/>
          <w:iCs/>
        </w:rPr>
        <w:t>Positioning and Power in Academic Publishing: Players, Agents and Agendas</w:t>
      </w:r>
      <w:r>
        <w:t xml:space="preserve"> (eds. Loizides, F. &amp; Schmidt, B.) 87–90 (IOS Press, 2016).</w:t>
      </w:r>
    </w:p>
    <w:p w14:paraId="724B65D2" w14:textId="77777777" w:rsidR="00787647" w:rsidRDefault="00787647" w:rsidP="00787647">
      <w:pPr>
        <w:pStyle w:val="Bibliography"/>
      </w:pPr>
      <w:r>
        <w:t>64.</w:t>
      </w:r>
      <w:r>
        <w:tab/>
        <w:t xml:space="preserve">Harris, C. R. </w:t>
      </w:r>
      <w:r>
        <w:rPr>
          <w:i/>
          <w:iCs/>
        </w:rPr>
        <w:t>et al.</w:t>
      </w:r>
      <w:r>
        <w:t xml:space="preserve"> Array programming with NumPy. </w:t>
      </w:r>
      <w:r>
        <w:rPr>
          <w:i/>
          <w:iCs/>
        </w:rPr>
        <w:t>Nature</w:t>
      </w:r>
      <w:r>
        <w:t xml:space="preserve"> </w:t>
      </w:r>
      <w:r>
        <w:rPr>
          <w:b/>
          <w:bCs/>
        </w:rPr>
        <w:t>585</w:t>
      </w:r>
      <w:r>
        <w:t>, 357–362 (2020).</w:t>
      </w:r>
    </w:p>
    <w:p w14:paraId="518E1FC0" w14:textId="77777777" w:rsidR="00787647" w:rsidRDefault="00787647" w:rsidP="00787647">
      <w:pPr>
        <w:pStyle w:val="Bibliography"/>
      </w:pPr>
      <w:r>
        <w:t>65.</w:t>
      </w:r>
      <w:r>
        <w:tab/>
      </w:r>
      <w:proofErr w:type="spellStart"/>
      <w:r>
        <w:t>Joblib</w:t>
      </w:r>
      <w:proofErr w:type="spellEnd"/>
      <w:r>
        <w:t xml:space="preserve"> Development Team. </w:t>
      </w:r>
      <w:proofErr w:type="spellStart"/>
      <w:r>
        <w:t>Joblib</w:t>
      </w:r>
      <w:proofErr w:type="spellEnd"/>
      <w:r>
        <w:t>: running Python functions as pipeline jobs. (2022).</w:t>
      </w:r>
    </w:p>
    <w:p w14:paraId="5464E955" w14:textId="77777777" w:rsidR="00787647" w:rsidRDefault="00787647" w:rsidP="00787647">
      <w:pPr>
        <w:pStyle w:val="Bibliography"/>
      </w:pPr>
      <w:r>
        <w:t>66.</w:t>
      </w:r>
      <w:r>
        <w:tab/>
      </w:r>
      <w:proofErr w:type="spellStart"/>
      <w:r>
        <w:t>Azzalini</w:t>
      </w:r>
      <w:proofErr w:type="spellEnd"/>
      <w:r>
        <w:t xml:space="preserve">, A. &amp; Capitanio, A. Statistical applications of the multivariate skew normal distribution. </w:t>
      </w:r>
      <w:r>
        <w:rPr>
          <w:i/>
          <w:iCs/>
        </w:rPr>
        <w:t xml:space="preserve">J. R. Stat. Soc. Ser. B Stat. </w:t>
      </w:r>
      <w:proofErr w:type="spellStart"/>
      <w:r>
        <w:rPr>
          <w:i/>
          <w:iCs/>
        </w:rPr>
        <w:t>Methodol</w:t>
      </w:r>
      <w:proofErr w:type="spellEnd"/>
      <w:r>
        <w:rPr>
          <w:i/>
          <w:iCs/>
        </w:rPr>
        <w:t>.</w:t>
      </w:r>
      <w:r>
        <w:t xml:space="preserve"> </w:t>
      </w:r>
      <w:r>
        <w:rPr>
          <w:b/>
          <w:bCs/>
        </w:rPr>
        <w:t>61</w:t>
      </w:r>
      <w:r>
        <w:t>, 579–602 (1999).</w:t>
      </w:r>
    </w:p>
    <w:p w14:paraId="3E5840E3" w14:textId="77777777" w:rsidR="00787647" w:rsidRDefault="00787647" w:rsidP="00787647">
      <w:pPr>
        <w:pStyle w:val="Bibliography"/>
      </w:pPr>
      <w:r>
        <w:t>67.</w:t>
      </w:r>
      <w:r>
        <w:tab/>
        <w:t xml:space="preserve">Brent, R. P. </w:t>
      </w:r>
      <w:r>
        <w:rPr>
          <w:i/>
          <w:iCs/>
        </w:rPr>
        <w:t>Algorithms for minimization without derivatives</w:t>
      </w:r>
      <w:r>
        <w:t>. (Courier Corporation, 2013).</w:t>
      </w:r>
    </w:p>
    <w:p w14:paraId="5ABE2A97" w14:textId="77777777" w:rsidR="00787647" w:rsidRDefault="00787647" w:rsidP="00787647">
      <w:pPr>
        <w:pStyle w:val="Bibliography"/>
      </w:pPr>
      <w:r>
        <w:t>68.</w:t>
      </w:r>
      <w:r>
        <w:tab/>
      </w:r>
      <w:proofErr w:type="spellStart"/>
      <w:r>
        <w:t>Piessens</w:t>
      </w:r>
      <w:proofErr w:type="spellEnd"/>
      <w:r>
        <w:t xml:space="preserve">, R., de </w:t>
      </w:r>
      <w:proofErr w:type="spellStart"/>
      <w:r>
        <w:t>Doncker</w:t>
      </w:r>
      <w:proofErr w:type="spellEnd"/>
      <w:r>
        <w:t xml:space="preserve">-Kapenga, E., </w:t>
      </w:r>
      <w:proofErr w:type="spellStart"/>
      <w:r>
        <w:t>Überhuber</w:t>
      </w:r>
      <w:proofErr w:type="spellEnd"/>
      <w:r>
        <w:t xml:space="preserve">, C. W. &amp; </w:t>
      </w:r>
      <w:proofErr w:type="spellStart"/>
      <w:r>
        <w:t>Kahaner</w:t>
      </w:r>
      <w:proofErr w:type="spellEnd"/>
      <w:r>
        <w:t xml:space="preserve">, D. K. </w:t>
      </w:r>
      <w:proofErr w:type="spellStart"/>
      <w:r>
        <w:rPr>
          <w:i/>
          <w:iCs/>
        </w:rPr>
        <w:t>Quadpack</w:t>
      </w:r>
      <w:proofErr w:type="spellEnd"/>
      <w:r>
        <w:rPr>
          <w:i/>
          <w:iCs/>
        </w:rPr>
        <w:t>: a subroutine package for automatic integration</w:t>
      </w:r>
      <w:r>
        <w:t>. vol. 1 (Springer Science &amp; Business Media, 2012).</w:t>
      </w:r>
    </w:p>
    <w:p w14:paraId="4C74D2CC" w14:textId="77777777" w:rsidR="00787647" w:rsidRDefault="00787647" w:rsidP="00787647">
      <w:pPr>
        <w:pStyle w:val="Bibliography"/>
      </w:pPr>
      <w:r>
        <w:t>69.</w:t>
      </w:r>
      <w:r>
        <w:tab/>
        <w:t xml:space="preserve">Pedregosa, F. </w:t>
      </w:r>
      <w:r>
        <w:rPr>
          <w:i/>
          <w:iCs/>
        </w:rPr>
        <w:t>et al.</w:t>
      </w:r>
      <w:r>
        <w:t xml:space="preserve"> Scikit-learn: Machine Learning in Python. </w:t>
      </w:r>
      <w:r>
        <w:rPr>
          <w:i/>
          <w:iCs/>
        </w:rPr>
        <w:t>Mach. Learn. PYTHON</w:t>
      </w:r>
      <w:r>
        <w:t xml:space="preserve"> 6.</w:t>
      </w:r>
    </w:p>
    <w:p w14:paraId="38C7C42F" w14:textId="77777777" w:rsidR="00787647" w:rsidRDefault="00787647" w:rsidP="00787647">
      <w:pPr>
        <w:pStyle w:val="Bibliography"/>
      </w:pPr>
      <w:r>
        <w:t>70.</w:t>
      </w:r>
      <w:r>
        <w:tab/>
        <w:t xml:space="preserve">Ishida, K. Effect of grain size on grain boundary segregation. </w:t>
      </w:r>
      <w:r>
        <w:rPr>
          <w:i/>
          <w:iCs/>
        </w:rPr>
        <w:t>J. Alloys Compd.</w:t>
      </w:r>
      <w:r>
        <w:t xml:space="preserve"> </w:t>
      </w:r>
      <w:r>
        <w:rPr>
          <w:b/>
          <w:bCs/>
        </w:rPr>
        <w:t>235</w:t>
      </w:r>
      <w:r>
        <w:t>, 244–249 (1996).</w:t>
      </w:r>
    </w:p>
    <w:p w14:paraId="62BE2460" w14:textId="77777777" w:rsidR="00787647" w:rsidRDefault="00787647" w:rsidP="00787647">
      <w:pPr>
        <w:pStyle w:val="Bibliography"/>
      </w:pPr>
      <w:r>
        <w:t>71.</w:t>
      </w:r>
      <w:r>
        <w:tab/>
        <w:t xml:space="preserve">White, C. &amp; Stein, D. Sulfur segregation to grain boundaries in Ni 3 Al and Ni 3 (AI, Ti) alloys. </w:t>
      </w:r>
      <w:r>
        <w:rPr>
          <w:i/>
          <w:iCs/>
        </w:rPr>
        <w:t>Metall. Trans. A</w:t>
      </w:r>
      <w:r>
        <w:t xml:space="preserve"> </w:t>
      </w:r>
      <w:r>
        <w:rPr>
          <w:b/>
          <w:bCs/>
        </w:rPr>
        <w:t>9</w:t>
      </w:r>
      <w:r>
        <w:t>, 13–22 (1978).</w:t>
      </w:r>
    </w:p>
    <w:p w14:paraId="338666E5" w14:textId="77777777" w:rsidR="00787647" w:rsidRDefault="00787647" w:rsidP="00787647">
      <w:pPr>
        <w:pStyle w:val="Bibliography"/>
      </w:pPr>
      <w:r>
        <w:t>72.</w:t>
      </w:r>
      <w:r>
        <w:tab/>
        <w:t xml:space="preserve">Wagih, M. &amp; Schuh, C. A. Spectrum of grain boundary segregation energies in a polycrystal. </w:t>
      </w:r>
      <w:r>
        <w:rPr>
          <w:i/>
          <w:iCs/>
        </w:rPr>
        <w:t>Acta Mater.</w:t>
      </w:r>
      <w:r>
        <w:t xml:space="preserve"> </w:t>
      </w:r>
      <w:r>
        <w:rPr>
          <w:b/>
          <w:bCs/>
        </w:rPr>
        <w:t>181</w:t>
      </w:r>
      <w:r>
        <w:t>, 228–237 (2019).</w:t>
      </w:r>
    </w:p>
    <w:p w14:paraId="714CACDD" w14:textId="40D47732" w:rsidR="004A37A3" w:rsidRPr="00ED6690" w:rsidRDefault="003B1A55" w:rsidP="00EB675C">
      <w:pPr>
        <w:spacing w:line="276" w:lineRule="auto"/>
        <w:rPr>
          <w:rFonts w:ascii="Times New Roman" w:hAnsi="Times New Roman" w:cs="Times New Roman"/>
          <w:b/>
          <w:bCs/>
          <w:szCs w:val="24"/>
        </w:rPr>
      </w:pPr>
      <w:r w:rsidRPr="00ED6690">
        <w:rPr>
          <w:rFonts w:ascii="Times New Roman" w:hAnsi="Times New Roman" w:cs="Times New Roman"/>
          <w:b/>
          <w:bCs/>
          <w:szCs w:val="24"/>
        </w:rPr>
        <w:fldChar w:fldCharType="end"/>
      </w:r>
    </w:p>
    <w:sectPr w:rsidR="004A37A3" w:rsidRPr="00ED6690">
      <w:headerReference w:type="default" r:id="rId6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71751" w14:textId="77777777" w:rsidR="00014198" w:rsidRDefault="00014198" w:rsidP="009A7A01">
      <w:pPr>
        <w:spacing w:after="0" w:line="240" w:lineRule="auto"/>
      </w:pPr>
      <w:r>
        <w:separator/>
      </w:r>
    </w:p>
  </w:endnote>
  <w:endnote w:type="continuationSeparator" w:id="0">
    <w:p w14:paraId="420BBD47" w14:textId="77777777" w:rsidR="00014198" w:rsidRDefault="00014198" w:rsidP="009A7A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9C0C42" w14:textId="77777777" w:rsidR="00014198" w:rsidRDefault="00014198" w:rsidP="009A7A01">
      <w:pPr>
        <w:spacing w:after="0" w:line="240" w:lineRule="auto"/>
      </w:pPr>
      <w:r>
        <w:separator/>
      </w:r>
    </w:p>
  </w:footnote>
  <w:footnote w:type="continuationSeparator" w:id="0">
    <w:p w14:paraId="5C0396EA" w14:textId="77777777" w:rsidR="00014198" w:rsidRDefault="00014198" w:rsidP="009A7A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800444"/>
      <w:docPartObj>
        <w:docPartGallery w:val="Page Numbers (Top of Page)"/>
        <w:docPartUnique/>
      </w:docPartObj>
    </w:sdtPr>
    <w:sdtEndPr>
      <w:rPr>
        <w:noProof/>
      </w:rPr>
    </w:sdtEndPr>
    <w:sdtContent>
      <w:p w14:paraId="76899D69" w14:textId="4BDD42D1" w:rsidR="00B704D1" w:rsidRDefault="00B704D1">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C68A68E" w14:textId="77777777" w:rsidR="00B704D1" w:rsidRDefault="00B704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E6D8D"/>
    <w:multiLevelType w:val="hybridMultilevel"/>
    <w:tmpl w:val="E4542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6C6A11"/>
    <w:multiLevelType w:val="hybridMultilevel"/>
    <w:tmpl w:val="40D0BF2E"/>
    <w:lvl w:ilvl="0" w:tplc="C4F0B3F2">
      <w:start w:val="1"/>
      <w:numFmt w:val="lowerRoman"/>
      <w:lvlText w:val="(%1)"/>
      <w:lvlJc w:val="left"/>
      <w:pPr>
        <w:ind w:left="1080" w:hanging="72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7003021">
    <w:abstractNumId w:val="0"/>
  </w:num>
  <w:num w:numId="2" w16cid:durableId="13065917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LQAIhNLE1MjIwNLUyUdpeDU4uLM/DyQAiPLWgDULAotLQAAAA=="/>
  </w:docVars>
  <w:rsids>
    <w:rsidRoot w:val="009A45B1"/>
    <w:rsid w:val="0000064C"/>
    <w:rsid w:val="00004386"/>
    <w:rsid w:val="00006B3D"/>
    <w:rsid w:val="00014198"/>
    <w:rsid w:val="0001659F"/>
    <w:rsid w:val="000346ED"/>
    <w:rsid w:val="0003642C"/>
    <w:rsid w:val="00036582"/>
    <w:rsid w:val="00040490"/>
    <w:rsid w:val="0005077B"/>
    <w:rsid w:val="00051238"/>
    <w:rsid w:val="000523B3"/>
    <w:rsid w:val="00052644"/>
    <w:rsid w:val="000546CC"/>
    <w:rsid w:val="00055398"/>
    <w:rsid w:val="000602C5"/>
    <w:rsid w:val="00060A0B"/>
    <w:rsid w:val="00062AD5"/>
    <w:rsid w:val="000662AE"/>
    <w:rsid w:val="000755DB"/>
    <w:rsid w:val="0008273F"/>
    <w:rsid w:val="00087841"/>
    <w:rsid w:val="00092CE2"/>
    <w:rsid w:val="00093914"/>
    <w:rsid w:val="000A0FA8"/>
    <w:rsid w:val="000A45F1"/>
    <w:rsid w:val="000A5DA1"/>
    <w:rsid w:val="000B192F"/>
    <w:rsid w:val="000B1B5C"/>
    <w:rsid w:val="000B71FC"/>
    <w:rsid w:val="000C4466"/>
    <w:rsid w:val="000E02A0"/>
    <w:rsid w:val="000E2A89"/>
    <w:rsid w:val="000E4EA0"/>
    <w:rsid w:val="0010163D"/>
    <w:rsid w:val="00106552"/>
    <w:rsid w:val="00116D4F"/>
    <w:rsid w:val="00117706"/>
    <w:rsid w:val="001219E7"/>
    <w:rsid w:val="00124248"/>
    <w:rsid w:val="0012582A"/>
    <w:rsid w:val="00127A96"/>
    <w:rsid w:val="00132A3A"/>
    <w:rsid w:val="00134160"/>
    <w:rsid w:val="001408FE"/>
    <w:rsid w:val="00151774"/>
    <w:rsid w:val="00151ED3"/>
    <w:rsid w:val="00160669"/>
    <w:rsid w:val="001622FC"/>
    <w:rsid w:val="00162B79"/>
    <w:rsid w:val="00165049"/>
    <w:rsid w:val="001750B2"/>
    <w:rsid w:val="00177B63"/>
    <w:rsid w:val="00181576"/>
    <w:rsid w:val="00184633"/>
    <w:rsid w:val="001A1696"/>
    <w:rsid w:val="001A22FE"/>
    <w:rsid w:val="001A3396"/>
    <w:rsid w:val="001A7EFA"/>
    <w:rsid w:val="001B222B"/>
    <w:rsid w:val="001C0025"/>
    <w:rsid w:val="001C0F2F"/>
    <w:rsid w:val="001C1EB6"/>
    <w:rsid w:val="001C752D"/>
    <w:rsid w:val="001D0F30"/>
    <w:rsid w:val="001D70F1"/>
    <w:rsid w:val="001D7C1D"/>
    <w:rsid w:val="001F633F"/>
    <w:rsid w:val="0020662D"/>
    <w:rsid w:val="00220770"/>
    <w:rsid w:val="00223A6B"/>
    <w:rsid w:val="002276EF"/>
    <w:rsid w:val="0023334E"/>
    <w:rsid w:val="00236B90"/>
    <w:rsid w:val="00246F20"/>
    <w:rsid w:val="002540C5"/>
    <w:rsid w:val="00254130"/>
    <w:rsid w:val="0026283F"/>
    <w:rsid w:val="00270D6D"/>
    <w:rsid w:val="00273010"/>
    <w:rsid w:val="002A5A89"/>
    <w:rsid w:val="002A6653"/>
    <w:rsid w:val="002B0072"/>
    <w:rsid w:val="002B0F6F"/>
    <w:rsid w:val="002B27DF"/>
    <w:rsid w:val="002B2F27"/>
    <w:rsid w:val="002C0EA1"/>
    <w:rsid w:val="002D3BC3"/>
    <w:rsid w:val="002E1A7F"/>
    <w:rsid w:val="00305C95"/>
    <w:rsid w:val="0031644C"/>
    <w:rsid w:val="00317B3E"/>
    <w:rsid w:val="00323129"/>
    <w:rsid w:val="00332456"/>
    <w:rsid w:val="00343994"/>
    <w:rsid w:val="00352B47"/>
    <w:rsid w:val="00363E15"/>
    <w:rsid w:val="00370EB9"/>
    <w:rsid w:val="003724FE"/>
    <w:rsid w:val="003755C8"/>
    <w:rsid w:val="00380704"/>
    <w:rsid w:val="0038676C"/>
    <w:rsid w:val="00393945"/>
    <w:rsid w:val="00393C7E"/>
    <w:rsid w:val="0039679B"/>
    <w:rsid w:val="003A6B8F"/>
    <w:rsid w:val="003B1A55"/>
    <w:rsid w:val="003B7A18"/>
    <w:rsid w:val="003C5688"/>
    <w:rsid w:val="003C63E3"/>
    <w:rsid w:val="003D1530"/>
    <w:rsid w:val="003D4B6D"/>
    <w:rsid w:val="003D5862"/>
    <w:rsid w:val="003D6022"/>
    <w:rsid w:val="003D6E69"/>
    <w:rsid w:val="003E5C91"/>
    <w:rsid w:val="00400291"/>
    <w:rsid w:val="00401678"/>
    <w:rsid w:val="00403E71"/>
    <w:rsid w:val="00404470"/>
    <w:rsid w:val="00404F11"/>
    <w:rsid w:val="00406BFA"/>
    <w:rsid w:val="00422522"/>
    <w:rsid w:val="0046513F"/>
    <w:rsid w:val="00470698"/>
    <w:rsid w:val="00472C7C"/>
    <w:rsid w:val="00474B5D"/>
    <w:rsid w:val="00476E5B"/>
    <w:rsid w:val="00480A82"/>
    <w:rsid w:val="004961C0"/>
    <w:rsid w:val="004970D8"/>
    <w:rsid w:val="004A37A3"/>
    <w:rsid w:val="004B2E26"/>
    <w:rsid w:val="004B4445"/>
    <w:rsid w:val="004B55DB"/>
    <w:rsid w:val="004C38F9"/>
    <w:rsid w:val="004C70E7"/>
    <w:rsid w:val="004C7B05"/>
    <w:rsid w:val="004E50F6"/>
    <w:rsid w:val="004F1EBB"/>
    <w:rsid w:val="004F2558"/>
    <w:rsid w:val="00515B29"/>
    <w:rsid w:val="00533862"/>
    <w:rsid w:val="00534E24"/>
    <w:rsid w:val="00535D3B"/>
    <w:rsid w:val="00545A8B"/>
    <w:rsid w:val="00560C6B"/>
    <w:rsid w:val="005735EF"/>
    <w:rsid w:val="00583E22"/>
    <w:rsid w:val="00587C37"/>
    <w:rsid w:val="00587F58"/>
    <w:rsid w:val="005A3460"/>
    <w:rsid w:val="005B434C"/>
    <w:rsid w:val="005D169A"/>
    <w:rsid w:val="005E3091"/>
    <w:rsid w:val="005E4145"/>
    <w:rsid w:val="005F059D"/>
    <w:rsid w:val="005F0A8F"/>
    <w:rsid w:val="005F1FA5"/>
    <w:rsid w:val="005F5489"/>
    <w:rsid w:val="005F6C98"/>
    <w:rsid w:val="00604DC5"/>
    <w:rsid w:val="0060538C"/>
    <w:rsid w:val="00612A08"/>
    <w:rsid w:val="006136C4"/>
    <w:rsid w:val="0061754F"/>
    <w:rsid w:val="00626A34"/>
    <w:rsid w:val="00634A38"/>
    <w:rsid w:val="00641BB3"/>
    <w:rsid w:val="00643014"/>
    <w:rsid w:val="00644A7E"/>
    <w:rsid w:val="0064570B"/>
    <w:rsid w:val="00647443"/>
    <w:rsid w:val="00672260"/>
    <w:rsid w:val="0067783C"/>
    <w:rsid w:val="00680E45"/>
    <w:rsid w:val="00682EE0"/>
    <w:rsid w:val="00685A43"/>
    <w:rsid w:val="00686870"/>
    <w:rsid w:val="0068761C"/>
    <w:rsid w:val="006920A8"/>
    <w:rsid w:val="00694F21"/>
    <w:rsid w:val="006A18F1"/>
    <w:rsid w:val="006B455A"/>
    <w:rsid w:val="006C205E"/>
    <w:rsid w:val="006C7054"/>
    <w:rsid w:val="006C7BF7"/>
    <w:rsid w:val="006E1252"/>
    <w:rsid w:val="006E4E22"/>
    <w:rsid w:val="006E6494"/>
    <w:rsid w:val="00716BEE"/>
    <w:rsid w:val="00717452"/>
    <w:rsid w:val="0071792D"/>
    <w:rsid w:val="0072046A"/>
    <w:rsid w:val="00723504"/>
    <w:rsid w:val="00723ED8"/>
    <w:rsid w:val="0073297F"/>
    <w:rsid w:val="007333EB"/>
    <w:rsid w:val="0074580E"/>
    <w:rsid w:val="0074662B"/>
    <w:rsid w:val="0075656A"/>
    <w:rsid w:val="00757CF9"/>
    <w:rsid w:val="00762810"/>
    <w:rsid w:val="0076454C"/>
    <w:rsid w:val="007652C0"/>
    <w:rsid w:val="007706DF"/>
    <w:rsid w:val="0078170A"/>
    <w:rsid w:val="00785633"/>
    <w:rsid w:val="00787647"/>
    <w:rsid w:val="007906DB"/>
    <w:rsid w:val="00795768"/>
    <w:rsid w:val="007A02E0"/>
    <w:rsid w:val="007A76C2"/>
    <w:rsid w:val="007B796E"/>
    <w:rsid w:val="007B7A20"/>
    <w:rsid w:val="007C4E3C"/>
    <w:rsid w:val="007D1558"/>
    <w:rsid w:val="007E114F"/>
    <w:rsid w:val="007E5C73"/>
    <w:rsid w:val="007F7744"/>
    <w:rsid w:val="008004CA"/>
    <w:rsid w:val="00801695"/>
    <w:rsid w:val="00816C0C"/>
    <w:rsid w:val="00822A51"/>
    <w:rsid w:val="0083085F"/>
    <w:rsid w:val="00841D5F"/>
    <w:rsid w:val="0084680D"/>
    <w:rsid w:val="00855B39"/>
    <w:rsid w:val="008638A4"/>
    <w:rsid w:val="0087533E"/>
    <w:rsid w:val="008812B7"/>
    <w:rsid w:val="0088683E"/>
    <w:rsid w:val="00891B9B"/>
    <w:rsid w:val="00895503"/>
    <w:rsid w:val="008B3B4A"/>
    <w:rsid w:val="008B45A0"/>
    <w:rsid w:val="008C02B4"/>
    <w:rsid w:val="008C245F"/>
    <w:rsid w:val="008C37E1"/>
    <w:rsid w:val="008D15E3"/>
    <w:rsid w:val="008D6FF9"/>
    <w:rsid w:val="008E3522"/>
    <w:rsid w:val="008F0635"/>
    <w:rsid w:val="008F1BAB"/>
    <w:rsid w:val="008F2D9A"/>
    <w:rsid w:val="009073E4"/>
    <w:rsid w:val="00907E0F"/>
    <w:rsid w:val="00925AA7"/>
    <w:rsid w:val="0093054B"/>
    <w:rsid w:val="0093472B"/>
    <w:rsid w:val="009446B3"/>
    <w:rsid w:val="00950BED"/>
    <w:rsid w:val="00951416"/>
    <w:rsid w:val="00954DC5"/>
    <w:rsid w:val="009626A2"/>
    <w:rsid w:val="00962D9D"/>
    <w:rsid w:val="00962DD0"/>
    <w:rsid w:val="00975D7A"/>
    <w:rsid w:val="009763E7"/>
    <w:rsid w:val="00976E72"/>
    <w:rsid w:val="009811DE"/>
    <w:rsid w:val="009879B9"/>
    <w:rsid w:val="009902C0"/>
    <w:rsid w:val="00995116"/>
    <w:rsid w:val="0099670C"/>
    <w:rsid w:val="009A13FC"/>
    <w:rsid w:val="009A1865"/>
    <w:rsid w:val="009A1D26"/>
    <w:rsid w:val="009A45B1"/>
    <w:rsid w:val="009A7A01"/>
    <w:rsid w:val="009C6029"/>
    <w:rsid w:val="009D38AB"/>
    <w:rsid w:val="009D7AC2"/>
    <w:rsid w:val="009E096C"/>
    <w:rsid w:val="009E7ECB"/>
    <w:rsid w:val="009F1EF1"/>
    <w:rsid w:val="009F2501"/>
    <w:rsid w:val="00A01235"/>
    <w:rsid w:val="00A04B2C"/>
    <w:rsid w:val="00A31E43"/>
    <w:rsid w:val="00A325AF"/>
    <w:rsid w:val="00A34D92"/>
    <w:rsid w:val="00A448C9"/>
    <w:rsid w:val="00A44C27"/>
    <w:rsid w:val="00A476C3"/>
    <w:rsid w:val="00A64FCE"/>
    <w:rsid w:val="00A67AEB"/>
    <w:rsid w:val="00A710EC"/>
    <w:rsid w:val="00A77E43"/>
    <w:rsid w:val="00A86F96"/>
    <w:rsid w:val="00A879A0"/>
    <w:rsid w:val="00A917C9"/>
    <w:rsid w:val="00AA39BE"/>
    <w:rsid w:val="00AA49D4"/>
    <w:rsid w:val="00AB2B10"/>
    <w:rsid w:val="00AB5D7C"/>
    <w:rsid w:val="00AC21EB"/>
    <w:rsid w:val="00AF1136"/>
    <w:rsid w:val="00AF3431"/>
    <w:rsid w:val="00AF779B"/>
    <w:rsid w:val="00B07720"/>
    <w:rsid w:val="00B16834"/>
    <w:rsid w:val="00B23731"/>
    <w:rsid w:val="00B26989"/>
    <w:rsid w:val="00B270D2"/>
    <w:rsid w:val="00B34958"/>
    <w:rsid w:val="00B476A8"/>
    <w:rsid w:val="00B60F58"/>
    <w:rsid w:val="00B704D1"/>
    <w:rsid w:val="00B9588C"/>
    <w:rsid w:val="00B96F15"/>
    <w:rsid w:val="00BB404C"/>
    <w:rsid w:val="00BB7A9C"/>
    <w:rsid w:val="00BC173B"/>
    <w:rsid w:val="00BE4787"/>
    <w:rsid w:val="00BE77CE"/>
    <w:rsid w:val="00BE7AFD"/>
    <w:rsid w:val="00C02339"/>
    <w:rsid w:val="00C06A4B"/>
    <w:rsid w:val="00C14C1C"/>
    <w:rsid w:val="00C173D5"/>
    <w:rsid w:val="00C2226C"/>
    <w:rsid w:val="00C260BF"/>
    <w:rsid w:val="00C341D2"/>
    <w:rsid w:val="00C35C39"/>
    <w:rsid w:val="00C36469"/>
    <w:rsid w:val="00C364F4"/>
    <w:rsid w:val="00C42856"/>
    <w:rsid w:val="00C428E3"/>
    <w:rsid w:val="00C522F8"/>
    <w:rsid w:val="00C5676D"/>
    <w:rsid w:val="00C65F7D"/>
    <w:rsid w:val="00C75835"/>
    <w:rsid w:val="00C75EDB"/>
    <w:rsid w:val="00C8038C"/>
    <w:rsid w:val="00C8461E"/>
    <w:rsid w:val="00C853AC"/>
    <w:rsid w:val="00C87BD7"/>
    <w:rsid w:val="00C901CD"/>
    <w:rsid w:val="00C9072C"/>
    <w:rsid w:val="00C90A6A"/>
    <w:rsid w:val="00C92865"/>
    <w:rsid w:val="00CA1BE4"/>
    <w:rsid w:val="00CA341E"/>
    <w:rsid w:val="00CB68BF"/>
    <w:rsid w:val="00CB7998"/>
    <w:rsid w:val="00CC32A4"/>
    <w:rsid w:val="00CD2C6D"/>
    <w:rsid w:val="00CF0812"/>
    <w:rsid w:val="00CF2B0D"/>
    <w:rsid w:val="00CF5D92"/>
    <w:rsid w:val="00D015F1"/>
    <w:rsid w:val="00D1260D"/>
    <w:rsid w:val="00D14D0D"/>
    <w:rsid w:val="00D26131"/>
    <w:rsid w:val="00D337EA"/>
    <w:rsid w:val="00D35901"/>
    <w:rsid w:val="00D37A57"/>
    <w:rsid w:val="00D41EB8"/>
    <w:rsid w:val="00D43D87"/>
    <w:rsid w:val="00D446DF"/>
    <w:rsid w:val="00D51038"/>
    <w:rsid w:val="00D550BC"/>
    <w:rsid w:val="00D72196"/>
    <w:rsid w:val="00D764B2"/>
    <w:rsid w:val="00DA101D"/>
    <w:rsid w:val="00DA756B"/>
    <w:rsid w:val="00DB14F1"/>
    <w:rsid w:val="00DC0F6C"/>
    <w:rsid w:val="00DC3DA2"/>
    <w:rsid w:val="00DC78D1"/>
    <w:rsid w:val="00DE35A0"/>
    <w:rsid w:val="00DF6038"/>
    <w:rsid w:val="00E0488E"/>
    <w:rsid w:val="00E13BC9"/>
    <w:rsid w:val="00E27078"/>
    <w:rsid w:val="00E31090"/>
    <w:rsid w:val="00E31538"/>
    <w:rsid w:val="00E35768"/>
    <w:rsid w:val="00E36980"/>
    <w:rsid w:val="00E4475E"/>
    <w:rsid w:val="00E477DA"/>
    <w:rsid w:val="00E6363E"/>
    <w:rsid w:val="00E67ABB"/>
    <w:rsid w:val="00E72C86"/>
    <w:rsid w:val="00E733D6"/>
    <w:rsid w:val="00E95521"/>
    <w:rsid w:val="00EA33DF"/>
    <w:rsid w:val="00EA75D7"/>
    <w:rsid w:val="00EB2E8F"/>
    <w:rsid w:val="00EB5590"/>
    <w:rsid w:val="00EB675C"/>
    <w:rsid w:val="00EB699C"/>
    <w:rsid w:val="00EC5FE3"/>
    <w:rsid w:val="00ED6690"/>
    <w:rsid w:val="00ED7A33"/>
    <w:rsid w:val="00ED7BE8"/>
    <w:rsid w:val="00EE0BF4"/>
    <w:rsid w:val="00EE3722"/>
    <w:rsid w:val="00EE7090"/>
    <w:rsid w:val="00EF6238"/>
    <w:rsid w:val="00EF7FCB"/>
    <w:rsid w:val="00F17484"/>
    <w:rsid w:val="00F23CC4"/>
    <w:rsid w:val="00F3153A"/>
    <w:rsid w:val="00F315BC"/>
    <w:rsid w:val="00F32ABD"/>
    <w:rsid w:val="00F33F78"/>
    <w:rsid w:val="00F4163D"/>
    <w:rsid w:val="00F45404"/>
    <w:rsid w:val="00F45476"/>
    <w:rsid w:val="00F4611F"/>
    <w:rsid w:val="00F54ACD"/>
    <w:rsid w:val="00F613EE"/>
    <w:rsid w:val="00F66561"/>
    <w:rsid w:val="00F71780"/>
    <w:rsid w:val="00F86730"/>
    <w:rsid w:val="00F90E96"/>
    <w:rsid w:val="00F93462"/>
    <w:rsid w:val="00F97ADD"/>
    <w:rsid w:val="00FA4EAC"/>
    <w:rsid w:val="00FB348C"/>
    <w:rsid w:val="00FB387B"/>
    <w:rsid w:val="00FB6848"/>
    <w:rsid w:val="00FC10A7"/>
    <w:rsid w:val="00FC4D68"/>
    <w:rsid w:val="00FC666F"/>
    <w:rsid w:val="00FE4AF1"/>
    <w:rsid w:val="00FF2146"/>
    <w:rsid w:val="00FF4BB0"/>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EF9DC"/>
  <w15:chartTrackingRefBased/>
  <w15:docId w15:val="{D53EE306-A2EF-4A2E-9168-A5FA9ED8B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8"/>
        <w:lang w:val="en-US"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06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698"/>
    <w:pPr>
      <w:ind w:left="720"/>
      <w:contextualSpacing/>
    </w:pPr>
  </w:style>
  <w:style w:type="paragraph" w:styleId="Header">
    <w:name w:val="header"/>
    <w:basedOn w:val="Normal"/>
    <w:link w:val="HeaderChar"/>
    <w:uiPriority w:val="99"/>
    <w:unhideWhenUsed/>
    <w:rsid w:val="009A7A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7A01"/>
  </w:style>
  <w:style w:type="paragraph" w:styleId="Footer">
    <w:name w:val="footer"/>
    <w:basedOn w:val="Normal"/>
    <w:link w:val="FooterChar"/>
    <w:uiPriority w:val="99"/>
    <w:unhideWhenUsed/>
    <w:rsid w:val="009A7A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7A01"/>
  </w:style>
  <w:style w:type="paragraph" w:styleId="Bibliography">
    <w:name w:val="Bibliography"/>
    <w:basedOn w:val="Normal"/>
    <w:next w:val="Normal"/>
    <w:uiPriority w:val="37"/>
    <w:unhideWhenUsed/>
    <w:rsid w:val="003B1A55"/>
    <w:pPr>
      <w:tabs>
        <w:tab w:val="left" w:pos="264"/>
      </w:tabs>
      <w:spacing w:after="0" w:line="480" w:lineRule="auto"/>
      <w:ind w:left="264" w:hanging="264"/>
    </w:pPr>
  </w:style>
  <w:style w:type="paragraph" w:styleId="Caption">
    <w:name w:val="caption"/>
    <w:basedOn w:val="Normal"/>
    <w:next w:val="Normal"/>
    <w:uiPriority w:val="35"/>
    <w:unhideWhenUsed/>
    <w:qFormat/>
    <w:rsid w:val="00470698"/>
    <w:pPr>
      <w:spacing w:after="200" w:line="240" w:lineRule="auto"/>
    </w:pPr>
    <w:rPr>
      <w:i/>
      <w:iCs/>
      <w:color w:val="44546A" w:themeColor="text2"/>
      <w:sz w:val="18"/>
      <w:szCs w:val="22"/>
    </w:rPr>
  </w:style>
  <w:style w:type="table" w:styleId="TableGrid">
    <w:name w:val="Table Grid"/>
    <w:basedOn w:val="TableNormal"/>
    <w:uiPriority w:val="39"/>
    <w:rsid w:val="002B0F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16BEE"/>
    <w:rPr>
      <w:sz w:val="16"/>
      <w:szCs w:val="16"/>
    </w:rPr>
  </w:style>
  <w:style w:type="paragraph" w:styleId="CommentText">
    <w:name w:val="annotation text"/>
    <w:basedOn w:val="Normal"/>
    <w:link w:val="CommentTextChar"/>
    <w:uiPriority w:val="99"/>
    <w:unhideWhenUsed/>
    <w:rsid w:val="00716BEE"/>
    <w:pPr>
      <w:spacing w:line="240" w:lineRule="auto"/>
    </w:pPr>
    <w:rPr>
      <w:sz w:val="20"/>
      <w:szCs w:val="25"/>
    </w:rPr>
  </w:style>
  <w:style w:type="character" w:customStyle="1" w:styleId="CommentTextChar">
    <w:name w:val="Comment Text Char"/>
    <w:basedOn w:val="DefaultParagraphFont"/>
    <w:link w:val="CommentText"/>
    <w:uiPriority w:val="99"/>
    <w:rsid w:val="00716BEE"/>
    <w:rPr>
      <w:sz w:val="20"/>
      <w:szCs w:val="25"/>
    </w:rPr>
  </w:style>
  <w:style w:type="paragraph" w:styleId="CommentSubject">
    <w:name w:val="annotation subject"/>
    <w:basedOn w:val="CommentText"/>
    <w:next w:val="CommentText"/>
    <w:link w:val="CommentSubjectChar"/>
    <w:uiPriority w:val="99"/>
    <w:semiHidden/>
    <w:unhideWhenUsed/>
    <w:rsid w:val="00716BEE"/>
    <w:rPr>
      <w:b/>
      <w:bCs/>
    </w:rPr>
  </w:style>
  <w:style w:type="character" w:customStyle="1" w:styleId="CommentSubjectChar">
    <w:name w:val="Comment Subject Char"/>
    <w:basedOn w:val="CommentTextChar"/>
    <w:link w:val="CommentSubject"/>
    <w:uiPriority w:val="99"/>
    <w:semiHidden/>
    <w:rsid w:val="00716BEE"/>
    <w:rPr>
      <w:b/>
      <w:bCs/>
      <w:sz w:val="20"/>
      <w:szCs w:val="25"/>
    </w:rPr>
  </w:style>
  <w:style w:type="paragraph" w:styleId="BalloonText">
    <w:name w:val="Balloon Text"/>
    <w:basedOn w:val="Normal"/>
    <w:link w:val="BalloonTextChar"/>
    <w:uiPriority w:val="99"/>
    <w:semiHidden/>
    <w:unhideWhenUsed/>
    <w:rsid w:val="00716BEE"/>
    <w:pPr>
      <w:spacing w:after="0" w:line="240" w:lineRule="auto"/>
    </w:pPr>
    <w:rPr>
      <w:rFonts w:ascii="Segoe UI" w:hAnsi="Segoe UI" w:cs="Angsana New"/>
      <w:sz w:val="18"/>
      <w:szCs w:val="22"/>
    </w:rPr>
  </w:style>
  <w:style w:type="character" w:customStyle="1" w:styleId="BalloonTextChar">
    <w:name w:val="Balloon Text Char"/>
    <w:basedOn w:val="DefaultParagraphFont"/>
    <w:link w:val="BalloonText"/>
    <w:uiPriority w:val="99"/>
    <w:semiHidden/>
    <w:rsid w:val="00716BEE"/>
    <w:rPr>
      <w:rFonts w:ascii="Segoe UI" w:hAnsi="Segoe UI" w:cs="Angsana New"/>
      <w:sz w:val="18"/>
      <w:szCs w:val="22"/>
    </w:rPr>
  </w:style>
  <w:style w:type="paragraph" w:styleId="Revision">
    <w:name w:val="Revision"/>
    <w:hidden/>
    <w:uiPriority w:val="99"/>
    <w:semiHidden/>
    <w:rsid w:val="0000064C"/>
    <w:pPr>
      <w:spacing w:after="0" w:line="240" w:lineRule="auto"/>
    </w:pPr>
  </w:style>
  <w:style w:type="character" w:styleId="PlaceholderText">
    <w:name w:val="Placeholder Text"/>
    <w:basedOn w:val="DefaultParagraphFont"/>
    <w:uiPriority w:val="99"/>
    <w:semiHidden/>
    <w:rsid w:val="00C90A6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header" Target="header1.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DB925-C357-4015-BE3D-D86831EDA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68</Pages>
  <Words>29288</Words>
  <Characters>166944</Characters>
  <Application>Microsoft Office Word</Application>
  <DocSecurity>0</DocSecurity>
  <Lines>1391</Lines>
  <Paragraphs>391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Nutth Tuchinda</dc:creator>
  <cp:keywords/>
  <dc:description/>
  <cp:lastModifiedBy>Nutth Tuchinda</cp:lastModifiedBy>
  <cp:revision>16</cp:revision>
  <cp:lastPrinted>2023-06-07T17:39:00Z</cp:lastPrinted>
  <dcterms:created xsi:type="dcterms:W3CDTF">2023-06-12T19:23:00Z</dcterms:created>
  <dcterms:modified xsi:type="dcterms:W3CDTF">2023-09-06T04:15:00Z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id="UIfW77qe"/&gt;&lt;style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 name="dontAskDelayCitationUpdates" value="true"/&gt;&lt;/prefs&gt;&lt;/data&gt;</vt:lpwstr>
  </property>
</Properties>
</file>