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D34851" w14:textId="77777777" w:rsidR="00B27E43" w:rsidRDefault="00B27E43" w:rsidP="00B27E4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446B12BC" w14:textId="44CAA2C5" w:rsidR="00B27E43" w:rsidRDefault="00B27E43" w:rsidP="00B27E4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5000">
        <w:rPr>
          <w:rFonts w:ascii="Times New Roman" w:hAnsi="Times New Roman" w:cs="Times New Roman"/>
          <w:b/>
          <w:sz w:val="24"/>
          <w:szCs w:val="24"/>
        </w:rPr>
        <w:t>The role of neutrophil heterogeneity on T-cell immunity and prognosis</w:t>
      </w:r>
    </w:p>
    <w:p w14:paraId="1587F27B" w14:textId="1BEF3FB0" w:rsidR="00B27E43" w:rsidRDefault="00B27E43" w:rsidP="00B27E4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5000">
        <w:rPr>
          <w:rFonts w:ascii="Times New Roman" w:hAnsi="Times New Roman" w:cs="Times New Roman"/>
          <w:b/>
          <w:sz w:val="24"/>
          <w:szCs w:val="24"/>
        </w:rPr>
        <w:t>in thyroid cancer patients</w:t>
      </w:r>
    </w:p>
    <w:p w14:paraId="3A384657" w14:textId="77777777" w:rsidR="00B27E43" w:rsidRDefault="00B27E43" w:rsidP="00B27E4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C0EE9B" w14:textId="18C0DF03" w:rsidR="00B27E43" w:rsidRDefault="00B27E43" w:rsidP="00B27E4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eong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Eun Lee, Bon Seok Koo </w:t>
      </w:r>
      <w:r w:rsidRPr="00B27E43">
        <w:rPr>
          <w:rFonts w:ascii="Times New Roman" w:hAnsi="Times New Roman" w:cs="Times New Roman"/>
          <w:b/>
          <w:i/>
          <w:iCs/>
          <w:sz w:val="24"/>
          <w:szCs w:val="24"/>
        </w:rPr>
        <w:t>et al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66556048" w14:textId="77777777" w:rsidR="00B27E43" w:rsidRDefault="00B27E43" w:rsidP="00B27E4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5057DC" w14:textId="7C30F2FB" w:rsidR="00B27E43" w:rsidRDefault="00B27E43" w:rsidP="00B27E4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upplementary Information</w:t>
      </w:r>
    </w:p>
    <w:p w14:paraId="7CE66F08" w14:textId="77777777" w:rsidR="00B27E43" w:rsidRDefault="00B27E43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77E1561" w14:textId="230910B1" w:rsidR="00B27E43" w:rsidRDefault="00B27E43" w:rsidP="00B27E43">
      <w:pPr>
        <w:rPr>
          <w:rFonts w:ascii="Times New Roman" w:eastAsia="바탕" w:hAnsi="Times New Roman" w:cs="Times New Roman"/>
          <w:sz w:val="24"/>
          <w:szCs w:val="24"/>
        </w:rPr>
      </w:pPr>
      <w:r>
        <w:rPr>
          <w:rFonts w:ascii="Times New Roman" w:eastAsia="바탕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DFE2801" wp14:editId="16AD520A">
            <wp:extent cx="5723890" cy="8194214"/>
            <wp:effectExtent l="0" t="0" r="0" b="0"/>
            <wp:docPr id="198797232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54"/>
                    <a:stretch/>
                  </pic:blipFill>
                  <pic:spPr bwMode="auto">
                    <a:xfrm>
                      <a:off x="0" y="0"/>
                      <a:ext cx="5723890" cy="8194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D29C5">
        <w:rPr>
          <w:rFonts w:ascii="Times New Roman" w:eastAsia="바탕" w:hAnsi="Times New Roman" w:cs="Times New Roman"/>
          <w:b/>
          <w:sz w:val="24"/>
          <w:szCs w:val="24"/>
        </w:rPr>
        <w:t>Supplementary figure 1. Comparison of gene expressions in HDN using transcriptomic data</w:t>
      </w:r>
      <w:r>
        <w:rPr>
          <w:rFonts w:ascii="Times New Roman" w:eastAsia="바탕" w:hAnsi="Times New Roman" w:cs="Times New Roman"/>
          <w:b/>
          <w:sz w:val="24"/>
          <w:szCs w:val="24"/>
        </w:rPr>
        <w:t xml:space="preserve"> </w:t>
      </w:r>
      <w:r w:rsidRPr="00C174FD">
        <w:rPr>
          <w:rFonts w:ascii="Times New Roman" w:eastAsia="바탕" w:hAnsi="Times New Roman" w:cs="Times New Roman"/>
          <w:sz w:val="24"/>
          <w:szCs w:val="24"/>
        </w:rPr>
        <w:t xml:space="preserve">(A) Volcano plot comparing gene expression in HDN between healthy controls and </w:t>
      </w:r>
      <w:r w:rsidRPr="00C174FD">
        <w:rPr>
          <w:rFonts w:ascii="Times New Roman" w:eastAsia="바탕" w:hAnsi="Times New Roman" w:cs="Times New Roman"/>
          <w:sz w:val="24"/>
          <w:szCs w:val="24"/>
        </w:rPr>
        <w:lastRenderedPageBreak/>
        <w:t>thyroid cancer patients (B) Differentially enriched Gene Ontology Biological Process (GOBP) pathway from GSEA between normal (n=9) and tumor (n=11) neutrophils. Horizontal axis and color represent normalized enrichment score (NES) and p-value, respectively. (C) Differentially enriched Gene Ontology Biological Process (GOBP) pathway related T cell immunity from GSEA between normal (n=9) and tumor (n=11) neutrophils. (D) Volcano plot comparing gene expression of HDN from DTC (n=9) and UTC (n=2). Horizontal axis and color represent normalized enrichment score (NES) and p-value, respectively. (E) Volcano plot comparing gene expression of HDN from Stage I-II (n=7) and Stage IV (n=4). Horizontal axis and color represent normalized enrichment score (NES) and p-value, respectively.</w:t>
      </w:r>
    </w:p>
    <w:p w14:paraId="716E5F31" w14:textId="77777777" w:rsidR="00B27E43" w:rsidRDefault="00B27E43" w:rsidP="00B27E43">
      <w:pPr>
        <w:rPr>
          <w:rFonts w:ascii="Times New Roman" w:eastAsia="바탕" w:hAnsi="Times New Roman" w:cs="Times New Roman"/>
          <w:sz w:val="24"/>
          <w:szCs w:val="24"/>
        </w:rPr>
      </w:pPr>
    </w:p>
    <w:p w14:paraId="4FE0B11A" w14:textId="77777777" w:rsidR="00B27E43" w:rsidRDefault="00B27E43" w:rsidP="00B27E43">
      <w:pPr>
        <w:rPr>
          <w:rFonts w:ascii="Times New Roman" w:eastAsia="바탕" w:hAnsi="Times New Roman" w:cs="Times New Roman"/>
          <w:sz w:val="24"/>
          <w:szCs w:val="24"/>
        </w:rPr>
      </w:pPr>
    </w:p>
    <w:p w14:paraId="5F3915FB" w14:textId="5909425C" w:rsidR="00B27E43" w:rsidRPr="00CD29C5" w:rsidRDefault="00B27E43" w:rsidP="00B27E43">
      <w:pPr>
        <w:rPr>
          <w:rFonts w:ascii="Times New Roman" w:eastAsia="바탕" w:hAnsi="Times New Roman" w:cs="Times New Roman"/>
          <w:b/>
          <w:sz w:val="24"/>
          <w:szCs w:val="24"/>
        </w:rPr>
      </w:pPr>
      <w:r>
        <w:rPr>
          <w:rFonts w:ascii="Times New Roman" w:eastAsia="바탕" w:hAnsi="Times New Roman" w:cs="Times New Roman"/>
          <w:noProof/>
          <w:sz w:val="24"/>
          <w:szCs w:val="24"/>
        </w:rPr>
        <w:drawing>
          <wp:inline distT="0" distB="0" distL="0" distR="0" wp14:anchorId="33C7C347" wp14:editId="0DA5C9FC">
            <wp:extent cx="5723356" cy="2398568"/>
            <wp:effectExtent l="0" t="0" r="0" b="1905"/>
            <wp:docPr id="209262443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53" b="68637"/>
                    <a:stretch/>
                  </pic:blipFill>
                  <pic:spPr bwMode="auto">
                    <a:xfrm>
                      <a:off x="0" y="0"/>
                      <a:ext cx="5723890" cy="239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07189B" w14:textId="0A47E181" w:rsidR="00B27E43" w:rsidRPr="00C174FD" w:rsidRDefault="00B27E43" w:rsidP="00B27E43">
      <w:pPr>
        <w:rPr>
          <w:rFonts w:ascii="Times New Roman" w:eastAsia="바탕" w:hAnsi="Times New Roman" w:cs="Times New Roman"/>
          <w:sz w:val="24"/>
          <w:szCs w:val="24"/>
        </w:rPr>
      </w:pPr>
      <w:r w:rsidRPr="00CD29C5">
        <w:rPr>
          <w:rFonts w:ascii="Times New Roman" w:eastAsia="바탕" w:hAnsi="Times New Roman" w:cs="Times New Roman"/>
          <w:b/>
          <w:sz w:val="24"/>
          <w:szCs w:val="24"/>
        </w:rPr>
        <w:t>Supplementary figure 2. Neutrophil-T cell interaction related gene expression in HDN in relation to tumor type and tumor stage</w:t>
      </w:r>
      <w:r>
        <w:rPr>
          <w:rFonts w:ascii="Times New Roman" w:eastAsia="바탕" w:hAnsi="Times New Roman" w:cs="Times New Roman"/>
          <w:b/>
          <w:sz w:val="24"/>
          <w:szCs w:val="24"/>
        </w:rPr>
        <w:t xml:space="preserve"> </w:t>
      </w:r>
      <w:r w:rsidRPr="00C174FD">
        <w:rPr>
          <w:rFonts w:ascii="Times New Roman" w:eastAsia="바탕" w:hAnsi="Times New Roman" w:cs="Times New Roman"/>
          <w:sz w:val="24"/>
          <w:szCs w:val="24"/>
        </w:rPr>
        <w:t xml:space="preserve">(A) Volcano plot comparing gene expression of DTC (n=9) and UTC (n=2) neutrophils. Names of neutrophils-related genes are annotated. (B) Volcano plot comparing gene expression of Stage Ⅰ-Ⅱ (n=7) and Stage Ⅳ (n=4) neutrophils. Names of neutrophil-related genes are annotated. (C) Scatterplot showing differentially expressed genes (DEGs) between Stage Ⅰ-Ⅱ versus Stage Ⅳ neutrophils (horizontal axis) and DTC versus UTC neutrophils (vertical axis), simultaneously. </w:t>
      </w:r>
    </w:p>
    <w:p w14:paraId="0E62B7C7" w14:textId="77777777" w:rsidR="00B27E43" w:rsidRPr="00B27E43" w:rsidRDefault="00B27E43" w:rsidP="00B27E43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B27E43" w:rsidRPr="00B27E4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E43"/>
    <w:rsid w:val="00044FA3"/>
    <w:rsid w:val="002679CB"/>
    <w:rsid w:val="00B2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214D7"/>
  <w15:chartTrackingRefBased/>
  <w15:docId w15:val="{BD0840CF-346A-4242-B9AF-66155D293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E4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이성은</dc:creator>
  <cp:keywords/>
  <dc:description/>
  <cp:lastModifiedBy>Yea Eun Kang</cp:lastModifiedBy>
  <cp:revision>2</cp:revision>
  <dcterms:created xsi:type="dcterms:W3CDTF">2023-12-05T17:13:00Z</dcterms:created>
  <dcterms:modified xsi:type="dcterms:W3CDTF">2023-12-05T17:13:00Z</dcterms:modified>
</cp:coreProperties>
</file>