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480" w:lineRule="auto"/>
        <w:ind w:firstLine="0" w:firstLineChars="0"/>
        <w:jc w:val="left"/>
        <w:outlineLvl w:val="9"/>
        <w:rPr>
          <w:rFonts w:hint="default" w:ascii="Times New Roman" w:hAnsi="Times New Roman" w:cs="Times New Roman"/>
          <w:highlight w:val="none"/>
        </w:rPr>
      </w:pPr>
      <w:bookmarkStart w:id="1" w:name="_GoBack"/>
      <w:bookmarkStart w:id="0" w:name="OLE_LINK1"/>
      <w:r>
        <w:rPr>
          <w:rFonts w:hint="default" w:ascii="Times New Roman" w:hAnsi="Times New Roman" w:cs="Times New Roman"/>
          <w:b/>
          <w:bCs/>
          <w:highlight w:val="none"/>
        </w:rPr>
        <w:t xml:space="preserve">Table </w:t>
      </w:r>
      <w:r>
        <w:rPr>
          <w:rFonts w:hint="default" w:ascii="Times New Roman" w:hAnsi="Times New Roman" w:cs="Times New Roman"/>
          <w:b/>
          <w:bCs/>
          <w:highlight w:val="none"/>
        </w:rPr>
        <w:t>S</w:t>
      </w:r>
      <w:r>
        <w:rPr>
          <w:rFonts w:hint="default" w:ascii="Times New Roman" w:hAnsi="Times New Roman" w:cs="Times New Roman"/>
          <w:b/>
          <w:bCs/>
          <w:highlight w:val="none"/>
        </w:rPr>
        <w:t>1</w:t>
      </w:r>
      <w:r>
        <w:rPr>
          <w:rFonts w:hint="default" w:ascii="Times New Roman" w:hAnsi="Times New Roman" w:cs="Times New Roman"/>
          <w:highlight w:val="none"/>
        </w:rPr>
        <w:t xml:space="preserve"> RED and Hansen Solubility Parameters of </w:t>
      </w:r>
      <w:r>
        <w:rPr>
          <w:rFonts w:hint="default" w:ascii="Times New Roman" w:hAnsi="Times New Roman" w:cs="Times New Roman"/>
          <w:highlight w:val="none"/>
        </w:rPr>
        <w:t>3</w:t>
      </w:r>
      <w:r>
        <w:rPr>
          <w:rFonts w:hint="default" w:ascii="Times New Roman" w:hAnsi="Times New Roman" w:cs="Times New Roman"/>
          <w:highlight w:val="none"/>
        </w:rPr>
        <w:t xml:space="preserve"> Solvents</w:t>
      </w:r>
      <w:r>
        <w:rPr>
          <w:rFonts w:hint="default" w:ascii="Times New Roman" w:hAnsi="Times New Roman" w:cs="Times New Roman"/>
          <w:highlight w:val="none"/>
        </w:rPr>
        <w:t>.</w:t>
      </w:r>
    </w:p>
    <w:bookmarkEnd w:id="0"/>
    <w:tbl>
      <w:tblPr>
        <w:tblStyle w:val="2"/>
        <w:tblW w:w="75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1"/>
        <w:gridCol w:w="1788"/>
        <w:gridCol w:w="1535"/>
        <w:gridCol w:w="934"/>
        <w:gridCol w:w="16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solvents</w:t>
            </w:r>
          </w:p>
        </w:tc>
        <w:tc>
          <w:tcPr>
            <w:tcW w:w="4257" w:type="dxa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Hansen solubility parameters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/MPa1/2</w:t>
            </w:r>
          </w:p>
        </w:tc>
        <w:tc>
          <w:tcPr>
            <w:tcW w:w="16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RED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01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1,4-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Dio</w:t>
            </w:r>
          </w:p>
        </w:tc>
        <w:tc>
          <w:tcPr>
            <w:tcW w:w="1788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δd19.0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δp1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.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δh7.4</w:t>
            </w:r>
          </w:p>
        </w:tc>
        <w:tc>
          <w:tcPr>
            <w:tcW w:w="1696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.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Etoh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δd15.8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δp8.8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δh19.4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01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THF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δd16.8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δp5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.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δ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p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8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.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eastAsia="zh-Hans" w:bidi="ar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Times New Roman Regular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1.06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480" w:lineRule="auto"/>
        <w:ind w:firstLine="0" w:firstLineChars="0"/>
        <w:jc w:val="left"/>
        <w:outlineLvl w:val="9"/>
        <w:rPr>
          <w:rFonts w:hint="default" w:ascii="Times New Roman" w:hAnsi="Times New Roman" w:cs="Times New Roman"/>
          <w:highlight w:val="none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720" w:num="1"/>
          <w:docGrid w:type="lines" w:linePitch="312" w:charSpace="0"/>
        </w:sectPr>
      </w:pPr>
      <w:r>
        <w:rPr>
          <w:rFonts w:hint="default" w:ascii="Times New Roman" w:hAnsi="Times New Roman" w:cs="Times New Roman"/>
          <w:highlight w:val="none"/>
        </w:rPr>
        <w:t xml:space="preserve">a: </w:t>
      </w:r>
      <w:r>
        <w:rPr>
          <w:rFonts w:hint="default" w:ascii="Times New Roman" w:hAnsi="Times New Roman" w:cs="Times New Roman"/>
          <w:highlight w:val="none"/>
        </w:rPr>
        <w:t>For water-soluble solvents, RED is the relative energy difference of solvent-system–lignin (50% solvent–50% water) interactions. For water-insoluble solvents, RED is the relative energy difference of solvent–lignin interactions.</w:t>
      </w:r>
    </w:p>
    <w:p>
      <w:pPr>
        <w:rPr>
          <w:rFonts w:hint="default" w:ascii="Times New Roman" w:hAnsi="Times New Roman" w:cs="Times New Roman"/>
        </w:rPr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A68E2"/>
    <w:rsid w:val="00AB41A8"/>
    <w:rsid w:val="255F31D5"/>
    <w:rsid w:val="5A292C33"/>
    <w:rsid w:val="5AEA68E2"/>
    <w:rsid w:val="67D7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2019-05-30T11:37:00Z</dcterms:created>
  <dc:creator>黄曹兴</dc:creator>
  <cp:lastModifiedBy>黄曹兴</cp:lastModifiedBy>
  <dcterms:modified xsi:type="dcterms:W3CDTF">2021-03-23T09:19:57Z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