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4B559" w14:textId="77777777" w:rsidR="007A7A34" w:rsidRDefault="5F52F124" w:rsidP="00FC4ABA">
      <w:pPr>
        <w:spacing w:line="480" w:lineRule="auto"/>
        <w:ind w:firstLine="0"/>
        <w:rPr>
          <w:b/>
          <w:bCs/>
          <w:sz w:val="28"/>
          <w:szCs w:val="28"/>
        </w:rPr>
      </w:pPr>
      <w:r w:rsidRPr="00645882">
        <w:rPr>
          <w:b/>
          <w:bCs/>
          <w:sz w:val="28"/>
          <w:szCs w:val="28"/>
        </w:rPr>
        <w:t>Supplementary Information</w:t>
      </w:r>
    </w:p>
    <w:p w14:paraId="3F6BB88E" w14:textId="62F4F5EA" w:rsidR="00836E19" w:rsidRDefault="00836E19" w:rsidP="00FC4ABA">
      <w:pPr>
        <w:spacing w:line="480" w:lineRule="auto"/>
        <w:ind w:firstLine="0"/>
        <w:rPr>
          <w:noProof/>
        </w:rPr>
      </w:pPr>
      <w:r>
        <w:rPr>
          <w:noProof/>
        </w:rPr>
        <w:drawing>
          <wp:inline distT="0" distB="0" distL="0" distR="0" wp14:anchorId="0C727D6A" wp14:editId="1459E239">
            <wp:extent cx="6480000" cy="6120000"/>
            <wp:effectExtent l="0" t="0" r="0" b="0"/>
            <wp:docPr id="1562587958" name="Picture 4" descr="A close-up of a lak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2587958" name="Picture 4" descr="A close-up of a lak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80000" cy="6120000"/>
                    </a:xfrm>
                    <a:prstGeom prst="rect">
                      <a:avLst/>
                    </a:prstGeom>
                    <a:noFill/>
                    <a:ln>
                      <a:noFill/>
                    </a:ln>
                  </pic:spPr>
                </pic:pic>
              </a:graphicData>
            </a:graphic>
          </wp:inline>
        </w:drawing>
      </w:r>
    </w:p>
    <w:p w14:paraId="22879E71" w14:textId="43CC6778" w:rsidR="00B96A48" w:rsidRPr="00C46828" w:rsidRDefault="00ED7DFD" w:rsidP="00030F25">
      <w:pPr>
        <w:spacing w:after="0" w:line="480" w:lineRule="auto"/>
        <w:ind w:firstLine="0"/>
        <w:rPr>
          <w:color w:val="000000" w:themeColor="text1"/>
        </w:rPr>
      </w:pPr>
      <w:r w:rsidRPr="7EBC7D04">
        <w:rPr>
          <w:b/>
          <w:bCs/>
          <w:color w:val="000000" w:themeColor="text1"/>
        </w:rPr>
        <w:t xml:space="preserve">Figure </w:t>
      </w:r>
      <w:r w:rsidR="00615E36">
        <w:rPr>
          <w:b/>
          <w:bCs/>
          <w:color w:val="000000" w:themeColor="text1"/>
        </w:rPr>
        <w:t>S</w:t>
      </w:r>
      <w:r w:rsidRPr="7EBC7D04">
        <w:rPr>
          <w:b/>
          <w:bCs/>
          <w:color w:val="000000" w:themeColor="text1"/>
        </w:rPr>
        <w:fldChar w:fldCharType="begin"/>
      </w:r>
      <w:r w:rsidRPr="7EBC7D04">
        <w:rPr>
          <w:b/>
          <w:bCs/>
          <w:color w:val="000000" w:themeColor="text1"/>
        </w:rPr>
        <w:instrText xml:space="preserve"> SEQ Figure \* ARABIC </w:instrText>
      </w:r>
      <w:r w:rsidRPr="7EBC7D04">
        <w:rPr>
          <w:b/>
          <w:bCs/>
          <w:color w:val="000000" w:themeColor="text1"/>
        </w:rPr>
        <w:fldChar w:fldCharType="separate"/>
      </w:r>
      <w:r w:rsidRPr="7EBC7D04">
        <w:rPr>
          <w:b/>
          <w:bCs/>
          <w:noProof/>
          <w:color w:val="000000" w:themeColor="text1"/>
        </w:rPr>
        <w:t>1</w:t>
      </w:r>
      <w:r w:rsidRPr="7EBC7D04">
        <w:rPr>
          <w:b/>
          <w:bCs/>
          <w:color w:val="000000" w:themeColor="text1"/>
        </w:rPr>
        <w:fldChar w:fldCharType="end"/>
      </w:r>
      <w:r w:rsidRPr="7EBC7D04">
        <w:rPr>
          <w:b/>
          <w:bCs/>
          <w:color w:val="000000" w:themeColor="text1"/>
        </w:rPr>
        <w:t xml:space="preserve">. </w:t>
      </w:r>
      <w:r w:rsidR="00CE3754">
        <w:rPr>
          <w:b/>
          <w:bCs/>
          <w:color w:val="000000" w:themeColor="text1"/>
        </w:rPr>
        <w:t>Catchment geomorphology.</w:t>
      </w:r>
      <w:r w:rsidR="009A112C">
        <w:rPr>
          <w:b/>
          <w:bCs/>
          <w:color w:val="000000" w:themeColor="text1"/>
        </w:rPr>
        <w:t xml:space="preserve"> </w:t>
      </w:r>
      <w:r w:rsidRPr="00C46828">
        <w:rPr>
          <w:b/>
          <w:bCs/>
          <w:color w:val="000000" w:themeColor="text1"/>
        </w:rPr>
        <w:t>a</w:t>
      </w:r>
      <w:r w:rsidRPr="7EBC7D04">
        <w:rPr>
          <w:color w:val="000000" w:themeColor="text1"/>
        </w:rPr>
        <w:t xml:space="preserve"> </w:t>
      </w:r>
      <w:r w:rsidR="000E0F2B">
        <w:rPr>
          <w:color w:val="000000" w:themeColor="text1"/>
        </w:rPr>
        <w:t>View over Lake Steinbruvatnet from the southwest</w:t>
      </w:r>
      <w:r w:rsidR="00F76738">
        <w:rPr>
          <w:color w:val="000000" w:themeColor="text1"/>
        </w:rPr>
        <w:t xml:space="preserve"> </w:t>
      </w:r>
      <w:r w:rsidR="000C5C64" w:rsidRPr="7EBC7D04">
        <w:rPr>
          <w:color w:val="000000" w:themeColor="text1"/>
        </w:rPr>
        <w:t xml:space="preserve">(photo by </w:t>
      </w:r>
      <w:r w:rsidR="00027ECE">
        <w:rPr>
          <w:color w:val="000000" w:themeColor="text1"/>
        </w:rPr>
        <w:t>M. C. Strzelecki</w:t>
      </w:r>
      <w:r w:rsidR="000C5C64" w:rsidRPr="7EBC7D04">
        <w:rPr>
          <w:color w:val="000000" w:themeColor="text1"/>
        </w:rPr>
        <w:t>)</w:t>
      </w:r>
      <w:r w:rsidRPr="7EBC7D04">
        <w:rPr>
          <w:color w:val="000000" w:themeColor="text1"/>
        </w:rPr>
        <w:t>.</w:t>
      </w:r>
      <w:r w:rsidRPr="7EBC7D04">
        <w:rPr>
          <w:rFonts w:eastAsia="Calibri"/>
          <w:color w:val="000000" w:themeColor="text1"/>
        </w:rPr>
        <w:t xml:space="preserve"> </w:t>
      </w:r>
      <w:r w:rsidRPr="00C46828">
        <w:rPr>
          <w:rFonts w:eastAsia="Calibri"/>
          <w:b/>
          <w:bCs/>
          <w:color w:val="000000" w:themeColor="text1"/>
        </w:rPr>
        <w:t>b</w:t>
      </w:r>
      <w:r w:rsidR="00C6585F" w:rsidRPr="7EBC7D04">
        <w:rPr>
          <w:color w:val="000000" w:themeColor="text1"/>
        </w:rPr>
        <w:t xml:space="preserve"> </w:t>
      </w:r>
      <w:r w:rsidR="0045142B" w:rsidRPr="005440B0">
        <w:rPr>
          <w:rStyle w:val="normaltextrun"/>
          <w:color w:val="000000" w:themeColor="text1"/>
          <w:shd w:val="clear" w:color="auto" w:fill="FFFFFF"/>
        </w:rPr>
        <w:t>T</w:t>
      </w:r>
      <w:r w:rsidR="00C838A6" w:rsidRPr="005440B0">
        <w:rPr>
          <w:rStyle w:val="normaltextrun"/>
          <w:color w:val="000000" w:themeColor="text1"/>
          <w:shd w:val="clear" w:color="auto" w:fill="FFFFFF"/>
        </w:rPr>
        <w:t>he base of the rock</w:t>
      </w:r>
      <w:r w:rsidR="009A112C">
        <w:rPr>
          <w:rStyle w:val="normaltextrun"/>
          <w:color w:val="000000" w:themeColor="text1"/>
          <w:shd w:val="clear" w:color="auto" w:fill="FFFFFF"/>
        </w:rPr>
        <w:t>y</w:t>
      </w:r>
      <w:r w:rsidR="00C838A6" w:rsidRPr="005440B0">
        <w:rPr>
          <w:rStyle w:val="normaltextrun"/>
          <w:color w:val="000000" w:themeColor="text1"/>
          <w:shd w:val="clear" w:color="auto" w:fill="FFFFFF"/>
        </w:rPr>
        <w:t xml:space="preserve"> ridge</w:t>
      </w:r>
      <w:r w:rsidR="005440B0" w:rsidRPr="005440B0">
        <w:rPr>
          <w:rStyle w:val="normaltextrun"/>
          <w:color w:val="000000" w:themeColor="text1"/>
          <w:shd w:val="clear" w:color="auto" w:fill="FFFFFF"/>
        </w:rPr>
        <w:t xml:space="preserve"> </w:t>
      </w:r>
      <w:r w:rsidR="009A112C">
        <w:rPr>
          <w:rStyle w:val="normaltextrun"/>
          <w:color w:val="000000" w:themeColor="text1"/>
          <w:shd w:val="clear" w:color="auto" w:fill="FFFFFF"/>
        </w:rPr>
        <w:t xml:space="preserve">that </w:t>
      </w:r>
      <w:r w:rsidR="00480B74">
        <w:rPr>
          <w:rStyle w:val="normaltextrun"/>
          <w:color w:val="000000" w:themeColor="text1"/>
          <w:shd w:val="clear" w:color="auto" w:fill="FFFFFF"/>
        </w:rPr>
        <w:t>shelters Lake</w:t>
      </w:r>
      <w:r w:rsidR="009A112C">
        <w:rPr>
          <w:rStyle w:val="normaltextrun"/>
          <w:color w:val="000000" w:themeColor="text1"/>
          <w:shd w:val="clear" w:color="auto" w:fill="FFFFFF"/>
        </w:rPr>
        <w:t xml:space="preserve"> Steinbruvatnet</w:t>
      </w:r>
      <w:r w:rsidR="00480B74">
        <w:rPr>
          <w:rStyle w:val="normaltextrun"/>
          <w:color w:val="000000" w:themeColor="text1"/>
          <w:shd w:val="clear" w:color="auto" w:fill="FFFFFF"/>
        </w:rPr>
        <w:t xml:space="preserve"> from the </w:t>
      </w:r>
      <w:r w:rsidR="00211491">
        <w:rPr>
          <w:rStyle w:val="normaltextrun"/>
          <w:color w:val="000000" w:themeColor="text1"/>
          <w:shd w:val="clear" w:color="auto" w:fill="FFFFFF"/>
        </w:rPr>
        <w:t>w</w:t>
      </w:r>
      <w:r w:rsidR="00F95FF9">
        <w:rPr>
          <w:rStyle w:val="normaltextrun"/>
          <w:color w:val="000000" w:themeColor="text1"/>
          <w:shd w:val="clear" w:color="auto" w:fill="FFFFFF"/>
        </w:rPr>
        <w:t xml:space="preserve">esterlies with the </w:t>
      </w:r>
      <w:r w:rsidR="001902E4">
        <w:rPr>
          <w:rStyle w:val="normaltextrun"/>
          <w:color w:val="000000" w:themeColor="text1"/>
          <w:shd w:val="clear" w:color="auto" w:fill="FFFFFF"/>
        </w:rPr>
        <w:t xml:space="preserve">shadow dune sampled for CS 2 (see setting and </w:t>
      </w:r>
      <w:r w:rsidR="0069317D">
        <w:rPr>
          <w:rStyle w:val="normaltextrun"/>
          <w:color w:val="000000" w:themeColor="text1"/>
          <w:shd w:val="clear" w:color="auto" w:fill="FFFFFF"/>
        </w:rPr>
        <w:t>Fig. S4; photo by C.</w:t>
      </w:r>
      <w:r w:rsidR="00C46828">
        <w:rPr>
          <w:rStyle w:val="normaltextrun"/>
          <w:color w:val="000000" w:themeColor="text1"/>
          <w:shd w:val="clear" w:color="auto" w:fill="FFFFFF"/>
        </w:rPr>
        <w:t xml:space="preserve"> </w:t>
      </w:r>
      <w:r w:rsidR="0069317D">
        <w:rPr>
          <w:rStyle w:val="normaltextrun"/>
          <w:color w:val="000000" w:themeColor="text1"/>
          <w:shd w:val="clear" w:color="auto" w:fill="FFFFFF"/>
        </w:rPr>
        <w:t xml:space="preserve">J. Hein). </w:t>
      </w:r>
      <w:r w:rsidR="006C0069" w:rsidRPr="00C46828">
        <w:rPr>
          <w:rStyle w:val="normaltextrun"/>
          <w:b/>
          <w:bCs/>
          <w:color w:val="000000" w:themeColor="text1"/>
          <w:shd w:val="clear" w:color="auto" w:fill="FFFFFF"/>
        </w:rPr>
        <w:t>c</w:t>
      </w:r>
      <w:r w:rsidR="006C0069" w:rsidRPr="00182020">
        <w:rPr>
          <w:rStyle w:val="normaltextrun"/>
          <w:color w:val="000000" w:themeColor="text1"/>
          <w:shd w:val="clear" w:color="auto" w:fill="FFFFFF"/>
        </w:rPr>
        <w:t xml:space="preserve"> </w:t>
      </w:r>
      <w:r w:rsidR="00562F89">
        <w:rPr>
          <w:rStyle w:val="normaltextrun"/>
          <w:color w:val="000000" w:themeColor="text1"/>
          <w:shd w:val="clear" w:color="auto" w:fill="FFFFFF"/>
        </w:rPr>
        <w:t>Silty sheet sampled for CS 1 (see Fig. S4) to the Eas</w:t>
      </w:r>
      <w:r w:rsidR="00D459D7">
        <w:rPr>
          <w:rStyle w:val="normaltextrun"/>
          <w:color w:val="000000" w:themeColor="text1"/>
          <w:shd w:val="clear" w:color="auto" w:fill="FFFFFF"/>
        </w:rPr>
        <w:t>t</w:t>
      </w:r>
      <w:r w:rsidR="00562F89">
        <w:rPr>
          <w:rStyle w:val="normaltextrun"/>
          <w:color w:val="000000" w:themeColor="text1"/>
          <w:shd w:val="clear" w:color="auto" w:fill="FFFFFF"/>
        </w:rPr>
        <w:t xml:space="preserve"> of </w:t>
      </w:r>
      <w:r w:rsidR="00084A47">
        <w:rPr>
          <w:rStyle w:val="normaltextrun"/>
          <w:color w:val="000000" w:themeColor="text1"/>
          <w:shd w:val="clear" w:color="auto" w:fill="FFFFFF"/>
        </w:rPr>
        <w:t>Lake Steinbruvatnet. Also note the n</w:t>
      </w:r>
      <w:r w:rsidR="00066EFF" w:rsidRPr="00182020">
        <w:rPr>
          <w:rStyle w:val="normaltextrun"/>
          <w:color w:val="000000" w:themeColor="text1"/>
          <w:shd w:val="clear" w:color="auto" w:fill="FFFFFF"/>
        </w:rPr>
        <w:t xml:space="preserve">umerous </w:t>
      </w:r>
      <w:r w:rsidR="00CD23CD" w:rsidRPr="00182020">
        <w:rPr>
          <w:rStyle w:val="normaltextrun"/>
          <w:color w:val="000000" w:themeColor="text1"/>
          <w:shd w:val="clear" w:color="auto" w:fill="FFFFFF"/>
        </w:rPr>
        <w:t>cushion-like tundra plants growing in beach ridge swales</w:t>
      </w:r>
      <w:r w:rsidR="00182020" w:rsidRPr="00182020">
        <w:rPr>
          <w:rStyle w:val="normaltextrun"/>
          <w:color w:val="000000" w:themeColor="text1"/>
          <w:shd w:val="clear" w:color="auto" w:fill="FFFFFF"/>
        </w:rPr>
        <w:t xml:space="preserve"> and</w:t>
      </w:r>
      <w:r w:rsidR="003B6552" w:rsidRPr="00182020">
        <w:rPr>
          <w:rStyle w:val="normaltextrun"/>
          <w:color w:val="000000" w:themeColor="text1"/>
          <w:shd w:val="clear" w:color="auto" w:fill="FFFFFF"/>
        </w:rPr>
        <w:t xml:space="preserve"> </w:t>
      </w:r>
      <w:r w:rsidR="00CD23CD" w:rsidRPr="00182020">
        <w:rPr>
          <w:rStyle w:val="normaltextrun"/>
          <w:color w:val="000000" w:themeColor="text1"/>
          <w:shd w:val="clear" w:color="auto" w:fill="FFFFFF"/>
        </w:rPr>
        <w:t>shape</w:t>
      </w:r>
      <w:r w:rsidR="00182020" w:rsidRPr="00182020">
        <w:rPr>
          <w:rStyle w:val="normaltextrun"/>
          <w:color w:val="000000" w:themeColor="text1"/>
          <w:shd w:val="clear" w:color="auto" w:fill="FFFFFF"/>
        </w:rPr>
        <w:t>d</w:t>
      </w:r>
      <w:r w:rsidR="00CD23CD" w:rsidRPr="00182020">
        <w:rPr>
          <w:rStyle w:val="normaltextrun"/>
          <w:color w:val="000000" w:themeColor="text1"/>
          <w:shd w:val="clear" w:color="auto" w:fill="FFFFFF"/>
        </w:rPr>
        <w:t xml:space="preserve"> </w:t>
      </w:r>
      <w:r w:rsidR="003B6552" w:rsidRPr="00182020">
        <w:rPr>
          <w:rStyle w:val="normaltextrun"/>
          <w:color w:val="000000" w:themeColor="text1"/>
          <w:shd w:val="clear" w:color="auto" w:fill="FFFFFF"/>
        </w:rPr>
        <w:t>like</w:t>
      </w:r>
      <w:r w:rsidR="00CD23CD" w:rsidRPr="00182020">
        <w:rPr>
          <w:rStyle w:val="normaltextrun"/>
          <w:color w:val="000000" w:themeColor="text1"/>
          <w:shd w:val="clear" w:color="auto" w:fill="FFFFFF"/>
        </w:rPr>
        <w:t xml:space="preserve"> miniature parabolic dunes</w:t>
      </w:r>
      <w:r w:rsidR="003B6552" w:rsidRPr="00182020">
        <w:rPr>
          <w:rStyle w:val="normaltextrun"/>
          <w:color w:val="000000" w:themeColor="text1"/>
          <w:shd w:val="clear" w:color="auto" w:fill="FFFFFF"/>
        </w:rPr>
        <w:t xml:space="preserve"> (photo by S. Lindhorst)</w:t>
      </w:r>
      <w:r w:rsidR="00CD23CD" w:rsidRPr="00182020">
        <w:rPr>
          <w:rStyle w:val="normaltextrun"/>
          <w:color w:val="000000" w:themeColor="text1"/>
          <w:shd w:val="clear" w:color="auto" w:fill="FFFFFF"/>
        </w:rPr>
        <w:t>.</w:t>
      </w:r>
    </w:p>
    <w:p w14:paraId="2BDD52C7" w14:textId="77777777" w:rsidR="00983C06" w:rsidRDefault="00983C06" w:rsidP="00FC4ABA">
      <w:pPr>
        <w:spacing w:line="480" w:lineRule="auto"/>
        <w:ind w:firstLine="0"/>
        <w:rPr>
          <w:b/>
          <w:bCs/>
        </w:rPr>
        <w:sectPr w:rsidR="00983C06">
          <w:pgSz w:w="11906" w:h="16838"/>
          <w:pgMar w:top="1417" w:right="1417" w:bottom="1417" w:left="1417" w:header="708" w:footer="708" w:gutter="0"/>
          <w:cols w:space="708"/>
          <w:docGrid w:linePitch="360"/>
        </w:sectPr>
      </w:pPr>
    </w:p>
    <w:p w14:paraId="1E788EFF" w14:textId="77777777" w:rsidR="00112E8C" w:rsidRDefault="00112E8C" w:rsidP="00FC4ABA">
      <w:pPr>
        <w:spacing w:line="480" w:lineRule="auto"/>
        <w:ind w:firstLine="0"/>
        <w:rPr>
          <w:b/>
          <w:bCs/>
        </w:rPr>
      </w:pPr>
      <w:r>
        <w:rPr>
          <w:noProof/>
        </w:rPr>
        <w:lastRenderedPageBreak/>
        <w:drawing>
          <wp:inline distT="0" distB="0" distL="0" distR="0" wp14:anchorId="40DB3866" wp14:editId="160D4403">
            <wp:extent cx="3240000" cy="5817600"/>
            <wp:effectExtent l="0" t="0" r="0" b="0"/>
            <wp:docPr id="1779869447" name="Picture 1" descr="A close-up of a measuring sc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869447" name="Picture 1" descr="A close-up of a measuring scal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0000" cy="5817600"/>
                    </a:xfrm>
                    <a:prstGeom prst="rect">
                      <a:avLst/>
                    </a:prstGeom>
                    <a:noFill/>
                    <a:ln>
                      <a:noFill/>
                    </a:ln>
                  </pic:spPr>
                </pic:pic>
              </a:graphicData>
            </a:graphic>
          </wp:inline>
        </w:drawing>
      </w:r>
    </w:p>
    <w:p w14:paraId="2DD09CC9" w14:textId="5456BC09" w:rsidR="000E6945" w:rsidRPr="007044B1" w:rsidRDefault="000E6945" w:rsidP="00FC4ABA">
      <w:pPr>
        <w:spacing w:line="480" w:lineRule="auto"/>
        <w:ind w:firstLine="0"/>
      </w:pPr>
      <w:r w:rsidRPr="64D41CA0">
        <w:rPr>
          <w:b/>
          <w:bCs/>
        </w:rPr>
        <w:t xml:space="preserve">Figure </w:t>
      </w:r>
      <w:r w:rsidR="00615E36">
        <w:rPr>
          <w:b/>
          <w:bCs/>
        </w:rPr>
        <w:t>S</w:t>
      </w:r>
      <w:r w:rsidRPr="64D41CA0">
        <w:rPr>
          <w:b/>
          <w:bCs/>
        </w:rPr>
        <w:t>2.</w:t>
      </w:r>
      <w:r>
        <w:t xml:space="preserve"> </w:t>
      </w:r>
      <w:r w:rsidR="0054741B" w:rsidRPr="00C46828">
        <w:rPr>
          <w:b/>
          <w:bCs/>
        </w:rPr>
        <w:t xml:space="preserve">CT orthoslice of </w:t>
      </w:r>
      <w:r w:rsidR="007044B1" w:rsidRPr="00C46828">
        <w:rPr>
          <w:b/>
          <w:bCs/>
        </w:rPr>
        <w:t>analyzed core 601-21-6-GC and a close-up of the top 7 cm.</w:t>
      </w:r>
      <w:r w:rsidR="007044B1">
        <w:rPr>
          <w:b/>
          <w:bCs/>
        </w:rPr>
        <w:t xml:space="preserve"> </w:t>
      </w:r>
      <w:r>
        <w:t xml:space="preserve">Visual assessment reveals a porous and homogenized composition, </w:t>
      </w:r>
      <w:r w:rsidR="007044B1">
        <w:t xml:space="preserve">which is </w:t>
      </w:r>
      <w:r>
        <w:t>markedly different from the</w:t>
      </w:r>
      <w:r w:rsidR="007044B1">
        <w:t xml:space="preserve"> underlying</w:t>
      </w:r>
      <w:r>
        <w:t xml:space="preserve"> 99 cm (</w:t>
      </w:r>
      <w:r w:rsidR="00EA0085">
        <w:t xml:space="preserve">see </w:t>
      </w:r>
      <w:r w:rsidR="007044B1">
        <w:t>results</w:t>
      </w:r>
      <w:r>
        <w:t>).</w:t>
      </w:r>
    </w:p>
    <w:p w14:paraId="64BD62E0" w14:textId="77777777" w:rsidR="00983C06" w:rsidRDefault="00983C06" w:rsidP="00FC4ABA">
      <w:pPr>
        <w:spacing w:before="240" w:line="480" w:lineRule="auto"/>
        <w:ind w:firstLine="0"/>
        <w:rPr>
          <w:szCs w:val="24"/>
        </w:rPr>
        <w:sectPr w:rsidR="00983C06">
          <w:pgSz w:w="11906" w:h="16838"/>
          <w:pgMar w:top="1417" w:right="1417" w:bottom="1417" w:left="1417" w:header="708" w:footer="708" w:gutter="0"/>
          <w:cols w:space="708"/>
          <w:docGrid w:linePitch="360"/>
        </w:sectPr>
      </w:pPr>
    </w:p>
    <w:p w14:paraId="6EB99D1A" w14:textId="7B667EA6" w:rsidR="00C33864" w:rsidRPr="00381319" w:rsidRDefault="00C32C72" w:rsidP="00FC4ABA">
      <w:pPr>
        <w:spacing w:before="240" w:line="480" w:lineRule="auto"/>
        <w:ind w:firstLine="0"/>
        <w:rPr>
          <w:b/>
          <w:bCs/>
        </w:rPr>
      </w:pPr>
      <w:r>
        <w:rPr>
          <w:noProof/>
          <w14:ligatures w14:val="standardContextual"/>
        </w:rPr>
        <w:lastRenderedPageBreak/>
        <w:drawing>
          <wp:inline distT="0" distB="0" distL="0" distR="0" wp14:anchorId="6D014277" wp14:editId="46122B34">
            <wp:extent cx="6480000" cy="4852800"/>
            <wp:effectExtent l="0" t="0" r="0" b="5080"/>
            <wp:docPr id="1731203887" name="Picture 1" descr="A graph of grayscale and purple colored valu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203887" name="Picture 1" descr="A graph of grayscale and purple colored values&#10;&#10;Description automatically generated with medium confidence"/>
                    <pic:cNvPicPr/>
                  </pic:nvPicPr>
                  <pic:blipFill>
                    <a:blip r:embed="rId13"/>
                    <a:stretch>
                      <a:fillRect/>
                    </a:stretch>
                  </pic:blipFill>
                  <pic:spPr>
                    <a:xfrm>
                      <a:off x="0" y="0"/>
                      <a:ext cx="6480000" cy="4852800"/>
                    </a:xfrm>
                    <a:prstGeom prst="rect">
                      <a:avLst/>
                    </a:prstGeom>
                  </pic:spPr>
                </pic:pic>
              </a:graphicData>
            </a:graphic>
          </wp:inline>
        </w:drawing>
      </w:r>
      <w:r w:rsidR="00C33864" w:rsidRPr="009352E1">
        <w:rPr>
          <w:rStyle w:val="Strong"/>
          <w:color w:val="0E101A"/>
        </w:rPr>
        <w:t xml:space="preserve">Figure </w:t>
      </w:r>
      <w:r w:rsidR="00AE19FC">
        <w:rPr>
          <w:rStyle w:val="Strong"/>
          <w:color w:val="0E101A"/>
        </w:rPr>
        <w:t>S</w:t>
      </w:r>
      <w:r w:rsidR="00C33864" w:rsidRPr="009352E1">
        <w:rPr>
          <w:rStyle w:val="Strong"/>
          <w:color w:val="0E101A"/>
        </w:rPr>
        <w:t>3.</w:t>
      </w:r>
      <w:r w:rsidR="00C33864" w:rsidRPr="009352E1">
        <w:t> </w:t>
      </w:r>
      <w:r w:rsidR="00C33864" w:rsidRPr="009352E1">
        <w:rPr>
          <w:rStyle w:val="Strong"/>
          <w:color w:val="0E101A"/>
        </w:rPr>
        <w:t>CT scan</w:t>
      </w:r>
      <w:r w:rsidR="00AE19FC">
        <w:rPr>
          <w:rStyle w:val="Strong"/>
          <w:color w:val="0E101A"/>
        </w:rPr>
        <w:t xml:space="preserve"> </w:t>
      </w:r>
      <w:r w:rsidR="00C404E7">
        <w:rPr>
          <w:rStyle w:val="Strong"/>
          <w:color w:val="0E101A"/>
        </w:rPr>
        <w:t>visualizations with gr</w:t>
      </w:r>
      <w:r w:rsidR="007028E8">
        <w:rPr>
          <w:rStyle w:val="Strong"/>
          <w:color w:val="0E101A"/>
        </w:rPr>
        <w:t>a</w:t>
      </w:r>
      <w:r w:rsidR="00C404E7">
        <w:rPr>
          <w:rStyle w:val="Strong"/>
          <w:color w:val="0E101A"/>
        </w:rPr>
        <w:t xml:space="preserve">yscale values highlighted in histograms. </w:t>
      </w:r>
      <w:r w:rsidR="009A56DC">
        <w:rPr>
          <w:rStyle w:val="Strong"/>
          <w:b w:val="0"/>
          <w:bCs w:val="0"/>
          <w:color w:val="0E101A"/>
        </w:rPr>
        <w:t>T</w:t>
      </w:r>
      <w:r w:rsidR="00C33864" w:rsidRPr="009A56DC">
        <w:rPr>
          <w:rStyle w:val="Strong"/>
          <w:b w:val="0"/>
          <w:bCs w:val="0"/>
          <w:color w:val="0E101A"/>
        </w:rPr>
        <w:t>he gr</w:t>
      </w:r>
      <w:r w:rsidR="007028E8">
        <w:rPr>
          <w:rStyle w:val="Strong"/>
          <w:b w:val="0"/>
          <w:bCs w:val="0"/>
          <w:color w:val="0E101A"/>
        </w:rPr>
        <w:t>a</w:t>
      </w:r>
      <w:r w:rsidR="00C33864" w:rsidRPr="009A56DC">
        <w:rPr>
          <w:rStyle w:val="Strong"/>
          <w:b w:val="0"/>
          <w:bCs w:val="0"/>
          <w:color w:val="0E101A"/>
        </w:rPr>
        <w:t xml:space="preserve">yscale threshold </w:t>
      </w:r>
      <w:r w:rsidR="009A56DC">
        <w:rPr>
          <w:rStyle w:val="Strong"/>
          <w:b w:val="0"/>
          <w:bCs w:val="0"/>
          <w:color w:val="0E101A"/>
        </w:rPr>
        <w:t xml:space="preserve">was </w:t>
      </w:r>
      <w:r w:rsidR="00E658BA">
        <w:rPr>
          <w:rStyle w:val="Strong"/>
          <w:b w:val="0"/>
          <w:bCs w:val="0"/>
          <w:color w:val="0E101A"/>
        </w:rPr>
        <w:t xml:space="preserve">iteratively </w:t>
      </w:r>
      <w:r w:rsidR="009A56DC">
        <w:rPr>
          <w:rStyle w:val="Strong"/>
          <w:b w:val="0"/>
          <w:bCs w:val="0"/>
          <w:color w:val="0E101A"/>
        </w:rPr>
        <w:t xml:space="preserve">set </w:t>
      </w:r>
      <w:r w:rsidR="00C33864" w:rsidRPr="009A56DC">
        <w:rPr>
          <w:rStyle w:val="Strong"/>
          <w:b w:val="0"/>
          <w:bCs w:val="0"/>
          <w:color w:val="0E101A"/>
        </w:rPr>
        <w:t xml:space="preserve">to highlight </w:t>
      </w:r>
      <w:r w:rsidR="00E658BA">
        <w:rPr>
          <w:rStyle w:val="Strong"/>
          <w:b w:val="0"/>
          <w:bCs w:val="0"/>
          <w:color w:val="0E101A"/>
        </w:rPr>
        <w:t xml:space="preserve">the </w:t>
      </w:r>
      <w:r w:rsidR="00C33864" w:rsidRPr="009A56DC">
        <w:rPr>
          <w:rStyle w:val="Strong"/>
          <w:b w:val="0"/>
          <w:bCs w:val="0"/>
          <w:color w:val="0E101A"/>
        </w:rPr>
        <w:t xml:space="preserve">coarser and denser </w:t>
      </w:r>
      <w:r w:rsidR="00E658BA">
        <w:rPr>
          <w:rStyle w:val="Strong"/>
          <w:b w:val="0"/>
          <w:bCs w:val="0"/>
          <w:color w:val="0E101A"/>
        </w:rPr>
        <w:t xml:space="preserve">minerogenic </w:t>
      </w:r>
      <w:r w:rsidR="00C33864" w:rsidRPr="009A56DC">
        <w:rPr>
          <w:rStyle w:val="Strong"/>
          <w:b w:val="0"/>
          <w:bCs w:val="0"/>
          <w:color w:val="0E101A"/>
        </w:rPr>
        <w:t>input.</w:t>
      </w:r>
      <w:r w:rsidR="00E658BA">
        <w:rPr>
          <w:rStyle w:val="Strong"/>
          <w:b w:val="0"/>
          <w:bCs w:val="0"/>
          <w:color w:val="0E101A"/>
        </w:rPr>
        <w:t xml:space="preserve"> </w:t>
      </w:r>
      <w:r w:rsidR="00DB7DEA">
        <w:rPr>
          <w:rStyle w:val="Strong"/>
          <w:b w:val="0"/>
          <w:bCs w:val="0"/>
          <w:color w:val="0E101A"/>
        </w:rPr>
        <w:t>Characteristic of dropstones and facies 2 layers</w:t>
      </w:r>
      <w:r w:rsidR="00474F00">
        <w:rPr>
          <w:rStyle w:val="Strong"/>
          <w:b w:val="0"/>
          <w:bCs w:val="0"/>
          <w:color w:val="0E101A"/>
        </w:rPr>
        <w:t xml:space="preserve"> in selected intervals:</w:t>
      </w:r>
      <w:r w:rsidR="00474F00">
        <w:rPr>
          <w:b/>
          <w:bCs/>
        </w:rPr>
        <w:t xml:space="preserve"> </w:t>
      </w:r>
      <w:r w:rsidR="00C33864" w:rsidRPr="00381319">
        <w:rPr>
          <w:b/>
          <w:bCs/>
        </w:rPr>
        <w:t>a</w:t>
      </w:r>
      <w:r w:rsidR="00C33864" w:rsidRPr="009A56DC">
        <w:t xml:space="preserve"> 0-13 cm</w:t>
      </w:r>
      <w:r w:rsidR="00474F00">
        <w:t>,</w:t>
      </w:r>
      <w:r w:rsidR="00C33864" w:rsidRPr="009A56DC">
        <w:t xml:space="preserve"> </w:t>
      </w:r>
      <w:r w:rsidR="00C33864" w:rsidRPr="00381319">
        <w:rPr>
          <w:b/>
          <w:bCs/>
        </w:rPr>
        <w:t>b</w:t>
      </w:r>
      <w:r w:rsidR="00C33864" w:rsidRPr="009A56DC">
        <w:t xml:space="preserve"> 31.2-38 cm</w:t>
      </w:r>
      <w:r w:rsidR="00474F00">
        <w:t>,</w:t>
      </w:r>
      <w:r w:rsidR="00C33864" w:rsidRPr="009A56DC">
        <w:t xml:space="preserve"> </w:t>
      </w:r>
      <w:r w:rsidR="00C33864" w:rsidRPr="00381319">
        <w:rPr>
          <w:b/>
          <w:bCs/>
        </w:rPr>
        <w:t>c</w:t>
      </w:r>
      <w:r w:rsidR="00C33864" w:rsidRPr="009A56DC">
        <w:t xml:space="preserve"> 58-64.25 cm</w:t>
      </w:r>
      <w:r w:rsidR="00474F00">
        <w:t>, and</w:t>
      </w:r>
      <w:r w:rsidR="00381319">
        <w:t xml:space="preserve"> </w:t>
      </w:r>
      <w:r w:rsidR="00C33864" w:rsidRPr="00381319">
        <w:rPr>
          <w:b/>
          <w:bCs/>
        </w:rPr>
        <w:t>d</w:t>
      </w:r>
      <w:r w:rsidR="00C33864" w:rsidRPr="009A56DC">
        <w:t xml:space="preserve"> 83.2-98.2 cm.</w:t>
      </w:r>
    </w:p>
    <w:p w14:paraId="50870942" w14:textId="77777777" w:rsidR="00983C06" w:rsidRDefault="00983C06" w:rsidP="00FC4ABA">
      <w:pPr>
        <w:spacing w:line="480" w:lineRule="auto"/>
        <w:ind w:firstLine="0"/>
        <w:rPr>
          <w:noProof/>
        </w:rPr>
        <w:sectPr w:rsidR="00983C06">
          <w:pgSz w:w="11906" w:h="16838"/>
          <w:pgMar w:top="1417" w:right="1417" w:bottom="1417" w:left="1417" w:header="708" w:footer="708" w:gutter="0"/>
          <w:cols w:space="708"/>
          <w:docGrid w:linePitch="360"/>
        </w:sectPr>
      </w:pPr>
    </w:p>
    <w:p w14:paraId="14D5A3D7" w14:textId="6E6ED5F5" w:rsidR="00806744" w:rsidRDefault="00F34619" w:rsidP="00FC4ABA">
      <w:pPr>
        <w:spacing w:line="480" w:lineRule="auto"/>
        <w:ind w:firstLine="0"/>
        <w:rPr>
          <w:noProof/>
        </w:rPr>
      </w:pPr>
      <w:r>
        <w:rPr>
          <w:noProof/>
        </w:rPr>
        <w:lastRenderedPageBreak/>
        <w:drawing>
          <wp:inline distT="0" distB="0" distL="0" distR="0" wp14:anchorId="0EC617DA" wp14:editId="69484E0B">
            <wp:extent cx="6480000" cy="4413600"/>
            <wp:effectExtent l="0" t="0" r="0" b="6350"/>
            <wp:docPr id="1135076753" name="Picture 5" descr="A diagram of a person's bod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076753" name="Picture 5" descr="A diagram of a person's body&#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80000" cy="4413600"/>
                    </a:xfrm>
                    <a:prstGeom prst="rect">
                      <a:avLst/>
                    </a:prstGeom>
                    <a:noFill/>
                    <a:ln>
                      <a:noFill/>
                    </a:ln>
                  </pic:spPr>
                </pic:pic>
              </a:graphicData>
            </a:graphic>
          </wp:inline>
        </w:drawing>
      </w:r>
    </w:p>
    <w:p w14:paraId="5D29D52F" w14:textId="7C055AD5" w:rsidR="00336BF3" w:rsidRDefault="00074804" w:rsidP="00FC4ABA">
      <w:pPr>
        <w:spacing w:line="480" w:lineRule="auto"/>
        <w:ind w:firstLine="0"/>
        <w:rPr>
          <w:color w:val="000000" w:themeColor="text1"/>
        </w:rPr>
      </w:pPr>
      <w:r w:rsidRPr="643C6079">
        <w:rPr>
          <w:b/>
          <w:bCs/>
        </w:rPr>
        <w:t xml:space="preserve">Figure </w:t>
      </w:r>
      <w:r w:rsidR="001C6CFF">
        <w:rPr>
          <w:b/>
          <w:bCs/>
        </w:rPr>
        <w:t>S</w:t>
      </w:r>
      <w:r w:rsidRPr="643C6079">
        <w:rPr>
          <w:b/>
          <w:bCs/>
        </w:rPr>
        <w:t xml:space="preserve">4. </w:t>
      </w:r>
      <w:r w:rsidR="002F4DA3">
        <w:rPr>
          <w:b/>
          <w:bCs/>
        </w:rPr>
        <w:t>End-</w:t>
      </w:r>
      <w:r w:rsidR="00FC4ABA">
        <w:rPr>
          <w:b/>
          <w:bCs/>
        </w:rPr>
        <w:t>M</w:t>
      </w:r>
      <w:r w:rsidR="002F4DA3">
        <w:rPr>
          <w:b/>
          <w:bCs/>
        </w:rPr>
        <w:t xml:space="preserve">ember </w:t>
      </w:r>
      <w:r w:rsidR="00C90C91">
        <w:rPr>
          <w:b/>
          <w:bCs/>
        </w:rPr>
        <w:t>M</w:t>
      </w:r>
      <w:r w:rsidR="002F4DA3">
        <w:rPr>
          <w:b/>
          <w:bCs/>
        </w:rPr>
        <w:t>odelling</w:t>
      </w:r>
      <w:r w:rsidR="005260BA">
        <w:rPr>
          <w:b/>
          <w:bCs/>
        </w:rPr>
        <w:t xml:space="preserve"> </w:t>
      </w:r>
      <w:r w:rsidR="00C90C91">
        <w:rPr>
          <w:b/>
          <w:bCs/>
        </w:rPr>
        <w:t>A</w:t>
      </w:r>
      <w:r w:rsidR="005260BA">
        <w:rPr>
          <w:b/>
          <w:bCs/>
        </w:rPr>
        <w:t>nalysis (EMMA) results</w:t>
      </w:r>
      <w:r w:rsidR="003120F7">
        <w:rPr>
          <w:b/>
          <w:bCs/>
        </w:rPr>
        <w:fldChar w:fldCharType="begin"/>
      </w:r>
      <w:r w:rsidR="003120F7">
        <w:rPr>
          <w:b/>
          <w:bCs/>
        </w:rPr>
        <w:instrText xml:space="preserve"> ADDIN ZOTERO_ITEM CSL_CITATION {"citationID":"CF89hp7M","properties":{"formattedCitation":"\\super 1\\nosupersub{}","plainCitation":"1","noteIndex":0},"citationItems":[{"id":432,"uris":["http://zotero.org/users/9431812/items/BTXFZX2V"],"itemData":{"id":432,"type":"chapter","collection-title":"SEPM Special Publication","container-title":"Numerical experiments in stratigraphy: Recent advances in stratigraphic and sedimentologic computer simulations","page":"91-111","publisher":"Society for Sedimentary Geology","source":"Vrije Universiteit Amsterdam","title":"End-member modeling of siliciclastic grain-size distributions: The late Quaternary record of aeolian and fluvial sediment supply to the Arabian Sea and its paleoclimatic significance","title-short":"End-member modeling of siliciclastic grain-size distributions","author":[{"family":"Prins","given":"M.A."},{"family":"Weltje","given":"G.J."}],"editor":[{"family":"Harbaugh","given":"J."}],"issued":{"date-parts":[["1999"]]}}}],"schema":"https://github.com/citation-style-language/schema/raw/master/csl-citation.json"} </w:instrText>
      </w:r>
      <w:r w:rsidR="003120F7">
        <w:rPr>
          <w:b/>
          <w:bCs/>
        </w:rPr>
        <w:fldChar w:fldCharType="separate"/>
      </w:r>
      <w:r w:rsidR="003120F7" w:rsidRPr="0011569A">
        <w:rPr>
          <w:szCs w:val="24"/>
          <w:vertAlign w:val="superscript"/>
        </w:rPr>
        <w:t>1</w:t>
      </w:r>
      <w:r w:rsidR="003120F7">
        <w:rPr>
          <w:b/>
          <w:bCs/>
        </w:rPr>
        <w:fldChar w:fldCharType="end"/>
      </w:r>
      <w:r w:rsidR="005260BA">
        <w:rPr>
          <w:b/>
          <w:bCs/>
        </w:rPr>
        <w:t xml:space="preserve">. </w:t>
      </w:r>
      <w:r w:rsidR="00681349">
        <w:rPr>
          <w:color w:val="000000" w:themeColor="text1"/>
        </w:rPr>
        <w:t>From left</w:t>
      </w:r>
      <w:r w:rsidR="005260BA">
        <w:rPr>
          <w:color w:val="000000" w:themeColor="text1"/>
        </w:rPr>
        <w:t xml:space="preserve"> to right</w:t>
      </w:r>
      <w:r w:rsidR="00681349">
        <w:rPr>
          <w:color w:val="000000" w:themeColor="text1"/>
        </w:rPr>
        <w:t>:</w:t>
      </w:r>
      <w:r w:rsidRPr="643C6079">
        <w:rPr>
          <w:color w:val="000000" w:themeColor="text1"/>
        </w:rPr>
        <w:t xml:space="preserve"> CT and </w:t>
      </w:r>
      <w:r w:rsidR="005260BA">
        <w:rPr>
          <w:color w:val="000000" w:themeColor="text1"/>
        </w:rPr>
        <w:t>RGB</w:t>
      </w:r>
      <w:r w:rsidR="005260BA" w:rsidRPr="643C6079">
        <w:rPr>
          <w:color w:val="000000" w:themeColor="text1"/>
        </w:rPr>
        <w:t xml:space="preserve"> </w:t>
      </w:r>
      <w:r w:rsidRPr="643C6079">
        <w:rPr>
          <w:color w:val="000000" w:themeColor="text1"/>
        </w:rPr>
        <w:t>image</w:t>
      </w:r>
      <w:r w:rsidR="005260BA">
        <w:rPr>
          <w:color w:val="000000" w:themeColor="text1"/>
        </w:rPr>
        <w:t>ry</w:t>
      </w:r>
      <w:r w:rsidRPr="643C6079">
        <w:rPr>
          <w:color w:val="000000" w:themeColor="text1"/>
        </w:rPr>
        <w:t xml:space="preserve"> of </w:t>
      </w:r>
      <w:r w:rsidR="005260BA">
        <w:rPr>
          <w:color w:val="000000" w:themeColor="text1"/>
        </w:rPr>
        <w:t xml:space="preserve">investigated core </w:t>
      </w:r>
      <w:r w:rsidRPr="643C6079">
        <w:rPr>
          <w:color w:val="000000" w:themeColor="text1"/>
        </w:rPr>
        <w:t>601-21-6 GC</w:t>
      </w:r>
      <w:r w:rsidR="00C328F8">
        <w:rPr>
          <w:color w:val="000000" w:themeColor="text1"/>
        </w:rPr>
        <w:t xml:space="preserve">, a </w:t>
      </w:r>
      <w:r w:rsidRPr="643C6079">
        <w:rPr>
          <w:color w:val="000000" w:themeColor="text1"/>
        </w:rPr>
        <w:t>log with facies 1</w:t>
      </w:r>
      <w:r w:rsidR="00C328F8">
        <w:rPr>
          <w:color w:val="000000" w:themeColor="text1"/>
        </w:rPr>
        <w:t xml:space="preserve"> and</w:t>
      </w:r>
      <w:r w:rsidR="00FC4ABA">
        <w:rPr>
          <w:color w:val="000000" w:themeColor="text1"/>
        </w:rPr>
        <w:t xml:space="preserve"> </w:t>
      </w:r>
      <w:r w:rsidRPr="643C6079">
        <w:rPr>
          <w:color w:val="000000" w:themeColor="text1"/>
        </w:rPr>
        <w:t>2</w:t>
      </w:r>
      <w:r w:rsidR="00C328F8">
        <w:rPr>
          <w:color w:val="000000" w:themeColor="text1"/>
        </w:rPr>
        <w:t xml:space="preserve"> highlighted</w:t>
      </w:r>
      <w:r w:rsidR="00E30056">
        <w:rPr>
          <w:color w:val="000000" w:themeColor="text1"/>
        </w:rPr>
        <w:t>,</w:t>
      </w:r>
      <w:r w:rsidR="00681349">
        <w:rPr>
          <w:color w:val="000000" w:themeColor="text1"/>
        </w:rPr>
        <w:t xml:space="preserve"> d</w:t>
      </w:r>
      <w:r w:rsidR="00E408B8" w:rsidRPr="643C6079">
        <w:rPr>
          <w:color w:val="000000" w:themeColor="text1"/>
        </w:rPr>
        <w:t xml:space="preserve">own-core variability in EM </w:t>
      </w:r>
      <w:r w:rsidR="00E30056">
        <w:rPr>
          <w:color w:val="000000" w:themeColor="text1"/>
        </w:rPr>
        <w:t xml:space="preserve">abundance </w:t>
      </w:r>
      <w:r w:rsidR="005E5211" w:rsidRPr="643C6079">
        <w:rPr>
          <w:color w:val="000000" w:themeColor="text1"/>
        </w:rPr>
        <w:t>(%)</w:t>
      </w:r>
      <w:r w:rsidR="00E30056">
        <w:rPr>
          <w:color w:val="000000" w:themeColor="text1"/>
        </w:rPr>
        <w:t>, the</w:t>
      </w:r>
      <w:r w:rsidR="002C2F8E">
        <w:rPr>
          <w:color w:val="000000" w:themeColor="text1"/>
        </w:rPr>
        <w:t xml:space="preserve"> </w:t>
      </w:r>
      <w:r w:rsidR="008C63CE">
        <w:rPr>
          <w:color w:val="000000" w:themeColor="text1"/>
        </w:rPr>
        <w:t>particle</w:t>
      </w:r>
      <w:r w:rsidR="008C63CE" w:rsidRPr="643C6079">
        <w:rPr>
          <w:color w:val="000000" w:themeColor="text1"/>
        </w:rPr>
        <w:t xml:space="preserve"> </w:t>
      </w:r>
      <w:r w:rsidR="00173A7D" w:rsidRPr="643C6079">
        <w:rPr>
          <w:color w:val="000000" w:themeColor="text1"/>
        </w:rPr>
        <w:t xml:space="preserve">size distributions </w:t>
      </w:r>
      <w:r w:rsidR="008C63CE">
        <w:rPr>
          <w:color w:val="000000" w:themeColor="text1"/>
        </w:rPr>
        <w:t xml:space="preserve">(PSDs) </w:t>
      </w:r>
      <w:r w:rsidR="00173A7D" w:rsidRPr="643C6079">
        <w:rPr>
          <w:color w:val="000000" w:themeColor="text1"/>
        </w:rPr>
        <w:t xml:space="preserve">of </w:t>
      </w:r>
      <w:r w:rsidR="008C63CE">
        <w:rPr>
          <w:color w:val="000000" w:themeColor="text1"/>
        </w:rPr>
        <w:t xml:space="preserve">each </w:t>
      </w:r>
      <w:r w:rsidRPr="643C6079">
        <w:rPr>
          <w:color w:val="000000" w:themeColor="text1"/>
        </w:rPr>
        <w:t>EM</w:t>
      </w:r>
      <w:r w:rsidR="00F75A9D" w:rsidRPr="643C6079">
        <w:rPr>
          <w:color w:val="000000" w:themeColor="text1"/>
        </w:rPr>
        <w:t xml:space="preserve"> </w:t>
      </w:r>
      <w:r w:rsidR="00F80F04" w:rsidRPr="643C6079">
        <w:rPr>
          <w:color w:val="000000" w:themeColor="text1"/>
        </w:rPr>
        <w:t>a</w:t>
      </w:r>
      <w:r w:rsidR="008C63CE">
        <w:rPr>
          <w:color w:val="000000" w:themeColor="text1"/>
        </w:rPr>
        <w:t>s well</w:t>
      </w:r>
      <w:r w:rsidR="00F80F04" w:rsidRPr="643C6079">
        <w:rPr>
          <w:color w:val="000000" w:themeColor="text1"/>
        </w:rPr>
        <w:t xml:space="preserve"> </w:t>
      </w:r>
      <w:r w:rsidR="008C63CE">
        <w:rPr>
          <w:color w:val="000000" w:themeColor="text1"/>
        </w:rPr>
        <w:t>as</w:t>
      </w:r>
      <w:r w:rsidR="0083172B" w:rsidRPr="643C6079">
        <w:rPr>
          <w:color w:val="000000" w:themeColor="text1"/>
        </w:rPr>
        <w:t xml:space="preserve"> catchment samples</w:t>
      </w:r>
      <w:r w:rsidR="008C63CE">
        <w:rPr>
          <w:color w:val="000000" w:themeColor="text1"/>
        </w:rPr>
        <w:t xml:space="preserve"> (CS) 1 and 2</w:t>
      </w:r>
      <w:r w:rsidR="0083172B" w:rsidRPr="643C6079">
        <w:rPr>
          <w:color w:val="000000" w:themeColor="text1"/>
        </w:rPr>
        <w:t xml:space="preserve"> from the eastern and the western </w:t>
      </w:r>
      <w:r w:rsidR="00474DF6">
        <w:rPr>
          <w:color w:val="000000" w:themeColor="text1"/>
        </w:rPr>
        <w:t>shores</w:t>
      </w:r>
      <w:r w:rsidR="009B3965">
        <w:rPr>
          <w:color w:val="000000" w:themeColor="text1"/>
        </w:rPr>
        <w:t>, respectively</w:t>
      </w:r>
      <w:r w:rsidR="00DE5D1C">
        <w:rPr>
          <w:color w:val="000000" w:themeColor="text1"/>
        </w:rPr>
        <w:t xml:space="preserve"> (</w:t>
      </w:r>
      <w:r w:rsidR="00D14284">
        <w:rPr>
          <w:color w:val="000000" w:themeColor="text1"/>
        </w:rPr>
        <w:t>see the Holocene evolution of Lake Steinbruvatnet).</w:t>
      </w:r>
    </w:p>
    <w:p w14:paraId="677B19AB" w14:textId="77777777" w:rsidR="00983C06" w:rsidRDefault="00983C06" w:rsidP="00FC4ABA">
      <w:pPr>
        <w:spacing w:line="480" w:lineRule="auto"/>
        <w:ind w:firstLine="0"/>
        <w:rPr>
          <w:color w:val="000000" w:themeColor="text1"/>
        </w:rPr>
        <w:sectPr w:rsidR="00983C06">
          <w:pgSz w:w="11906" w:h="16838"/>
          <w:pgMar w:top="1417" w:right="1417" w:bottom="1417" w:left="1417" w:header="708" w:footer="708" w:gutter="0"/>
          <w:cols w:space="708"/>
          <w:docGrid w:linePitch="360"/>
        </w:sectPr>
      </w:pPr>
    </w:p>
    <w:p w14:paraId="7D7AC20D" w14:textId="79FF519E" w:rsidR="00E073A2" w:rsidRPr="00D14284" w:rsidRDefault="006D4218" w:rsidP="00FC4ABA">
      <w:pPr>
        <w:spacing w:line="480" w:lineRule="auto"/>
        <w:ind w:firstLine="0"/>
        <w:rPr>
          <w:color w:val="000000" w:themeColor="text1"/>
        </w:rPr>
      </w:pPr>
      <w:r>
        <w:rPr>
          <w:noProof/>
        </w:rPr>
        <w:lastRenderedPageBreak/>
        <w:drawing>
          <wp:inline distT="0" distB="0" distL="0" distR="0" wp14:anchorId="4CCCFFAB" wp14:editId="6FC358C2">
            <wp:extent cx="6480000" cy="3477600"/>
            <wp:effectExtent l="0" t="0" r="0" b="8890"/>
            <wp:docPr id="1847346632" name="Picture 2" descr="A graph of blue and purpl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346632" name="Picture 2" descr="A graph of blue and purple line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80000" cy="3477600"/>
                    </a:xfrm>
                    <a:prstGeom prst="rect">
                      <a:avLst/>
                    </a:prstGeom>
                    <a:noFill/>
                    <a:ln>
                      <a:noFill/>
                    </a:ln>
                  </pic:spPr>
                </pic:pic>
              </a:graphicData>
            </a:graphic>
          </wp:inline>
        </w:drawing>
      </w:r>
    </w:p>
    <w:p w14:paraId="74FC2E17" w14:textId="7C6CCF34" w:rsidR="00FC4ABA" w:rsidRDefault="00276E1C" w:rsidP="00FC4ABA">
      <w:pPr>
        <w:spacing w:line="480" w:lineRule="auto"/>
        <w:ind w:firstLine="0"/>
      </w:pPr>
      <w:r w:rsidRPr="64D41CA0">
        <w:rPr>
          <w:b/>
          <w:bCs/>
        </w:rPr>
        <w:t xml:space="preserve">Figure </w:t>
      </w:r>
      <w:r w:rsidR="00065565">
        <w:rPr>
          <w:b/>
          <w:bCs/>
        </w:rPr>
        <w:t>S</w:t>
      </w:r>
      <w:r w:rsidRPr="64D41CA0">
        <w:rPr>
          <w:b/>
          <w:bCs/>
        </w:rPr>
        <w:t xml:space="preserve">5. </w:t>
      </w:r>
      <w:r w:rsidR="002A5FC7">
        <w:rPr>
          <w:b/>
          <w:bCs/>
        </w:rPr>
        <w:t>Selected storminess indicator</w:t>
      </w:r>
      <w:r w:rsidR="0053527E">
        <w:rPr>
          <w:b/>
          <w:bCs/>
        </w:rPr>
        <w:t>s</w:t>
      </w:r>
      <w:r w:rsidRPr="64D41CA0">
        <w:rPr>
          <w:b/>
          <w:bCs/>
        </w:rPr>
        <w:t xml:space="preserve">. </w:t>
      </w:r>
      <w:r w:rsidRPr="001D6635">
        <w:rPr>
          <w:b/>
          <w:bCs/>
        </w:rPr>
        <w:t>a-b</w:t>
      </w:r>
      <w:r>
        <w:t xml:space="preserve"> </w:t>
      </w:r>
      <w:r w:rsidR="0053527E">
        <w:t xml:space="preserve">the </w:t>
      </w:r>
      <w:r>
        <w:t xml:space="preserve">polar </w:t>
      </w:r>
      <w:r w:rsidR="00FC4ABA">
        <w:t>E</w:t>
      </w:r>
      <w:r w:rsidR="0053527E">
        <w:t xml:space="preserve">asterlies as captured </w:t>
      </w:r>
      <w:r>
        <w:t>by PC 1 and Br/(inc./coh.) values.</w:t>
      </w:r>
      <w:r w:rsidR="003858BF">
        <w:t xml:space="preserve"> </w:t>
      </w:r>
      <w:r w:rsidR="00FC4ABA" w:rsidRPr="001D6635">
        <w:rPr>
          <w:b/>
          <w:bCs/>
        </w:rPr>
        <w:t>c</w:t>
      </w:r>
      <w:r>
        <w:t xml:space="preserve"> </w:t>
      </w:r>
      <w:r w:rsidR="00FC4ABA">
        <w:t>W</w:t>
      </w:r>
      <w:r>
        <w:t xml:space="preserve">esterly </w:t>
      </w:r>
      <w:r w:rsidR="0053527E">
        <w:t>storm tracks captured</w:t>
      </w:r>
      <w:r w:rsidR="00F54F2E">
        <w:t xml:space="preserve"> </w:t>
      </w:r>
      <w:r>
        <w:t>by PC 2 values.</w:t>
      </w:r>
      <w:r w:rsidR="003858BF">
        <w:t xml:space="preserve"> </w:t>
      </w:r>
      <w:r w:rsidRPr="002D6963">
        <w:rPr>
          <w:color w:val="000000" w:themeColor="text1"/>
        </w:rPr>
        <w:t>150-year moving average</w:t>
      </w:r>
      <w:r w:rsidR="002C6849">
        <w:rPr>
          <w:color w:val="000000" w:themeColor="text1"/>
        </w:rPr>
        <w:t>s</w:t>
      </w:r>
      <w:r w:rsidRPr="002D6963">
        <w:rPr>
          <w:color w:val="000000" w:themeColor="text1"/>
        </w:rPr>
        <w:t xml:space="preserve"> </w:t>
      </w:r>
      <w:r w:rsidR="00225B1A" w:rsidRPr="002D6963">
        <w:rPr>
          <w:color w:val="000000" w:themeColor="text1"/>
        </w:rPr>
        <w:t>are</w:t>
      </w:r>
      <w:r w:rsidR="002C6849">
        <w:rPr>
          <w:color w:val="000000" w:themeColor="text1"/>
        </w:rPr>
        <w:t xml:space="preserve"> shown</w:t>
      </w:r>
      <w:r w:rsidR="00225B1A" w:rsidRPr="002D6963">
        <w:rPr>
          <w:color w:val="000000" w:themeColor="text1"/>
        </w:rPr>
        <w:t xml:space="preserve"> </w:t>
      </w:r>
      <w:r w:rsidRPr="002D6963">
        <w:rPr>
          <w:color w:val="000000" w:themeColor="text1"/>
        </w:rPr>
        <w:t>in bold</w:t>
      </w:r>
      <w:r w:rsidR="006807D6">
        <w:rPr>
          <w:color w:val="000000" w:themeColor="text1"/>
        </w:rPr>
        <w:t xml:space="preserve">, while the raw data </w:t>
      </w:r>
      <w:r w:rsidR="00CF6039">
        <w:rPr>
          <w:color w:val="000000" w:themeColor="text1"/>
        </w:rPr>
        <w:t xml:space="preserve">has not been detrended as in Fig. </w:t>
      </w:r>
      <w:r w:rsidR="008C3AA7">
        <w:rPr>
          <w:color w:val="000000" w:themeColor="text1"/>
        </w:rPr>
        <w:t>5 of the main manuscript to highlight the consistency between these timeseries</w:t>
      </w:r>
      <w:r w:rsidR="00BA42FF">
        <w:rPr>
          <w:color w:val="000000" w:themeColor="text1"/>
        </w:rPr>
        <w:t xml:space="preserve">. </w:t>
      </w:r>
      <w:r w:rsidR="00D62D4C" w:rsidRPr="00D62D4C">
        <w:t xml:space="preserve">Spearman's rank correlation coefficient (ρ) </w:t>
      </w:r>
      <w:r w:rsidR="00D62D4C">
        <w:t>was</w:t>
      </w:r>
      <w:r w:rsidR="00D62D4C" w:rsidRPr="00D62D4C">
        <w:t xml:space="preserve"> </w:t>
      </w:r>
      <w:r w:rsidR="00F168D4">
        <w:t>calculated</w:t>
      </w:r>
      <w:r w:rsidR="00F168D4" w:rsidRPr="00D62D4C">
        <w:t xml:space="preserve"> </w:t>
      </w:r>
      <w:r w:rsidR="00D62D4C" w:rsidRPr="00D62D4C">
        <w:t xml:space="preserve">for </w:t>
      </w:r>
      <w:r w:rsidR="005B56B9">
        <w:t>the correlation between PC 1 and Br/</w:t>
      </w:r>
      <w:r w:rsidR="00FC6CB4">
        <w:t xml:space="preserve"> (inc./coh.) values.</w:t>
      </w:r>
    </w:p>
    <w:p w14:paraId="78949626" w14:textId="77777777" w:rsidR="00983C06" w:rsidRDefault="00983C06" w:rsidP="00FC4ABA">
      <w:pPr>
        <w:spacing w:line="480" w:lineRule="auto"/>
        <w:ind w:firstLine="0"/>
        <w:rPr>
          <w:b/>
          <w:bCs/>
        </w:rPr>
        <w:sectPr w:rsidR="00983C06">
          <w:pgSz w:w="11906" w:h="16838"/>
          <w:pgMar w:top="1417" w:right="1417" w:bottom="1417" w:left="1417" w:header="708" w:footer="708" w:gutter="0"/>
          <w:cols w:space="708"/>
          <w:docGrid w:linePitch="360"/>
        </w:sectPr>
      </w:pPr>
    </w:p>
    <w:p w14:paraId="4C78C71F" w14:textId="2BBADDBE" w:rsidR="00FC4ABA" w:rsidRDefault="00DB3253" w:rsidP="00FC4ABA">
      <w:pPr>
        <w:spacing w:line="480" w:lineRule="auto"/>
        <w:ind w:firstLine="0"/>
      </w:pPr>
      <w:r>
        <w:rPr>
          <w:noProof/>
        </w:rPr>
        <w:lastRenderedPageBreak/>
        <w:drawing>
          <wp:inline distT="0" distB="0" distL="0" distR="0" wp14:anchorId="0CF3F1E9" wp14:editId="03FBD913">
            <wp:extent cx="6480000" cy="2239200"/>
            <wp:effectExtent l="0" t="0" r="0" b="8890"/>
            <wp:docPr id="408695738" name="Picture 4" descr="A comparison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95738" name="Picture 4" descr="A comparison of a diagram&#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80000" cy="2239200"/>
                    </a:xfrm>
                    <a:prstGeom prst="rect">
                      <a:avLst/>
                    </a:prstGeom>
                    <a:noFill/>
                    <a:ln>
                      <a:noFill/>
                    </a:ln>
                  </pic:spPr>
                </pic:pic>
              </a:graphicData>
            </a:graphic>
          </wp:inline>
        </w:drawing>
      </w:r>
      <w:r w:rsidR="00FC7B5B" w:rsidRPr="64D41CA0">
        <w:rPr>
          <w:b/>
          <w:bCs/>
        </w:rPr>
        <w:t xml:space="preserve"> Figure </w:t>
      </w:r>
      <w:r w:rsidR="009D582D">
        <w:rPr>
          <w:b/>
          <w:bCs/>
        </w:rPr>
        <w:t>S</w:t>
      </w:r>
      <w:r w:rsidR="00FC7B5B" w:rsidRPr="64D41CA0">
        <w:rPr>
          <w:b/>
          <w:bCs/>
        </w:rPr>
        <w:t>6.</w:t>
      </w:r>
      <w:r w:rsidR="005F10DE">
        <w:rPr>
          <w:b/>
          <w:bCs/>
        </w:rPr>
        <w:t xml:space="preserve"> </w:t>
      </w:r>
      <w:r w:rsidR="00FC7B5B" w:rsidRPr="64D41CA0">
        <w:rPr>
          <w:b/>
          <w:bCs/>
        </w:rPr>
        <w:t xml:space="preserve">Continuous wavelet transform (CWT) </w:t>
      </w:r>
      <w:r w:rsidR="005F7E34">
        <w:rPr>
          <w:b/>
          <w:bCs/>
        </w:rPr>
        <w:t>analysis</w:t>
      </w:r>
      <w:r w:rsidR="005F10DE">
        <w:rPr>
          <w:b/>
          <w:bCs/>
        </w:rPr>
        <w:t>.</w:t>
      </w:r>
      <w:r w:rsidR="003B5A87">
        <w:rPr>
          <w:b/>
          <w:bCs/>
        </w:rPr>
        <w:t xml:space="preserve"> </w:t>
      </w:r>
      <w:r w:rsidR="003B5A87">
        <w:t xml:space="preserve">The scalograms highlight the dominance of </w:t>
      </w:r>
      <w:r w:rsidR="007462D3">
        <w:t>a ~1,500 cyclicity in</w:t>
      </w:r>
      <w:r w:rsidR="002303AA">
        <w:t xml:space="preserve"> </w:t>
      </w:r>
      <w:r w:rsidR="002303AA" w:rsidRPr="00FC4ABA">
        <w:t>our</w:t>
      </w:r>
      <w:r w:rsidR="007462D3" w:rsidRPr="00FC4ABA">
        <w:t xml:space="preserve"> </w:t>
      </w:r>
      <w:r w:rsidR="002303AA" w:rsidRPr="0074551E">
        <w:rPr>
          <w:b/>
          <w:bCs/>
        </w:rPr>
        <w:t>a</w:t>
      </w:r>
      <w:r w:rsidR="002303AA" w:rsidRPr="00FC4ABA">
        <w:t xml:space="preserve"> </w:t>
      </w:r>
      <w:r w:rsidR="007462D3" w:rsidRPr="00FC4ABA">
        <w:t>PC 1 (</w:t>
      </w:r>
      <w:r w:rsidR="006256E7">
        <w:t xml:space="preserve">polar </w:t>
      </w:r>
      <w:r w:rsidR="007462D3" w:rsidRPr="00FC4ABA">
        <w:t xml:space="preserve">Easterlies) and </w:t>
      </w:r>
      <w:r w:rsidR="002303AA" w:rsidRPr="0074551E">
        <w:rPr>
          <w:b/>
          <w:bCs/>
        </w:rPr>
        <w:t>b</w:t>
      </w:r>
      <w:r w:rsidR="002303AA">
        <w:t xml:space="preserve"> </w:t>
      </w:r>
      <w:r w:rsidR="007462D3">
        <w:t>PC 2 (Westerlies) data</w:t>
      </w:r>
      <w:r w:rsidR="006A4442">
        <w:t xml:space="preserve">. </w:t>
      </w:r>
      <w:r w:rsidR="00FC7B5B">
        <w:t>The</w:t>
      </w:r>
      <w:r w:rsidR="00957673">
        <w:t xml:space="preserve"> </w:t>
      </w:r>
      <w:r w:rsidR="00582239">
        <w:t xml:space="preserve">dashed </w:t>
      </w:r>
      <w:r w:rsidR="00FC7B5B">
        <w:t>black</w:t>
      </w:r>
      <w:r w:rsidR="00830ECE">
        <w:t xml:space="preserve"> </w:t>
      </w:r>
      <w:r w:rsidR="00FC7B5B">
        <w:t xml:space="preserve">line </w:t>
      </w:r>
      <w:r w:rsidR="00582239">
        <w:t>marks</w:t>
      </w:r>
      <w:r w:rsidR="00FC7B5B">
        <w:t xml:space="preserve"> the cone of influence</w:t>
      </w:r>
      <w:r w:rsidR="00E24D91">
        <w:t xml:space="preserve"> – sig</w:t>
      </w:r>
      <w:r w:rsidR="00C56C10">
        <w:t xml:space="preserve">nals outside </w:t>
      </w:r>
      <w:r w:rsidR="00582239">
        <w:t>this area</w:t>
      </w:r>
      <w:r w:rsidR="00C56C10">
        <w:t xml:space="preserve"> might be distorted</w:t>
      </w:r>
      <w:r w:rsidR="00FC7B5B">
        <w:fldChar w:fldCharType="begin"/>
      </w:r>
      <w:r w:rsidR="0011569A">
        <w:instrText xml:space="preserve"> ADDIN ZOTERO_ITEM CSL_CITATION {"citationID":"tspWijpV","properties":{"formattedCitation":"\\super 2\\nosupersub{}","plainCitation":"2","noteIndex":0},"citationItems":[{"id":1009,"uris":["http://zotero.org/users/9431812/items/W455UV5H"],"itemData":{"id":1009,"type":"article-journal","abstract":"A practical step-by-step guide to wavelet analysis is given, with examples taken from time series of the El Niño–Southern Oscillation (ENSO). The guide includes a comparison to the windowed Fourier transform, the choice of an appropriate wavelet basis function, edge effects due to finite-length time series, and the relationship between wavelet scale and Fourier frequency. New statistical significance tests for wavelet power spectra are developed by deriving theoretical wavelet spectra for white and red noise processes and using these to establish significance levels and confidence intervals. It is shown that smoothing in time or scale can be used to increase the confidence of the wavelet spectrum. Empirical formulas are given for the effect of smoothing on significance levels and confidence intervals. Extensions to wavelet analysis such as filtering, the power Hovmöller, cross-wavelet spectra, and coherence are described.","container-title":"Bulletin of the American Meteorological Society","DOI":"10.1175/1520-0477(1998)079&lt;0061:APGTWA&gt;2.0.CO;2","ISSN":"0003-0007, 1520-0477","issue":"1","journalAbbreviation":"Bull. Amer. Meteor. Soc.","language":"en","page":"61-78","source":"DOI.org (Crossref)","title":"A Practical Guide to Wavelet Analysis","volume":"79","author":[{"family":"Torrence","given":"Christopher"},{"family":"Compo","given":"Gilbert P."}],"issued":{"date-parts":[["1998",1]]}}}],"schema":"https://github.com/citation-style-language/schema/raw/master/csl-citation.json"} </w:instrText>
      </w:r>
      <w:r w:rsidR="00FC7B5B">
        <w:fldChar w:fldCharType="separate"/>
      </w:r>
      <w:r w:rsidR="0011569A" w:rsidRPr="0011569A">
        <w:rPr>
          <w:szCs w:val="24"/>
          <w:vertAlign w:val="superscript"/>
        </w:rPr>
        <w:t>2</w:t>
      </w:r>
      <w:r w:rsidR="00FC7B5B">
        <w:fldChar w:fldCharType="end"/>
      </w:r>
      <w:r w:rsidR="00FC7B5B">
        <w:t>.</w:t>
      </w:r>
      <w:r w:rsidR="00F20EE8">
        <w:t xml:space="preserve"> </w:t>
      </w:r>
      <w:r w:rsidR="00830ECE">
        <w:t xml:space="preserve">The </w:t>
      </w:r>
      <w:r w:rsidR="00D41999">
        <w:t>95% significance interval is highlighted using the black contour.</w:t>
      </w:r>
    </w:p>
    <w:p w14:paraId="7751389F" w14:textId="77777777" w:rsidR="00983C06" w:rsidRDefault="00983C06" w:rsidP="00FC4ABA">
      <w:pPr>
        <w:spacing w:line="480" w:lineRule="auto"/>
        <w:ind w:firstLine="0"/>
        <w:rPr>
          <w:b/>
          <w:bCs/>
          <w:szCs w:val="24"/>
        </w:rPr>
        <w:sectPr w:rsidR="00983C06">
          <w:pgSz w:w="11906" w:h="16838"/>
          <w:pgMar w:top="1417" w:right="1417" w:bottom="1417" w:left="1417" w:header="708" w:footer="708" w:gutter="0"/>
          <w:cols w:space="708"/>
          <w:docGrid w:linePitch="360"/>
        </w:sectPr>
      </w:pPr>
    </w:p>
    <w:p w14:paraId="7A8D50A2" w14:textId="0B5A21CF" w:rsidR="00250958" w:rsidRDefault="00250958" w:rsidP="00FC4ABA">
      <w:pPr>
        <w:spacing w:line="480" w:lineRule="auto"/>
        <w:ind w:firstLine="0"/>
        <w:rPr>
          <w:b/>
          <w:bCs/>
          <w:szCs w:val="24"/>
        </w:rPr>
      </w:pPr>
      <w:r>
        <w:rPr>
          <w:noProof/>
          <w14:ligatures w14:val="standardContextual"/>
        </w:rPr>
        <w:lastRenderedPageBreak/>
        <w:drawing>
          <wp:inline distT="0" distB="0" distL="0" distR="0" wp14:anchorId="1BCFAB30" wp14:editId="3EF8654B">
            <wp:extent cx="6480000" cy="5025600"/>
            <wp:effectExtent l="0" t="0" r="0" b="3810"/>
            <wp:docPr id="1404620276" name="Picture 1"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620276" name="Picture 1" descr="A graph of different colored lines&#10;&#10;Description automatically generated with medium confidence"/>
                    <pic:cNvPicPr/>
                  </pic:nvPicPr>
                  <pic:blipFill>
                    <a:blip r:embed="rId17"/>
                    <a:stretch>
                      <a:fillRect/>
                    </a:stretch>
                  </pic:blipFill>
                  <pic:spPr>
                    <a:xfrm>
                      <a:off x="0" y="0"/>
                      <a:ext cx="6480000" cy="5025600"/>
                    </a:xfrm>
                    <a:prstGeom prst="rect">
                      <a:avLst/>
                    </a:prstGeom>
                  </pic:spPr>
                </pic:pic>
              </a:graphicData>
            </a:graphic>
          </wp:inline>
        </w:drawing>
      </w:r>
    </w:p>
    <w:p w14:paraId="7F29173D" w14:textId="2D331D03" w:rsidR="00305EA5" w:rsidRDefault="00AC7DB7" w:rsidP="00FC4ABA">
      <w:pPr>
        <w:spacing w:line="480" w:lineRule="auto"/>
        <w:ind w:firstLine="0"/>
        <w:rPr>
          <w:b/>
          <w:bCs/>
          <w:color w:val="000000" w:themeColor="text1"/>
          <w:szCs w:val="24"/>
          <w:shd w:val="clear" w:color="auto" w:fill="FFFFFF"/>
        </w:rPr>
        <w:sectPr w:rsidR="00305EA5">
          <w:pgSz w:w="11906" w:h="16838"/>
          <w:pgMar w:top="1417" w:right="1417" w:bottom="1417" w:left="1417" w:header="708" w:footer="708" w:gutter="0"/>
          <w:cols w:space="708"/>
          <w:docGrid w:linePitch="360"/>
        </w:sectPr>
      </w:pPr>
      <w:r w:rsidRPr="00BC2D0B">
        <w:rPr>
          <w:b/>
          <w:bCs/>
          <w:szCs w:val="24"/>
        </w:rPr>
        <w:t xml:space="preserve">Figure </w:t>
      </w:r>
      <w:r w:rsidR="004E00A5">
        <w:rPr>
          <w:b/>
          <w:bCs/>
          <w:szCs w:val="24"/>
        </w:rPr>
        <w:t>S</w:t>
      </w:r>
      <w:r w:rsidRPr="00BC2D0B">
        <w:rPr>
          <w:b/>
          <w:bCs/>
          <w:szCs w:val="24"/>
        </w:rPr>
        <w:t>7.</w:t>
      </w:r>
      <w:r w:rsidR="00FC4ABA">
        <w:rPr>
          <w:b/>
          <w:bCs/>
          <w:szCs w:val="24"/>
        </w:rPr>
        <w:t xml:space="preserve"> </w:t>
      </w:r>
      <w:r w:rsidR="004E00A5">
        <w:rPr>
          <w:b/>
          <w:bCs/>
          <w:szCs w:val="24"/>
        </w:rPr>
        <w:t>The d</w:t>
      </w:r>
      <w:r w:rsidR="00917A15">
        <w:rPr>
          <w:b/>
          <w:bCs/>
          <w:szCs w:val="24"/>
        </w:rPr>
        <w:t xml:space="preserve">ominant </w:t>
      </w:r>
      <w:r w:rsidR="004E00A5">
        <w:rPr>
          <w:b/>
          <w:bCs/>
          <w:szCs w:val="24"/>
        </w:rPr>
        <w:t>~</w:t>
      </w:r>
      <w:r w:rsidR="00917A15">
        <w:rPr>
          <w:b/>
          <w:bCs/>
          <w:szCs w:val="24"/>
        </w:rPr>
        <w:t>1,500</w:t>
      </w:r>
      <w:r w:rsidR="004E00A5">
        <w:rPr>
          <w:b/>
          <w:bCs/>
          <w:szCs w:val="24"/>
        </w:rPr>
        <w:t>-</w:t>
      </w:r>
      <w:r w:rsidR="00917A15">
        <w:rPr>
          <w:b/>
          <w:bCs/>
          <w:szCs w:val="24"/>
        </w:rPr>
        <w:t xml:space="preserve">year </w:t>
      </w:r>
      <w:r w:rsidR="004E00A5">
        <w:rPr>
          <w:b/>
          <w:bCs/>
          <w:szCs w:val="24"/>
        </w:rPr>
        <w:t>wavelength extracted.</w:t>
      </w:r>
      <w:r w:rsidR="00C4522D">
        <w:rPr>
          <w:b/>
          <w:bCs/>
          <w:szCs w:val="24"/>
        </w:rPr>
        <w:t xml:space="preserve"> </w:t>
      </w:r>
      <w:r w:rsidR="00FC4ABA" w:rsidRPr="0074551E">
        <w:rPr>
          <w:b/>
          <w:bCs/>
          <w:szCs w:val="24"/>
        </w:rPr>
        <w:t>a</w:t>
      </w:r>
      <w:r w:rsidR="00283883" w:rsidRPr="00FC4ABA">
        <w:rPr>
          <w:szCs w:val="24"/>
        </w:rPr>
        <w:t xml:space="preserve"> </w:t>
      </w:r>
      <w:r w:rsidR="00283883">
        <w:rPr>
          <w:szCs w:val="24"/>
        </w:rPr>
        <w:t xml:space="preserve">PCA 1 data presented in this study, showing the raw detrended data in the background for context. </w:t>
      </w:r>
      <w:r w:rsidR="00B870E4" w:rsidRPr="009352E1">
        <w:rPr>
          <w:color w:val="000000" w:themeColor="text1"/>
          <w:szCs w:val="24"/>
        </w:rPr>
        <w:t xml:space="preserve"> </w:t>
      </w:r>
      <w:r w:rsidR="00FC4ABA" w:rsidRPr="0074551E">
        <w:rPr>
          <w:b/>
          <w:bCs/>
          <w:color w:val="000000" w:themeColor="text1"/>
          <w:szCs w:val="24"/>
        </w:rPr>
        <w:t>b</w:t>
      </w:r>
      <w:r w:rsidR="00B870E4" w:rsidRPr="009352E1">
        <w:rPr>
          <w:color w:val="000000" w:themeColor="text1"/>
          <w:szCs w:val="24"/>
        </w:rPr>
        <w:t xml:space="preserve"> </w:t>
      </w:r>
      <w:r w:rsidR="00B870E4" w:rsidRPr="009352E1">
        <w:rPr>
          <w:color w:val="000000" w:themeColor="text1"/>
          <w:szCs w:val="24"/>
          <w:shd w:val="clear" w:color="auto" w:fill="FFFFFF"/>
        </w:rPr>
        <w:t>M</w:t>
      </w:r>
      <w:r w:rsidR="002F4589">
        <w:rPr>
          <w:color w:val="000000" w:themeColor="text1"/>
          <w:szCs w:val="24"/>
          <w:shd w:val="clear" w:color="auto" w:fill="FFFFFF"/>
        </w:rPr>
        <w:t>ean grain size</w:t>
      </w:r>
      <w:r w:rsidR="00B870E4" w:rsidRPr="009352E1">
        <w:rPr>
          <w:color w:val="000000" w:themeColor="text1"/>
          <w:szCs w:val="24"/>
          <w:shd w:val="clear" w:color="auto" w:fill="FFFFFF"/>
        </w:rPr>
        <w:t xml:space="preserve"> </w:t>
      </w:r>
      <w:r w:rsidR="00660073">
        <w:rPr>
          <w:color w:val="000000" w:themeColor="text1"/>
          <w:szCs w:val="24"/>
          <w:shd w:val="clear" w:color="auto" w:fill="FFFFFF"/>
        </w:rPr>
        <w:t xml:space="preserve">(MGS) </w:t>
      </w:r>
      <w:r w:rsidR="00971A7D">
        <w:rPr>
          <w:color w:val="000000" w:themeColor="text1"/>
          <w:szCs w:val="24"/>
          <w:shd w:val="clear" w:color="auto" w:fill="FFFFFF"/>
        </w:rPr>
        <w:t>data</w:t>
      </w:r>
      <w:r w:rsidR="00971A7D" w:rsidRPr="009352E1">
        <w:rPr>
          <w:color w:val="000000" w:themeColor="text1"/>
          <w:szCs w:val="24"/>
          <w:shd w:val="clear" w:color="auto" w:fill="FFFFFF"/>
        </w:rPr>
        <w:t xml:space="preserve"> </w:t>
      </w:r>
      <w:r w:rsidR="00971A7D">
        <w:rPr>
          <w:color w:val="000000" w:themeColor="text1"/>
          <w:szCs w:val="24"/>
          <w:shd w:val="clear" w:color="auto" w:fill="FFFFFF"/>
        </w:rPr>
        <w:t>reflecting eolian</w:t>
      </w:r>
      <w:r w:rsidR="00B870E4" w:rsidRPr="009352E1">
        <w:rPr>
          <w:color w:val="000000" w:themeColor="text1"/>
          <w:szCs w:val="24"/>
          <w:shd w:val="clear" w:color="auto" w:fill="FFFFFF"/>
        </w:rPr>
        <w:t xml:space="preserve"> loess deposition in </w:t>
      </w:r>
      <w:r w:rsidR="00971A7D">
        <w:rPr>
          <w:color w:val="000000" w:themeColor="text1"/>
          <w:szCs w:val="24"/>
          <w:shd w:val="clear" w:color="auto" w:fill="FFFFFF"/>
        </w:rPr>
        <w:t xml:space="preserve">northern </w:t>
      </w:r>
      <w:r w:rsidR="00B870E4" w:rsidRPr="009352E1">
        <w:rPr>
          <w:color w:val="000000" w:themeColor="text1"/>
          <w:szCs w:val="24"/>
          <w:shd w:val="clear" w:color="auto" w:fill="FFFFFF"/>
        </w:rPr>
        <w:t>Iceland</w:t>
      </w:r>
      <w:r w:rsidR="00B870E4" w:rsidRPr="009352E1">
        <w:rPr>
          <w:color w:val="000000" w:themeColor="text1"/>
          <w:szCs w:val="24"/>
          <w:shd w:val="clear" w:color="auto" w:fill="FFFFFF"/>
        </w:rPr>
        <w:fldChar w:fldCharType="begin"/>
      </w:r>
      <w:r w:rsidR="0011569A">
        <w:rPr>
          <w:color w:val="000000" w:themeColor="text1"/>
          <w:szCs w:val="24"/>
          <w:shd w:val="clear" w:color="auto" w:fill="FFFFFF"/>
        </w:rPr>
        <w:instrText xml:space="preserve"> ADDIN ZOTERO_ITEM CSL_CITATION {"citationID":"VXxcFJD3","properties":{"formattedCitation":"\\super 3\\nosupersub{}","plainCitation":"3","noteIndex":0},"citationItems":[{"id":"6p5na7CX/dt8E18pj","uris":["http://zotero.org/users/9431812/items/RDCNVAUE"],"itemData":{"id":861,"type":"article-journal","abstract":"We present the first detailed record of Holocene climate variation from Icelandic eolian soil deposits. Seven cold and windy episodes occurred in Iceland during the past 10 k.y., including the well-documented Little Ice Age (0.6–0.1 ka) and the 8.2 ka event. These windy events are associated with enhanced drift-ice discharge into the North Atlantic, and several are associated with evidence for cold and windy climate in central Greenland and diminution of deep-water formation in the North Atlantic. Although the Arctic Oscillation–North Atlantic Oscillation (AO–NAO) has been invoked to explain other climate teleconnections in the North Atlantic, our paleorecord of windiness in Iceland is not consistent with a persistent negative phase of the AO–NAO.","container-title":"Geology","DOI":"10.1130/G21489.1","ISSN":"0091-7613","issue":"6","journalAbbreviation":"Geology","page":"509-512","source":"Silverchair","title":"Holocene loess deposition in Iceland: Evidence for millennial-scale atmosphere-ocean coupling in the North Atlantic","title-short":"Holocene loess deposition in Iceland","volume":"33","author":[{"family":"Jackson","given":"Matthew G."},{"family":"Oskarsson","given":"Niels"},{"family":"Trønnes","given":"Reidar G."},{"family":"McManus","given":"Jerry F."},{"family":"Oppo","given":"Delia W."},{"family":"Grönvold","given":"Karl"},{"family":"Hart","given":"Stanley R."},{"family":"Sachs","given":"Julian P."}],"issued":{"date-parts":[["2005",6,1]]}}}],"schema":"https://github.com/citation-style-language/schema/raw/master/csl-citation.json"} </w:instrText>
      </w:r>
      <w:r w:rsidR="00B870E4" w:rsidRPr="009352E1">
        <w:rPr>
          <w:color w:val="000000" w:themeColor="text1"/>
          <w:szCs w:val="24"/>
          <w:shd w:val="clear" w:color="auto" w:fill="FFFFFF"/>
        </w:rPr>
        <w:fldChar w:fldCharType="separate"/>
      </w:r>
      <w:r w:rsidR="0011569A" w:rsidRPr="0011569A">
        <w:rPr>
          <w:szCs w:val="24"/>
          <w:vertAlign w:val="superscript"/>
        </w:rPr>
        <w:t>3</w:t>
      </w:r>
      <w:r w:rsidR="00B870E4" w:rsidRPr="009352E1">
        <w:rPr>
          <w:color w:val="000000" w:themeColor="text1"/>
          <w:szCs w:val="24"/>
          <w:shd w:val="clear" w:color="auto" w:fill="FFFFFF"/>
        </w:rPr>
        <w:fldChar w:fldCharType="end"/>
      </w:r>
      <w:r w:rsidR="00B870E4" w:rsidRPr="009352E1">
        <w:rPr>
          <w:color w:val="000000" w:themeColor="text1"/>
          <w:szCs w:val="24"/>
          <w:shd w:val="clear" w:color="auto" w:fill="FFFFFF"/>
        </w:rPr>
        <w:t xml:space="preserve">. </w:t>
      </w:r>
      <w:r w:rsidR="00D74ABE" w:rsidRPr="0074551E">
        <w:rPr>
          <w:b/>
          <w:bCs/>
          <w:color w:val="000000" w:themeColor="text1"/>
          <w:szCs w:val="24"/>
          <w:shd w:val="clear" w:color="auto" w:fill="FFFFFF"/>
        </w:rPr>
        <w:t>c</w:t>
      </w:r>
      <w:r w:rsidR="00D74ABE">
        <w:rPr>
          <w:color w:val="000000" w:themeColor="text1"/>
          <w:szCs w:val="24"/>
          <w:shd w:val="clear" w:color="auto" w:fill="FFFFFF"/>
        </w:rPr>
        <w:t xml:space="preserve"> </w:t>
      </w:r>
      <w:r w:rsidR="006F4C43">
        <w:rPr>
          <w:color w:val="000000" w:themeColor="text1"/>
          <w:szCs w:val="24"/>
          <w:shd w:val="clear" w:color="auto" w:fill="FFFFFF"/>
        </w:rPr>
        <w:t>Iron (</w:t>
      </w:r>
      <w:r w:rsidR="00105FDE">
        <w:rPr>
          <w:color w:val="000000" w:themeColor="text1"/>
          <w:szCs w:val="24"/>
          <w:shd w:val="clear" w:color="auto" w:fill="FFFFFF"/>
        </w:rPr>
        <w:t>Fe</w:t>
      </w:r>
      <w:r w:rsidR="006F4C43">
        <w:rPr>
          <w:color w:val="000000" w:themeColor="text1"/>
          <w:szCs w:val="24"/>
          <w:shd w:val="clear" w:color="auto" w:fill="FFFFFF"/>
        </w:rPr>
        <w:t>)</w:t>
      </w:r>
      <w:r w:rsidR="00105FDE">
        <w:rPr>
          <w:color w:val="000000" w:themeColor="text1"/>
          <w:szCs w:val="24"/>
          <w:shd w:val="clear" w:color="auto" w:fill="FFFFFF"/>
        </w:rPr>
        <w:t xml:space="preserve"> grain</w:t>
      </w:r>
      <w:r w:rsidR="00660073">
        <w:rPr>
          <w:color w:val="000000" w:themeColor="text1"/>
          <w:szCs w:val="24"/>
          <w:shd w:val="clear" w:color="auto" w:fill="FFFFFF"/>
        </w:rPr>
        <w:t xml:space="preserve"> counts</w:t>
      </w:r>
      <w:r w:rsidR="00105FDE">
        <w:rPr>
          <w:color w:val="000000" w:themeColor="text1"/>
          <w:szCs w:val="24"/>
          <w:shd w:val="clear" w:color="auto" w:fill="FFFFFF"/>
        </w:rPr>
        <w:t xml:space="preserve"> </w:t>
      </w:r>
      <w:r w:rsidR="00863D70">
        <w:rPr>
          <w:color w:val="000000" w:themeColor="text1"/>
          <w:szCs w:val="24"/>
          <w:shd w:val="clear" w:color="auto" w:fill="FFFFFF"/>
        </w:rPr>
        <w:t>from the Kara Sea</w:t>
      </w:r>
      <w:r w:rsidR="00660073">
        <w:rPr>
          <w:color w:val="000000" w:themeColor="text1"/>
          <w:szCs w:val="24"/>
          <w:shd w:val="clear" w:color="auto" w:fill="FFFFFF"/>
        </w:rPr>
        <w:t xml:space="preserve"> that capture the Arctic Oscillation (AO)</w:t>
      </w:r>
      <w:r w:rsidR="00863D70">
        <w:rPr>
          <w:color w:val="000000" w:themeColor="text1"/>
          <w:szCs w:val="24"/>
          <w:shd w:val="clear" w:color="auto" w:fill="FFFFFF"/>
        </w:rPr>
        <w:fldChar w:fldCharType="begin"/>
      </w:r>
      <w:r w:rsidR="0011569A">
        <w:rPr>
          <w:color w:val="000000" w:themeColor="text1"/>
          <w:szCs w:val="24"/>
          <w:shd w:val="clear" w:color="auto" w:fill="FFFFFF"/>
        </w:rPr>
        <w:instrText xml:space="preserve"> ADDIN ZOTERO_ITEM CSL_CITATION {"citationID":"8Vb4kVXN","properties":{"formattedCitation":"\\super 4\\nosupersub{}","plainCitation":"4","noteIndex":0},"citationItems":[{"id":795,"uris":["http://zotero.org/users/9431812/items/4RN9T5HC"],"itemData":{"id":795,"type":"article-journal","container-title":"Nature Geoscience","DOI":"10.1038/ngeo1629","ISSN":"1752-0894, 1752-0908","issue":"12","journalAbbreviation":"Nature Geosci","language":"en","page":"897-900","source":"DOI.org (Crossref)","title":"1,500-year cycle in the Arctic Oscillation identified in Holocene Arctic sea-ice drift","volume":"5","author":[{"family":"Darby","given":"Dennis A."},{"family":"Ortiz","given":"Joseph D."},{"family":"Grosch","given":"Chester E."},{"family":"Lund","given":"Steven P."}],"issued":{"date-parts":[["2012",12]]}}}],"schema":"https://github.com/citation-style-language/schema/raw/master/csl-citation.json"} </w:instrText>
      </w:r>
      <w:r w:rsidR="00863D70">
        <w:rPr>
          <w:color w:val="000000" w:themeColor="text1"/>
          <w:szCs w:val="24"/>
          <w:shd w:val="clear" w:color="auto" w:fill="FFFFFF"/>
        </w:rPr>
        <w:fldChar w:fldCharType="separate"/>
      </w:r>
      <w:r w:rsidR="0011569A" w:rsidRPr="0011569A">
        <w:rPr>
          <w:szCs w:val="24"/>
          <w:vertAlign w:val="superscript"/>
        </w:rPr>
        <w:t>4</w:t>
      </w:r>
      <w:r w:rsidR="00863D70">
        <w:rPr>
          <w:color w:val="000000" w:themeColor="text1"/>
          <w:szCs w:val="24"/>
          <w:shd w:val="clear" w:color="auto" w:fill="FFFFFF"/>
        </w:rPr>
        <w:fldChar w:fldCharType="end"/>
      </w:r>
      <w:r w:rsidR="000F097F">
        <w:rPr>
          <w:color w:val="000000" w:themeColor="text1"/>
          <w:szCs w:val="24"/>
          <w:shd w:val="clear" w:color="auto" w:fill="FFFFFF"/>
        </w:rPr>
        <w:t>.</w:t>
      </w:r>
      <w:r w:rsidR="008D50FF">
        <w:rPr>
          <w:color w:val="000000" w:themeColor="text1"/>
          <w:szCs w:val="24"/>
          <w:shd w:val="clear" w:color="auto" w:fill="FFFFFF"/>
        </w:rPr>
        <w:t xml:space="preserve"> </w:t>
      </w:r>
      <w:r w:rsidR="008D50FF" w:rsidRPr="0074551E">
        <w:rPr>
          <w:b/>
          <w:bCs/>
          <w:color w:val="000000" w:themeColor="text1"/>
          <w:szCs w:val="24"/>
          <w:shd w:val="clear" w:color="auto" w:fill="FFFFFF"/>
        </w:rPr>
        <w:t>d</w:t>
      </w:r>
      <w:r w:rsidR="008D50FF">
        <w:rPr>
          <w:color w:val="000000" w:themeColor="text1"/>
          <w:szCs w:val="24"/>
          <w:shd w:val="clear" w:color="auto" w:fill="FFFFFF"/>
        </w:rPr>
        <w:t xml:space="preserve"> </w:t>
      </w:r>
      <w:r w:rsidR="00696B0B">
        <w:rPr>
          <w:color w:val="000000" w:themeColor="text1"/>
          <w:szCs w:val="24"/>
          <w:shd w:val="clear" w:color="auto" w:fill="FFFFFF"/>
        </w:rPr>
        <w:t xml:space="preserve">PC 2 data </w:t>
      </w:r>
      <w:r w:rsidR="00660073">
        <w:rPr>
          <w:color w:val="000000" w:themeColor="text1"/>
          <w:szCs w:val="24"/>
          <w:shd w:val="clear" w:color="auto" w:fill="FFFFFF"/>
        </w:rPr>
        <w:t>presented in this</w:t>
      </w:r>
      <w:r w:rsidR="00696B0B">
        <w:rPr>
          <w:color w:val="000000" w:themeColor="text1"/>
          <w:szCs w:val="24"/>
          <w:shd w:val="clear" w:color="auto" w:fill="FFFFFF"/>
        </w:rPr>
        <w:t xml:space="preserve"> study</w:t>
      </w:r>
      <w:r w:rsidR="00660073">
        <w:rPr>
          <w:color w:val="000000" w:themeColor="text1"/>
          <w:szCs w:val="24"/>
          <w:shd w:val="clear" w:color="auto" w:fill="FFFFFF"/>
        </w:rPr>
        <w:t>, showing the raw detrended data in the background for context.</w:t>
      </w:r>
      <w:r w:rsidR="00696B0B">
        <w:rPr>
          <w:color w:val="000000" w:themeColor="text1"/>
          <w:szCs w:val="24"/>
          <w:shd w:val="clear" w:color="auto" w:fill="FFFFFF"/>
        </w:rPr>
        <w:t xml:space="preserve"> </w:t>
      </w:r>
      <w:r w:rsidR="00260A7A" w:rsidRPr="0074551E">
        <w:rPr>
          <w:rStyle w:val="fontstyle01"/>
          <w:rFonts w:ascii="Times New Roman" w:hAnsi="Times New Roman"/>
          <w:b/>
          <w:bCs/>
          <w:color w:val="000000" w:themeColor="text1"/>
          <w:sz w:val="24"/>
          <w:szCs w:val="24"/>
        </w:rPr>
        <w:t>e</w:t>
      </w:r>
      <w:r w:rsidR="00B870E4">
        <w:rPr>
          <w:rStyle w:val="fontstyle01"/>
          <w:rFonts w:ascii="Times New Roman" w:hAnsi="Times New Roman"/>
          <w:color w:val="000000" w:themeColor="text1"/>
          <w:sz w:val="24"/>
          <w:szCs w:val="24"/>
        </w:rPr>
        <w:t xml:space="preserve"> </w:t>
      </w:r>
      <w:r w:rsidR="00660073">
        <w:rPr>
          <w:rStyle w:val="fontstyle01"/>
          <w:rFonts w:ascii="Times New Roman" w:hAnsi="Times New Roman"/>
          <w:color w:val="000000" w:themeColor="text1"/>
          <w:sz w:val="24"/>
          <w:szCs w:val="24"/>
        </w:rPr>
        <w:t xml:space="preserve">An </w:t>
      </w:r>
      <w:r w:rsidR="00B870E4" w:rsidRPr="009352E1">
        <w:rPr>
          <w:color w:val="000000" w:themeColor="text1"/>
          <w:szCs w:val="24"/>
          <w:shd w:val="clear" w:color="auto" w:fill="FFFFFF"/>
        </w:rPr>
        <w:t>I</w:t>
      </w:r>
      <w:r w:rsidR="00DE49DD">
        <w:rPr>
          <w:color w:val="000000" w:themeColor="text1"/>
          <w:szCs w:val="24"/>
          <w:shd w:val="clear" w:color="auto" w:fill="FFFFFF"/>
        </w:rPr>
        <w:t xml:space="preserve">ce </w:t>
      </w:r>
      <w:r w:rsidR="00B870E4" w:rsidRPr="009352E1">
        <w:rPr>
          <w:color w:val="000000" w:themeColor="text1"/>
          <w:szCs w:val="24"/>
          <w:shd w:val="clear" w:color="auto" w:fill="FFFFFF"/>
        </w:rPr>
        <w:t>R</w:t>
      </w:r>
      <w:r w:rsidR="00DE49DD">
        <w:rPr>
          <w:color w:val="000000" w:themeColor="text1"/>
          <w:szCs w:val="24"/>
          <w:shd w:val="clear" w:color="auto" w:fill="FFFFFF"/>
        </w:rPr>
        <w:t>afted Debris (IR</w:t>
      </w:r>
      <w:r w:rsidR="00B870E4" w:rsidRPr="009352E1">
        <w:rPr>
          <w:color w:val="000000" w:themeColor="text1"/>
          <w:szCs w:val="24"/>
          <w:shd w:val="clear" w:color="auto" w:fill="FFFFFF"/>
        </w:rPr>
        <w:t>D</w:t>
      </w:r>
      <w:r w:rsidR="00DE49DD">
        <w:rPr>
          <w:color w:val="000000" w:themeColor="text1"/>
          <w:szCs w:val="24"/>
          <w:shd w:val="clear" w:color="auto" w:fill="FFFFFF"/>
        </w:rPr>
        <w:t>)</w:t>
      </w:r>
      <w:r w:rsidR="00B870E4" w:rsidRPr="009352E1">
        <w:rPr>
          <w:color w:val="000000" w:themeColor="text1"/>
          <w:szCs w:val="24"/>
          <w:shd w:val="clear" w:color="auto" w:fill="FFFFFF"/>
        </w:rPr>
        <w:t xml:space="preserve"> </w:t>
      </w:r>
      <w:r w:rsidR="0081072B">
        <w:rPr>
          <w:color w:val="000000" w:themeColor="text1"/>
          <w:szCs w:val="24"/>
          <w:shd w:val="clear" w:color="auto" w:fill="FFFFFF"/>
        </w:rPr>
        <w:t>s</w:t>
      </w:r>
      <w:r w:rsidR="00B870E4" w:rsidRPr="009352E1">
        <w:rPr>
          <w:color w:val="000000" w:themeColor="text1"/>
          <w:szCs w:val="24"/>
          <w:shd w:val="clear" w:color="auto" w:fill="FFFFFF"/>
        </w:rPr>
        <w:t>tack series from the North Atlantic</w:t>
      </w:r>
      <w:r w:rsidR="00660073">
        <w:rPr>
          <w:color w:val="000000" w:themeColor="text1"/>
          <w:szCs w:val="24"/>
          <w:shd w:val="clear" w:color="auto" w:fill="FFFFFF"/>
        </w:rPr>
        <w:t xml:space="preserve"> (see Fig. 1a)</w:t>
      </w:r>
      <w:r w:rsidR="00196FCD" w:rsidRPr="009352E1">
        <w:rPr>
          <w:color w:val="000000" w:themeColor="text1"/>
          <w:szCs w:val="24"/>
          <w:shd w:val="clear" w:color="auto" w:fill="FFFFFF"/>
        </w:rPr>
        <w:fldChar w:fldCharType="begin"/>
      </w:r>
      <w:r w:rsidR="00196FCD">
        <w:rPr>
          <w:color w:val="000000" w:themeColor="text1"/>
          <w:szCs w:val="24"/>
          <w:shd w:val="clear" w:color="auto" w:fill="FFFFFF"/>
        </w:rPr>
        <w:instrText xml:space="preserve"> ADDIN ZOTERO_ITEM CSL_CITATION {"citationID":"vnxmdrNd","properties":{"formattedCitation":"\\super 5,6\\nosupersub{}","plainCitation":"5,6","noteIndex":0},"citationItems":[{"id":919,"uris":["http://zotero.org/users/9431812/items/5IIVLJTC"],"itemData":{"id":919,"type":"article-journal","abstract":"Surface winds and surface ocean hydrography in the subpolar North Atlantic appear to have been influenced by variations in solar output through the entire Holocene. The evidence comes from a close correlation between inferred changes in production rates of the cosmogenic nuclides carbon-14 and beryllium-10 and centennial to millennial time scale changes in proxies of drift ice measured in deep-sea sediment cores. A solar forcing mechanism therefore may underlie at least the Holocene segment of the North Atlantic's \"1500-year\" cycle. The surface hydrographic changes may have affected production of North Atlantic Deep Water, potentially providing an additional mechanism for amplifying the solar signals and transmitting them globally.","container-title":"Science (New York, N.Y.)","DOI":"10.1126/science.1065680","ISSN":"0036-8075","issue":"5549","journalAbbreviation":"Science","language":"eng","note":"PMID: 11739949","page":"2130-2136","source":"PubMed","title":"Persistent solar influence on North Atlantic climate during the Holocene","volume":"294","author":[{"family":"Bond","given":"G."},{"family":"Kromer","given":"B."},{"family":"Beer","given":"J."},{"family":"Muscheler","given":"R."},{"family":"Evans","given":"M. N."},{"family":"Showers","given":"W."},{"family":"Hoffmann","given":"S."},{"family":"Lotti-Bond","given":"R."},{"family":"Hajdas","given":"I."},{"family":"Bonani","given":"G."}],"issued":{"date-parts":[["2001",12,7]]}}},{"id":1036,"uris":["http://zotero.org/users/9431812/items/UZNAE26H"],"itemData":{"id":1036,"type":"dataset","abstract":"This archived Paleoclimatology Study is available from the NOAA National Centers for Environmental Information (NCEI), under the World Data Service (WDS) for Paleoclimatology. The associated NCEI study type is Paleoceanography. The data include parameters of paleoceanography with a geographic location of North Atlantic Ocean. The time period coverage is from 11500 to 0 in calendar years before present (BP). See metadata information for parameter and study location details. Please cite this study when using the data.","DOI":"10.25921/BGVH-NB23","publisher":"NOAA National Centers for Environmental Information","source":"DOI.org (Datacite)","title":"NOAA/WDS Paleoclimatology - Bond et al. 2001 North Atlantic Holocene Drift Ice Proxy Data","URL":"https://www.ncei.noaa.gov/metadata/geoportal/rest/metadata/item/noaa-ocean-8671/html","author":[{"family":"Evans","given":"M.N."},{"family":"Muscheler","given":"R."},{"family":"Bond","given":"G.C."},{"family":"Kromer","given":"B."},{"family":"Beer","given":"J."},{"family":"Showers","given":"W."},{"family":"Hoffmann","given":"S.S."},{"family":"Lotti-Bond","given":"R."},{"family":"Hajdas","given":"I."},{"family":"Bonani","given":"G."}],"accessed":{"date-parts":[["2023",10,19]]}}}],"schema":"https://github.com/citation-style-language/schema/raw/master/csl-citation.json"} </w:instrText>
      </w:r>
      <w:r w:rsidR="00196FCD" w:rsidRPr="009352E1">
        <w:rPr>
          <w:color w:val="000000" w:themeColor="text1"/>
          <w:szCs w:val="24"/>
          <w:shd w:val="clear" w:color="auto" w:fill="FFFFFF"/>
        </w:rPr>
        <w:fldChar w:fldCharType="separate"/>
      </w:r>
      <w:r w:rsidR="00196FCD" w:rsidRPr="0011569A">
        <w:rPr>
          <w:szCs w:val="24"/>
          <w:vertAlign w:val="superscript"/>
        </w:rPr>
        <w:t>5,6</w:t>
      </w:r>
      <w:r w:rsidR="00196FCD" w:rsidRPr="009352E1">
        <w:rPr>
          <w:color w:val="000000" w:themeColor="text1"/>
          <w:szCs w:val="24"/>
          <w:shd w:val="clear" w:color="auto" w:fill="FFFFFF"/>
        </w:rPr>
        <w:fldChar w:fldCharType="end"/>
      </w:r>
      <w:r w:rsidR="00B870E4" w:rsidRPr="009352E1">
        <w:rPr>
          <w:color w:val="000000" w:themeColor="text1"/>
          <w:szCs w:val="24"/>
          <w:shd w:val="clear" w:color="auto" w:fill="FFFFFF"/>
        </w:rPr>
        <w:t>.</w:t>
      </w:r>
      <w:r w:rsidR="002B6E2C">
        <w:rPr>
          <w:color w:val="000000" w:themeColor="text1"/>
          <w:szCs w:val="24"/>
          <w:shd w:val="clear" w:color="auto" w:fill="FFFFFF"/>
        </w:rPr>
        <w:t xml:space="preserve"> </w:t>
      </w:r>
      <w:r w:rsidR="00660073">
        <w:rPr>
          <w:color w:val="000000" w:themeColor="text1"/>
          <w:szCs w:val="24"/>
          <w:shd w:val="clear" w:color="auto" w:fill="FFFFFF"/>
        </w:rPr>
        <w:t xml:space="preserve">We list </w:t>
      </w:r>
      <w:r w:rsidR="00660073">
        <w:t>c</w:t>
      </w:r>
      <w:r w:rsidR="002B6E2C">
        <w:t>ross-</w:t>
      </w:r>
      <w:r w:rsidR="002B6E2C" w:rsidRPr="00D62D4C">
        <w:t xml:space="preserve">correlation </w:t>
      </w:r>
      <w:r w:rsidR="00B71D16">
        <w:t xml:space="preserve">values </w:t>
      </w:r>
      <w:r w:rsidR="002B6E2C" w:rsidRPr="00D62D4C">
        <w:t>(</w:t>
      </w:r>
      <w:r w:rsidR="00E16B01">
        <w:t>r</w:t>
      </w:r>
      <w:r w:rsidR="002B6E2C" w:rsidRPr="00D62D4C">
        <w:t xml:space="preserve">) </w:t>
      </w:r>
      <w:r w:rsidR="003B6B58">
        <w:t xml:space="preserve">are </w:t>
      </w:r>
      <w:r w:rsidR="00342586">
        <w:t>placed near the target in the colour of the source (PC).</w:t>
      </w:r>
    </w:p>
    <w:p w14:paraId="095804F2" w14:textId="77777777" w:rsidR="00805E4A" w:rsidRPr="00805E4A" w:rsidRDefault="00805E4A" w:rsidP="00FC4ABA">
      <w:pPr>
        <w:spacing w:line="480" w:lineRule="auto"/>
        <w:ind w:firstLine="0"/>
        <w:rPr>
          <w:b/>
          <w:bCs/>
          <w:color w:val="000000" w:themeColor="text1"/>
          <w:szCs w:val="24"/>
          <w:shd w:val="clear" w:color="auto" w:fill="FFFFFF"/>
        </w:rPr>
      </w:pPr>
      <w:r w:rsidRPr="00805E4A">
        <w:rPr>
          <w:b/>
          <w:bCs/>
          <w:color w:val="000000" w:themeColor="text1"/>
          <w:szCs w:val="24"/>
          <w:shd w:val="clear" w:color="auto" w:fill="FFFFFF"/>
        </w:rPr>
        <w:lastRenderedPageBreak/>
        <w:t>References:</w:t>
      </w:r>
    </w:p>
    <w:p w14:paraId="75EA4604" w14:textId="77777777" w:rsidR="00CE162C" w:rsidRPr="00CE162C" w:rsidRDefault="00805E4A" w:rsidP="00CE162C">
      <w:pPr>
        <w:pStyle w:val="Bibliography"/>
      </w:pPr>
      <w:r>
        <w:rPr>
          <w:color w:val="000000" w:themeColor="text1"/>
          <w:shd w:val="clear" w:color="auto" w:fill="FFFFFF"/>
        </w:rPr>
        <w:fldChar w:fldCharType="begin"/>
      </w:r>
      <w:r w:rsidR="00CE162C">
        <w:rPr>
          <w:color w:val="000000" w:themeColor="text1"/>
          <w:shd w:val="clear" w:color="auto" w:fill="FFFFFF"/>
        </w:rPr>
        <w:instrText xml:space="preserve"> ADDIN ZOTERO_BIBL {"uncited":[],"omitted":[],"custom":[]} CSL_BIBLIOGRAPHY </w:instrText>
      </w:r>
      <w:r>
        <w:rPr>
          <w:color w:val="000000" w:themeColor="text1"/>
          <w:shd w:val="clear" w:color="auto" w:fill="FFFFFF"/>
        </w:rPr>
        <w:fldChar w:fldCharType="separate"/>
      </w:r>
      <w:r w:rsidR="00CE162C" w:rsidRPr="00CE162C">
        <w:t>1.</w:t>
      </w:r>
      <w:r w:rsidR="00CE162C" w:rsidRPr="00CE162C">
        <w:tab/>
        <w:t xml:space="preserve">Prins, M. A. &amp; Weltje, G. J. End-member modeling of siliciclastic grain-size distributions: The late Quaternary record of aeolian and fluvial sediment supply to the Arabian Sea and its paleoclimatic significance. in </w:t>
      </w:r>
      <w:r w:rsidR="00CE162C" w:rsidRPr="00CE162C">
        <w:rPr>
          <w:i/>
          <w:iCs/>
        </w:rPr>
        <w:t>Numerical experiments in stratigraphy: Recent advances in stratigraphic and sedimentologic computer simulations</w:t>
      </w:r>
      <w:r w:rsidR="00CE162C" w:rsidRPr="00CE162C">
        <w:t xml:space="preserve"> (ed. Harbaugh, J.) 91–111 (Society for Sedimentary Geology, 1999).</w:t>
      </w:r>
    </w:p>
    <w:p w14:paraId="378CF813" w14:textId="77777777" w:rsidR="00CE162C" w:rsidRPr="00CE162C" w:rsidRDefault="00CE162C" w:rsidP="00CE162C">
      <w:pPr>
        <w:pStyle w:val="Bibliography"/>
      </w:pPr>
      <w:r w:rsidRPr="00CE162C">
        <w:t>2.</w:t>
      </w:r>
      <w:r w:rsidRPr="00CE162C">
        <w:tab/>
        <w:t xml:space="preserve">Torrence, C. &amp; Compo, G. P. A Practical Guide to Wavelet Analysis. </w:t>
      </w:r>
      <w:r w:rsidRPr="00CE162C">
        <w:rPr>
          <w:i/>
          <w:iCs/>
        </w:rPr>
        <w:t>Bull. Amer. Meteor. Soc.</w:t>
      </w:r>
      <w:r w:rsidRPr="00CE162C">
        <w:t xml:space="preserve"> </w:t>
      </w:r>
      <w:r w:rsidRPr="00CE162C">
        <w:rPr>
          <w:b/>
          <w:bCs/>
        </w:rPr>
        <w:t>79</w:t>
      </w:r>
      <w:r w:rsidRPr="00CE162C">
        <w:t>, 61–78 (1998).</w:t>
      </w:r>
    </w:p>
    <w:p w14:paraId="3615B038" w14:textId="77777777" w:rsidR="00CE162C" w:rsidRPr="00CE162C" w:rsidRDefault="00CE162C" w:rsidP="00CE162C">
      <w:pPr>
        <w:pStyle w:val="Bibliography"/>
      </w:pPr>
      <w:r w:rsidRPr="00CE162C">
        <w:t>3.</w:t>
      </w:r>
      <w:r w:rsidRPr="00CE162C">
        <w:tab/>
        <w:t xml:space="preserve">Jackson, M. G. </w:t>
      </w:r>
      <w:r w:rsidRPr="00CE162C">
        <w:rPr>
          <w:i/>
          <w:iCs/>
        </w:rPr>
        <w:t>et al.</w:t>
      </w:r>
      <w:r w:rsidRPr="00CE162C">
        <w:t xml:space="preserve"> Holocene loess deposition in Iceland: Evidence for millennial-scale atmosphere-ocean coupling in the North Atlantic. </w:t>
      </w:r>
      <w:r w:rsidRPr="00CE162C">
        <w:rPr>
          <w:i/>
          <w:iCs/>
        </w:rPr>
        <w:t>Geology</w:t>
      </w:r>
      <w:r w:rsidRPr="00CE162C">
        <w:t xml:space="preserve"> </w:t>
      </w:r>
      <w:r w:rsidRPr="00CE162C">
        <w:rPr>
          <w:b/>
          <w:bCs/>
        </w:rPr>
        <w:t>33</w:t>
      </w:r>
      <w:r w:rsidRPr="00CE162C">
        <w:t>, 509–512 (2005).</w:t>
      </w:r>
    </w:p>
    <w:p w14:paraId="79161A79" w14:textId="77777777" w:rsidR="00CE162C" w:rsidRPr="00CE162C" w:rsidRDefault="00CE162C" w:rsidP="00CE162C">
      <w:pPr>
        <w:pStyle w:val="Bibliography"/>
      </w:pPr>
      <w:r w:rsidRPr="00CE162C">
        <w:t>4.</w:t>
      </w:r>
      <w:r w:rsidRPr="00CE162C">
        <w:tab/>
        <w:t xml:space="preserve">Darby, D. A., Ortiz, J. D., Grosch, C. E. &amp; Lund, S. P. 1,500-year cycle in the Arctic Oscillation identified in Holocene Arctic sea-ice drift. </w:t>
      </w:r>
      <w:r w:rsidRPr="00CE162C">
        <w:rPr>
          <w:i/>
          <w:iCs/>
        </w:rPr>
        <w:t>Nature Geosci</w:t>
      </w:r>
      <w:r w:rsidRPr="00CE162C">
        <w:t xml:space="preserve"> </w:t>
      </w:r>
      <w:r w:rsidRPr="00CE162C">
        <w:rPr>
          <w:b/>
          <w:bCs/>
        </w:rPr>
        <w:t>5</w:t>
      </w:r>
      <w:r w:rsidRPr="00CE162C">
        <w:t>, 897–900 (2012).</w:t>
      </w:r>
    </w:p>
    <w:p w14:paraId="600294C2" w14:textId="77777777" w:rsidR="00CE162C" w:rsidRPr="00CE162C" w:rsidRDefault="00CE162C" w:rsidP="00CE162C">
      <w:pPr>
        <w:pStyle w:val="Bibliography"/>
      </w:pPr>
      <w:r w:rsidRPr="00CE162C">
        <w:t>5.</w:t>
      </w:r>
      <w:r w:rsidRPr="00CE162C">
        <w:tab/>
        <w:t xml:space="preserve">Bond, G. </w:t>
      </w:r>
      <w:r w:rsidRPr="00CE162C">
        <w:rPr>
          <w:i/>
          <w:iCs/>
        </w:rPr>
        <w:t>et al.</w:t>
      </w:r>
      <w:r w:rsidRPr="00CE162C">
        <w:t xml:space="preserve"> Persistent solar influence on North Atlantic climate during the Holocene. </w:t>
      </w:r>
      <w:r w:rsidRPr="00CE162C">
        <w:rPr>
          <w:i/>
          <w:iCs/>
        </w:rPr>
        <w:t>Science</w:t>
      </w:r>
      <w:r w:rsidRPr="00CE162C">
        <w:t xml:space="preserve"> </w:t>
      </w:r>
      <w:r w:rsidRPr="00CE162C">
        <w:rPr>
          <w:b/>
          <w:bCs/>
        </w:rPr>
        <w:t>294</w:t>
      </w:r>
      <w:r w:rsidRPr="00CE162C">
        <w:t>, 2130–2136 (2001).</w:t>
      </w:r>
    </w:p>
    <w:p w14:paraId="2DE38D6E" w14:textId="4184BC78" w:rsidR="000700D4" w:rsidRPr="009352E1" w:rsidRDefault="00CE162C" w:rsidP="002F628E">
      <w:pPr>
        <w:pStyle w:val="Bibliography"/>
        <w:rPr>
          <w:color w:val="000000" w:themeColor="text1"/>
          <w:szCs w:val="24"/>
        </w:rPr>
      </w:pPr>
      <w:r w:rsidRPr="00CE162C">
        <w:t>6.</w:t>
      </w:r>
      <w:r w:rsidRPr="00CE162C">
        <w:tab/>
        <w:t xml:space="preserve">Evans, M. N. </w:t>
      </w:r>
      <w:r w:rsidRPr="00CE162C">
        <w:rPr>
          <w:i/>
          <w:iCs/>
        </w:rPr>
        <w:t>et al.</w:t>
      </w:r>
      <w:r w:rsidRPr="00CE162C">
        <w:t xml:space="preserve"> NOAA/WDS Paleoclimatology - Bond et al. 2001 North Atlantic Holocene Drift Ice Proxy Data. doi:10.25921/BGVH-NB23.</w:t>
      </w:r>
      <w:r w:rsidR="00805E4A">
        <w:rPr>
          <w:color w:val="000000" w:themeColor="text1"/>
          <w:szCs w:val="24"/>
          <w:shd w:val="clear" w:color="auto" w:fill="FFFFFF"/>
        </w:rPr>
        <w:fldChar w:fldCharType="end"/>
      </w:r>
    </w:p>
    <w:sectPr w:rsidR="000700D4" w:rsidRPr="009352E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8E064" w14:textId="77777777" w:rsidR="00C3437A" w:rsidRDefault="00C3437A">
      <w:pPr>
        <w:spacing w:after="0" w:line="240" w:lineRule="auto"/>
      </w:pPr>
      <w:r>
        <w:separator/>
      </w:r>
    </w:p>
  </w:endnote>
  <w:endnote w:type="continuationSeparator" w:id="0">
    <w:p w14:paraId="03AD3B7A" w14:textId="77777777" w:rsidR="00C3437A" w:rsidRDefault="00C34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dvOTea1a7398+fb">
    <w:altName w:val="Cambria"/>
    <w:panose1 w:val="00000000000000000000"/>
    <w:charset w:val="00"/>
    <w:family w:val="roman"/>
    <w:notTrueType/>
    <w:pitch w:val="default"/>
  </w:font>
  <w:font w:name="AdvOTcb88df00">
    <w:altName w:val="Cambria"/>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06159" w14:textId="77777777" w:rsidR="00C3437A" w:rsidRDefault="00C3437A">
      <w:pPr>
        <w:spacing w:after="0" w:line="240" w:lineRule="auto"/>
      </w:pPr>
      <w:r>
        <w:separator/>
      </w:r>
    </w:p>
  </w:footnote>
  <w:footnote w:type="continuationSeparator" w:id="0">
    <w:p w14:paraId="17C7ADC4" w14:textId="77777777" w:rsidR="00C3437A" w:rsidRDefault="00C343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071080"/>
    <w:multiLevelType w:val="hybridMultilevel"/>
    <w:tmpl w:val="43465F5E"/>
    <w:lvl w:ilvl="0" w:tplc="00AAC656">
      <w:start w:val="1"/>
      <w:numFmt w:val="decimal"/>
      <w:lvlText w:val="%1)"/>
      <w:lvlJc w:val="left"/>
      <w:pPr>
        <w:ind w:left="1020" w:hanging="360"/>
      </w:pPr>
    </w:lvl>
    <w:lvl w:ilvl="1" w:tplc="88BE6E74">
      <w:start w:val="1"/>
      <w:numFmt w:val="decimal"/>
      <w:lvlText w:val="%2)"/>
      <w:lvlJc w:val="left"/>
      <w:pPr>
        <w:ind w:left="1020" w:hanging="360"/>
      </w:pPr>
    </w:lvl>
    <w:lvl w:ilvl="2" w:tplc="F184DDD2">
      <w:start w:val="1"/>
      <w:numFmt w:val="decimal"/>
      <w:lvlText w:val="%3)"/>
      <w:lvlJc w:val="left"/>
      <w:pPr>
        <w:ind w:left="1020" w:hanging="360"/>
      </w:pPr>
    </w:lvl>
    <w:lvl w:ilvl="3" w:tplc="6CA47192">
      <w:start w:val="1"/>
      <w:numFmt w:val="decimal"/>
      <w:lvlText w:val="%4)"/>
      <w:lvlJc w:val="left"/>
      <w:pPr>
        <w:ind w:left="1020" w:hanging="360"/>
      </w:pPr>
    </w:lvl>
    <w:lvl w:ilvl="4" w:tplc="6CE4E82E">
      <w:start w:val="1"/>
      <w:numFmt w:val="decimal"/>
      <w:lvlText w:val="%5)"/>
      <w:lvlJc w:val="left"/>
      <w:pPr>
        <w:ind w:left="1020" w:hanging="360"/>
      </w:pPr>
    </w:lvl>
    <w:lvl w:ilvl="5" w:tplc="B568C3F4">
      <w:start w:val="1"/>
      <w:numFmt w:val="decimal"/>
      <w:lvlText w:val="%6)"/>
      <w:lvlJc w:val="left"/>
      <w:pPr>
        <w:ind w:left="1020" w:hanging="360"/>
      </w:pPr>
    </w:lvl>
    <w:lvl w:ilvl="6" w:tplc="12D8667E">
      <w:start w:val="1"/>
      <w:numFmt w:val="decimal"/>
      <w:lvlText w:val="%7)"/>
      <w:lvlJc w:val="left"/>
      <w:pPr>
        <w:ind w:left="1020" w:hanging="360"/>
      </w:pPr>
    </w:lvl>
    <w:lvl w:ilvl="7" w:tplc="8018B41C">
      <w:start w:val="1"/>
      <w:numFmt w:val="decimal"/>
      <w:lvlText w:val="%8)"/>
      <w:lvlJc w:val="left"/>
      <w:pPr>
        <w:ind w:left="1020" w:hanging="360"/>
      </w:pPr>
    </w:lvl>
    <w:lvl w:ilvl="8" w:tplc="38DA6A78">
      <w:start w:val="1"/>
      <w:numFmt w:val="decimal"/>
      <w:lvlText w:val="%9)"/>
      <w:lvlJc w:val="left"/>
      <w:pPr>
        <w:ind w:left="1020" w:hanging="360"/>
      </w:pPr>
    </w:lvl>
  </w:abstractNum>
  <w:abstractNum w:abstractNumId="1" w15:restartNumberingAfterBreak="0">
    <w:nsid w:val="58644DEA"/>
    <w:multiLevelType w:val="hybridMultilevel"/>
    <w:tmpl w:val="B24ECE94"/>
    <w:lvl w:ilvl="0" w:tplc="840080AA">
      <w:start w:val="1"/>
      <w:numFmt w:val="decimal"/>
      <w:lvlText w:val="%1)"/>
      <w:lvlJc w:val="left"/>
      <w:pPr>
        <w:ind w:left="1020" w:hanging="360"/>
      </w:pPr>
    </w:lvl>
    <w:lvl w:ilvl="1" w:tplc="8204686A">
      <w:start w:val="1"/>
      <w:numFmt w:val="decimal"/>
      <w:lvlText w:val="%2)"/>
      <w:lvlJc w:val="left"/>
      <w:pPr>
        <w:ind w:left="1020" w:hanging="360"/>
      </w:pPr>
    </w:lvl>
    <w:lvl w:ilvl="2" w:tplc="302C8DB4">
      <w:start w:val="1"/>
      <w:numFmt w:val="decimal"/>
      <w:lvlText w:val="%3)"/>
      <w:lvlJc w:val="left"/>
      <w:pPr>
        <w:ind w:left="1020" w:hanging="360"/>
      </w:pPr>
    </w:lvl>
    <w:lvl w:ilvl="3" w:tplc="C1846726">
      <w:start w:val="1"/>
      <w:numFmt w:val="decimal"/>
      <w:lvlText w:val="%4)"/>
      <w:lvlJc w:val="left"/>
      <w:pPr>
        <w:ind w:left="1020" w:hanging="360"/>
      </w:pPr>
    </w:lvl>
    <w:lvl w:ilvl="4" w:tplc="91001E4C">
      <w:start w:val="1"/>
      <w:numFmt w:val="decimal"/>
      <w:lvlText w:val="%5)"/>
      <w:lvlJc w:val="left"/>
      <w:pPr>
        <w:ind w:left="1020" w:hanging="360"/>
      </w:pPr>
    </w:lvl>
    <w:lvl w:ilvl="5" w:tplc="A1E0B5D6">
      <w:start w:val="1"/>
      <w:numFmt w:val="decimal"/>
      <w:lvlText w:val="%6)"/>
      <w:lvlJc w:val="left"/>
      <w:pPr>
        <w:ind w:left="1020" w:hanging="360"/>
      </w:pPr>
    </w:lvl>
    <w:lvl w:ilvl="6" w:tplc="7506FC30">
      <w:start w:val="1"/>
      <w:numFmt w:val="decimal"/>
      <w:lvlText w:val="%7)"/>
      <w:lvlJc w:val="left"/>
      <w:pPr>
        <w:ind w:left="1020" w:hanging="360"/>
      </w:pPr>
    </w:lvl>
    <w:lvl w:ilvl="7" w:tplc="66483F66">
      <w:start w:val="1"/>
      <w:numFmt w:val="decimal"/>
      <w:lvlText w:val="%8)"/>
      <w:lvlJc w:val="left"/>
      <w:pPr>
        <w:ind w:left="1020" w:hanging="360"/>
      </w:pPr>
    </w:lvl>
    <w:lvl w:ilvl="8" w:tplc="83E438A2">
      <w:start w:val="1"/>
      <w:numFmt w:val="decimal"/>
      <w:lvlText w:val="%9)"/>
      <w:lvlJc w:val="left"/>
      <w:pPr>
        <w:ind w:left="1020" w:hanging="360"/>
      </w:pPr>
    </w:lvl>
  </w:abstractNum>
  <w:abstractNum w:abstractNumId="2" w15:restartNumberingAfterBreak="0">
    <w:nsid w:val="78EF4AB8"/>
    <w:multiLevelType w:val="hybridMultilevel"/>
    <w:tmpl w:val="789EBBD2"/>
    <w:lvl w:ilvl="0" w:tplc="1812BC26">
      <w:start w:val="1"/>
      <w:numFmt w:val="decimal"/>
      <w:lvlText w:val="%1)"/>
      <w:lvlJc w:val="left"/>
      <w:pPr>
        <w:ind w:left="1020" w:hanging="360"/>
      </w:pPr>
    </w:lvl>
    <w:lvl w:ilvl="1" w:tplc="A2565516">
      <w:start w:val="1"/>
      <w:numFmt w:val="decimal"/>
      <w:lvlText w:val="%2)"/>
      <w:lvlJc w:val="left"/>
      <w:pPr>
        <w:ind w:left="1020" w:hanging="360"/>
      </w:pPr>
    </w:lvl>
    <w:lvl w:ilvl="2" w:tplc="AD867AEE">
      <w:start w:val="1"/>
      <w:numFmt w:val="decimal"/>
      <w:lvlText w:val="%3)"/>
      <w:lvlJc w:val="left"/>
      <w:pPr>
        <w:ind w:left="1020" w:hanging="360"/>
      </w:pPr>
    </w:lvl>
    <w:lvl w:ilvl="3" w:tplc="99BE78FA">
      <w:start w:val="1"/>
      <w:numFmt w:val="decimal"/>
      <w:lvlText w:val="%4)"/>
      <w:lvlJc w:val="left"/>
      <w:pPr>
        <w:ind w:left="1020" w:hanging="360"/>
      </w:pPr>
    </w:lvl>
    <w:lvl w:ilvl="4" w:tplc="A1442158">
      <w:start w:val="1"/>
      <w:numFmt w:val="decimal"/>
      <w:lvlText w:val="%5)"/>
      <w:lvlJc w:val="left"/>
      <w:pPr>
        <w:ind w:left="1020" w:hanging="360"/>
      </w:pPr>
    </w:lvl>
    <w:lvl w:ilvl="5" w:tplc="99D4E3CC">
      <w:start w:val="1"/>
      <w:numFmt w:val="decimal"/>
      <w:lvlText w:val="%6)"/>
      <w:lvlJc w:val="left"/>
      <w:pPr>
        <w:ind w:left="1020" w:hanging="360"/>
      </w:pPr>
    </w:lvl>
    <w:lvl w:ilvl="6" w:tplc="C3DC8124">
      <w:start w:val="1"/>
      <w:numFmt w:val="decimal"/>
      <w:lvlText w:val="%7)"/>
      <w:lvlJc w:val="left"/>
      <w:pPr>
        <w:ind w:left="1020" w:hanging="360"/>
      </w:pPr>
    </w:lvl>
    <w:lvl w:ilvl="7" w:tplc="E350FBE0">
      <w:start w:val="1"/>
      <w:numFmt w:val="decimal"/>
      <w:lvlText w:val="%8)"/>
      <w:lvlJc w:val="left"/>
      <w:pPr>
        <w:ind w:left="1020" w:hanging="360"/>
      </w:pPr>
    </w:lvl>
    <w:lvl w:ilvl="8" w:tplc="6F5EFBF6">
      <w:start w:val="1"/>
      <w:numFmt w:val="decimal"/>
      <w:lvlText w:val="%9)"/>
      <w:lvlJc w:val="left"/>
      <w:pPr>
        <w:ind w:left="1020" w:hanging="360"/>
      </w:pPr>
    </w:lvl>
  </w:abstractNum>
  <w:num w:numId="1" w16cid:durableId="2065982871">
    <w:abstractNumId w:val="1"/>
  </w:num>
  <w:num w:numId="2" w16cid:durableId="163519966">
    <w:abstractNumId w:val="0"/>
  </w:num>
  <w:num w:numId="3" w16cid:durableId="15074022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CD3"/>
    <w:rsid w:val="00020170"/>
    <w:rsid w:val="00027ECE"/>
    <w:rsid w:val="00030F25"/>
    <w:rsid w:val="00042ED4"/>
    <w:rsid w:val="000462EE"/>
    <w:rsid w:val="00047C8C"/>
    <w:rsid w:val="00065565"/>
    <w:rsid w:val="00066EFF"/>
    <w:rsid w:val="000700D4"/>
    <w:rsid w:val="000723AD"/>
    <w:rsid w:val="00074804"/>
    <w:rsid w:val="0008333B"/>
    <w:rsid w:val="00084A47"/>
    <w:rsid w:val="000A1FD4"/>
    <w:rsid w:val="000A3300"/>
    <w:rsid w:val="000C28B7"/>
    <w:rsid w:val="000C5C64"/>
    <w:rsid w:val="000D40F4"/>
    <w:rsid w:val="000E0F2B"/>
    <w:rsid w:val="000E609F"/>
    <w:rsid w:val="000E6945"/>
    <w:rsid w:val="000F097F"/>
    <w:rsid w:val="000F3C59"/>
    <w:rsid w:val="00100BB9"/>
    <w:rsid w:val="00101535"/>
    <w:rsid w:val="00104C5A"/>
    <w:rsid w:val="00105FDE"/>
    <w:rsid w:val="00112E8C"/>
    <w:rsid w:val="0011569A"/>
    <w:rsid w:val="00123A6A"/>
    <w:rsid w:val="00125CDC"/>
    <w:rsid w:val="0013061D"/>
    <w:rsid w:val="00167BC3"/>
    <w:rsid w:val="00173A7D"/>
    <w:rsid w:val="00182020"/>
    <w:rsid w:val="001876E0"/>
    <w:rsid w:val="001901E7"/>
    <w:rsid w:val="001902E4"/>
    <w:rsid w:val="00191B19"/>
    <w:rsid w:val="00196FCD"/>
    <w:rsid w:val="001A266D"/>
    <w:rsid w:val="001A429C"/>
    <w:rsid w:val="001A65BB"/>
    <w:rsid w:val="001C6CFF"/>
    <w:rsid w:val="001D6635"/>
    <w:rsid w:val="001E16A1"/>
    <w:rsid w:val="001E3832"/>
    <w:rsid w:val="002023E2"/>
    <w:rsid w:val="00207D2D"/>
    <w:rsid w:val="00211491"/>
    <w:rsid w:val="0022051F"/>
    <w:rsid w:val="00225B1A"/>
    <w:rsid w:val="002266B6"/>
    <w:rsid w:val="002303AA"/>
    <w:rsid w:val="00247547"/>
    <w:rsid w:val="00250958"/>
    <w:rsid w:val="00251519"/>
    <w:rsid w:val="00251715"/>
    <w:rsid w:val="00260949"/>
    <w:rsid w:val="00260A7A"/>
    <w:rsid w:val="00274DE6"/>
    <w:rsid w:val="00276E1C"/>
    <w:rsid w:val="00282D87"/>
    <w:rsid w:val="00283883"/>
    <w:rsid w:val="002A4BD3"/>
    <w:rsid w:val="002A5FC7"/>
    <w:rsid w:val="002B0683"/>
    <w:rsid w:val="002B6E2C"/>
    <w:rsid w:val="002C2F8E"/>
    <w:rsid w:val="002C6849"/>
    <w:rsid w:val="002D6685"/>
    <w:rsid w:val="002D6963"/>
    <w:rsid w:val="002E657F"/>
    <w:rsid w:val="002F42F9"/>
    <w:rsid w:val="002F4589"/>
    <w:rsid w:val="002F4DA3"/>
    <w:rsid w:val="002F628E"/>
    <w:rsid w:val="00305EA5"/>
    <w:rsid w:val="003120F7"/>
    <w:rsid w:val="00314C4A"/>
    <w:rsid w:val="0032167C"/>
    <w:rsid w:val="00322084"/>
    <w:rsid w:val="003326C1"/>
    <w:rsid w:val="00336BF3"/>
    <w:rsid w:val="00341792"/>
    <w:rsid w:val="00342586"/>
    <w:rsid w:val="0037093D"/>
    <w:rsid w:val="00370E11"/>
    <w:rsid w:val="0038046B"/>
    <w:rsid w:val="00381319"/>
    <w:rsid w:val="003858BF"/>
    <w:rsid w:val="003A564D"/>
    <w:rsid w:val="003A5EEB"/>
    <w:rsid w:val="003B5466"/>
    <w:rsid w:val="003B5A87"/>
    <w:rsid w:val="003B6552"/>
    <w:rsid w:val="003B6B58"/>
    <w:rsid w:val="003C5CAD"/>
    <w:rsid w:val="003E2D2B"/>
    <w:rsid w:val="003E75E5"/>
    <w:rsid w:val="003F23B5"/>
    <w:rsid w:val="003F673B"/>
    <w:rsid w:val="003F7E04"/>
    <w:rsid w:val="0040491E"/>
    <w:rsid w:val="00405652"/>
    <w:rsid w:val="00405F57"/>
    <w:rsid w:val="00412181"/>
    <w:rsid w:val="00417478"/>
    <w:rsid w:val="00426CE8"/>
    <w:rsid w:val="00430429"/>
    <w:rsid w:val="00430CF7"/>
    <w:rsid w:val="004312AA"/>
    <w:rsid w:val="00435920"/>
    <w:rsid w:val="004370DD"/>
    <w:rsid w:val="00437572"/>
    <w:rsid w:val="0045142B"/>
    <w:rsid w:val="00471B87"/>
    <w:rsid w:val="00471EB0"/>
    <w:rsid w:val="00472338"/>
    <w:rsid w:val="004723BA"/>
    <w:rsid w:val="00474DF6"/>
    <w:rsid w:val="00474F00"/>
    <w:rsid w:val="00480B74"/>
    <w:rsid w:val="004A4212"/>
    <w:rsid w:val="004A7E6D"/>
    <w:rsid w:val="004B0FF4"/>
    <w:rsid w:val="004B79FA"/>
    <w:rsid w:val="004C4E14"/>
    <w:rsid w:val="004C6376"/>
    <w:rsid w:val="004E00A5"/>
    <w:rsid w:val="004E4BCE"/>
    <w:rsid w:val="004F2677"/>
    <w:rsid w:val="00512924"/>
    <w:rsid w:val="00524C9D"/>
    <w:rsid w:val="005260BA"/>
    <w:rsid w:val="005310E7"/>
    <w:rsid w:val="0053527E"/>
    <w:rsid w:val="00541C29"/>
    <w:rsid w:val="005440B0"/>
    <w:rsid w:val="0054736A"/>
    <w:rsid w:val="0054741B"/>
    <w:rsid w:val="005561E3"/>
    <w:rsid w:val="005573BB"/>
    <w:rsid w:val="00562F89"/>
    <w:rsid w:val="00573299"/>
    <w:rsid w:val="005758E6"/>
    <w:rsid w:val="00582239"/>
    <w:rsid w:val="00582B72"/>
    <w:rsid w:val="00592BBE"/>
    <w:rsid w:val="005A62F8"/>
    <w:rsid w:val="005B2284"/>
    <w:rsid w:val="005B42D2"/>
    <w:rsid w:val="005B56B9"/>
    <w:rsid w:val="005B7035"/>
    <w:rsid w:val="005C3CD3"/>
    <w:rsid w:val="005E445A"/>
    <w:rsid w:val="005E5211"/>
    <w:rsid w:val="005F10DE"/>
    <w:rsid w:val="005F659B"/>
    <w:rsid w:val="005F7E34"/>
    <w:rsid w:val="005F7E9A"/>
    <w:rsid w:val="00615BCE"/>
    <w:rsid w:val="00615E36"/>
    <w:rsid w:val="006256E7"/>
    <w:rsid w:val="0062650D"/>
    <w:rsid w:val="006431F6"/>
    <w:rsid w:val="00643530"/>
    <w:rsid w:val="00645882"/>
    <w:rsid w:val="00655DEB"/>
    <w:rsid w:val="00656C69"/>
    <w:rsid w:val="00660073"/>
    <w:rsid w:val="00671426"/>
    <w:rsid w:val="00672676"/>
    <w:rsid w:val="00677060"/>
    <w:rsid w:val="006807D6"/>
    <w:rsid w:val="00681349"/>
    <w:rsid w:val="006832C3"/>
    <w:rsid w:val="0069317D"/>
    <w:rsid w:val="00693509"/>
    <w:rsid w:val="00696B0B"/>
    <w:rsid w:val="006A4442"/>
    <w:rsid w:val="006A5358"/>
    <w:rsid w:val="006C0069"/>
    <w:rsid w:val="006C1C10"/>
    <w:rsid w:val="006D3E3A"/>
    <w:rsid w:val="006D4218"/>
    <w:rsid w:val="006E1F13"/>
    <w:rsid w:val="006F4C43"/>
    <w:rsid w:val="007028E8"/>
    <w:rsid w:val="007044B1"/>
    <w:rsid w:val="007055E4"/>
    <w:rsid w:val="00710E15"/>
    <w:rsid w:val="007246A2"/>
    <w:rsid w:val="00734F28"/>
    <w:rsid w:val="0074551E"/>
    <w:rsid w:val="00746004"/>
    <w:rsid w:val="007462D3"/>
    <w:rsid w:val="00756FC0"/>
    <w:rsid w:val="007664BD"/>
    <w:rsid w:val="00766C74"/>
    <w:rsid w:val="00766E55"/>
    <w:rsid w:val="0077028A"/>
    <w:rsid w:val="007808D4"/>
    <w:rsid w:val="00782349"/>
    <w:rsid w:val="00797CFD"/>
    <w:rsid w:val="007A6D41"/>
    <w:rsid w:val="007A7A34"/>
    <w:rsid w:val="007B2C0D"/>
    <w:rsid w:val="007E322C"/>
    <w:rsid w:val="008049E3"/>
    <w:rsid w:val="00805E4A"/>
    <w:rsid w:val="00806744"/>
    <w:rsid w:val="0081072B"/>
    <w:rsid w:val="00815E7B"/>
    <w:rsid w:val="008200B8"/>
    <w:rsid w:val="00821133"/>
    <w:rsid w:val="00830ECE"/>
    <w:rsid w:val="0083172B"/>
    <w:rsid w:val="00835C19"/>
    <w:rsid w:val="008367EB"/>
    <w:rsid w:val="00836E19"/>
    <w:rsid w:val="00844088"/>
    <w:rsid w:val="008549A4"/>
    <w:rsid w:val="00857680"/>
    <w:rsid w:val="008577F9"/>
    <w:rsid w:val="008614FA"/>
    <w:rsid w:val="00863D70"/>
    <w:rsid w:val="008713AD"/>
    <w:rsid w:val="00897397"/>
    <w:rsid w:val="00897570"/>
    <w:rsid w:val="008C13A0"/>
    <w:rsid w:val="008C3AA7"/>
    <w:rsid w:val="008C51BE"/>
    <w:rsid w:val="008C63CE"/>
    <w:rsid w:val="008D50FF"/>
    <w:rsid w:val="008E4838"/>
    <w:rsid w:val="009017B1"/>
    <w:rsid w:val="00910755"/>
    <w:rsid w:val="00912078"/>
    <w:rsid w:val="009169D3"/>
    <w:rsid w:val="00917A15"/>
    <w:rsid w:val="00923FEE"/>
    <w:rsid w:val="00930F10"/>
    <w:rsid w:val="009352E1"/>
    <w:rsid w:val="00957673"/>
    <w:rsid w:val="00971A7D"/>
    <w:rsid w:val="00983C06"/>
    <w:rsid w:val="009A103B"/>
    <w:rsid w:val="009A112C"/>
    <w:rsid w:val="009A56DC"/>
    <w:rsid w:val="009B3965"/>
    <w:rsid w:val="009D05CF"/>
    <w:rsid w:val="009D06D0"/>
    <w:rsid w:val="009D582D"/>
    <w:rsid w:val="009F2F88"/>
    <w:rsid w:val="00A210EF"/>
    <w:rsid w:val="00A22130"/>
    <w:rsid w:val="00A226F8"/>
    <w:rsid w:val="00A365C0"/>
    <w:rsid w:val="00A44ABB"/>
    <w:rsid w:val="00A70B80"/>
    <w:rsid w:val="00A719E8"/>
    <w:rsid w:val="00A76142"/>
    <w:rsid w:val="00AA4135"/>
    <w:rsid w:val="00AA603D"/>
    <w:rsid w:val="00AB1C38"/>
    <w:rsid w:val="00AC39CB"/>
    <w:rsid w:val="00AC7A57"/>
    <w:rsid w:val="00AC7DB7"/>
    <w:rsid w:val="00AD3E3B"/>
    <w:rsid w:val="00AE19FC"/>
    <w:rsid w:val="00AE6944"/>
    <w:rsid w:val="00AE7EAE"/>
    <w:rsid w:val="00AF0F10"/>
    <w:rsid w:val="00AF5196"/>
    <w:rsid w:val="00B12D8E"/>
    <w:rsid w:val="00B22752"/>
    <w:rsid w:val="00B65B77"/>
    <w:rsid w:val="00B71D16"/>
    <w:rsid w:val="00B74948"/>
    <w:rsid w:val="00B870E4"/>
    <w:rsid w:val="00B91883"/>
    <w:rsid w:val="00B92897"/>
    <w:rsid w:val="00B93783"/>
    <w:rsid w:val="00B96A48"/>
    <w:rsid w:val="00BA42FF"/>
    <w:rsid w:val="00BB2C0E"/>
    <w:rsid w:val="00BB6804"/>
    <w:rsid w:val="00BC2921"/>
    <w:rsid w:val="00BC2D0B"/>
    <w:rsid w:val="00C328F8"/>
    <w:rsid w:val="00C32C72"/>
    <w:rsid w:val="00C33864"/>
    <w:rsid w:val="00C3437A"/>
    <w:rsid w:val="00C404E7"/>
    <w:rsid w:val="00C4431B"/>
    <w:rsid w:val="00C4522D"/>
    <w:rsid w:val="00C46828"/>
    <w:rsid w:val="00C472DC"/>
    <w:rsid w:val="00C52E31"/>
    <w:rsid w:val="00C56C10"/>
    <w:rsid w:val="00C6585F"/>
    <w:rsid w:val="00C717A7"/>
    <w:rsid w:val="00C80E9D"/>
    <w:rsid w:val="00C82AB6"/>
    <w:rsid w:val="00C838A6"/>
    <w:rsid w:val="00C843FB"/>
    <w:rsid w:val="00C90C91"/>
    <w:rsid w:val="00C93388"/>
    <w:rsid w:val="00C9388B"/>
    <w:rsid w:val="00CB1EAD"/>
    <w:rsid w:val="00CC1E5D"/>
    <w:rsid w:val="00CD23CD"/>
    <w:rsid w:val="00CE162C"/>
    <w:rsid w:val="00CE3754"/>
    <w:rsid w:val="00CE524C"/>
    <w:rsid w:val="00CE6D6D"/>
    <w:rsid w:val="00CF6039"/>
    <w:rsid w:val="00D11A2D"/>
    <w:rsid w:val="00D14284"/>
    <w:rsid w:val="00D17F43"/>
    <w:rsid w:val="00D41999"/>
    <w:rsid w:val="00D42700"/>
    <w:rsid w:val="00D459D7"/>
    <w:rsid w:val="00D62D4C"/>
    <w:rsid w:val="00D74ABE"/>
    <w:rsid w:val="00D85149"/>
    <w:rsid w:val="00D9468C"/>
    <w:rsid w:val="00DA0210"/>
    <w:rsid w:val="00DB3253"/>
    <w:rsid w:val="00DB7188"/>
    <w:rsid w:val="00DB7DEA"/>
    <w:rsid w:val="00DD3A4E"/>
    <w:rsid w:val="00DE20FE"/>
    <w:rsid w:val="00DE49DD"/>
    <w:rsid w:val="00DE5D1C"/>
    <w:rsid w:val="00DF72B4"/>
    <w:rsid w:val="00E073A2"/>
    <w:rsid w:val="00E16B01"/>
    <w:rsid w:val="00E231E9"/>
    <w:rsid w:val="00E24362"/>
    <w:rsid w:val="00E24D91"/>
    <w:rsid w:val="00E30056"/>
    <w:rsid w:val="00E309DB"/>
    <w:rsid w:val="00E408B8"/>
    <w:rsid w:val="00E41519"/>
    <w:rsid w:val="00E44B61"/>
    <w:rsid w:val="00E50A77"/>
    <w:rsid w:val="00E54BA5"/>
    <w:rsid w:val="00E643A1"/>
    <w:rsid w:val="00E658BA"/>
    <w:rsid w:val="00E876EE"/>
    <w:rsid w:val="00EA0085"/>
    <w:rsid w:val="00EA039D"/>
    <w:rsid w:val="00EA7D99"/>
    <w:rsid w:val="00EB59A4"/>
    <w:rsid w:val="00ED7DFD"/>
    <w:rsid w:val="00EF65F9"/>
    <w:rsid w:val="00F05D3E"/>
    <w:rsid w:val="00F05D46"/>
    <w:rsid w:val="00F11F74"/>
    <w:rsid w:val="00F168D4"/>
    <w:rsid w:val="00F20EE8"/>
    <w:rsid w:val="00F34619"/>
    <w:rsid w:val="00F4771F"/>
    <w:rsid w:val="00F52D75"/>
    <w:rsid w:val="00F54F2E"/>
    <w:rsid w:val="00F55E9D"/>
    <w:rsid w:val="00F63C16"/>
    <w:rsid w:val="00F75A9D"/>
    <w:rsid w:val="00F76738"/>
    <w:rsid w:val="00F77CA2"/>
    <w:rsid w:val="00F80F04"/>
    <w:rsid w:val="00F901C8"/>
    <w:rsid w:val="00F95147"/>
    <w:rsid w:val="00F95FF9"/>
    <w:rsid w:val="00FB73DB"/>
    <w:rsid w:val="00FC0298"/>
    <w:rsid w:val="00FC2CF5"/>
    <w:rsid w:val="00FC4ABA"/>
    <w:rsid w:val="00FC6CB4"/>
    <w:rsid w:val="00FC7B5B"/>
    <w:rsid w:val="00FD1F19"/>
    <w:rsid w:val="00FE6F16"/>
    <w:rsid w:val="00FE7AE8"/>
    <w:rsid w:val="00FF5568"/>
    <w:rsid w:val="10F67500"/>
    <w:rsid w:val="1C4F2942"/>
    <w:rsid w:val="27B6AA78"/>
    <w:rsid w:val="36726BBE"/>
    <w:rsid w:val="4921FCC8"/>
    <w:rsid w:val="557DBE73"/>
    <w:rsid w:val="5A283E95"/>
    <w:rsid w:val="5A4F628C"/>
    <w:rsid w:val="5E607A68"/>
    <w:rsid w:val="5F52F124"/>
    <w:rsid w:val="643C6079"/>
    <w:rsid w:val="64D41CA0"/>
    <w:rsid w:val="72EA4DA5"/>
    <w:rsid w:val="7792128B"/>
    <w:rsid w:val="7EBC7D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9DAE6"/>
  <w15:chartTrackingRefBased/>
  <w15:docId w15:val="{64564EC9-D30A-45C1-A0D7-53C195FD9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1F6"/>
    <w:pPr>
      <w:spacing w:after="159" w:line="357" w:lineRule="auto"/>
      <w:ind w:firstLine="710"/>
      <w:jc w:val="both"/>
    </w:pPr>
    <w:rPr>
      <w:rFonts w:ascii="Times New Roman" w:hAnsi="Times New Roman" w:cs="Times New Roman"/>
      <w:color w:val="000000"/>
      <w:kern w:val="0"/>
      <w:sz w:val="24"/>
      <w:lang w:val="en-GB" w:eastAsia="en-GB"/>
      <w14:ligatures w14:val="none"/>
    </w:rPr>
  </w:style>
  <w:style w:type="paragraph" w:styleId="Heading1">
    <w:name w:val="heading 1"/>
    <w:basedOn w:val="Normal"/>
    <w:next w:val="Normal"/>
    <w:link w:val="Heading1Char"/>
    <w:uiPriority w:val="9"/>
    <w:qFormat/>
    <w:rsid w:val="00766C74"/>
    <w:pPr>
      <w:keepNext/>
      <w:keepLines/>
      <w:spacing w:before="240" w:after="0"/>
      <w:outlineLvl w:val="0"/>
    </w:pPr>
    <w:rPr>
      <w:rFonts w:eastAsiaTheme="majorEastAsia" w:cstheme="majorBidi"/>
      <w:b/>
      <w:color w:val="000000" w:themeColor="text1"/>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C74"/>
    <w:rPr>
      <w:rFonts w:eastAsiaTheme="majorEastAsia" w:cstheme="majorBidi"/>
      <w:b/>
      <w:color w:val="000000" w:themeColor="text1"/>
      <w:sz w:val="28"/>
      <w:szCs w:val="32"/>
    </w:rPr>
  </w:style>
  <w:style w:type="character" w:customStyle="1" w:styleId="cf01">
    <w:name w:val="cf01"/>
    <w:basedOn w:val="DefaultParagraphFont"/>
    <w:rsid w:val="006431F6"/>
    <w:rPr>
      <w:rFonts w:ascii="Segoe UI" w:hAnsi="Segoe UI" w:cs="Segoe UI" w:hint="default"/>
      <w:sz w:val="18"/>
      <w:szCs w:val="18"/>
    </w:rPr>
  </w:style>
  <w:style w:type="paragraph" w:styleId="CommentText">
    <w:name w:val="annotation text"/>
    <w:basedOn w:val="Normal"/>
    <w:link w:val="CommentTextChar"/>
    <w:uiPriority w:val="99"/>
    <w:unhideWhenUsed/>
    <w:rsid w:val="006431F6"/>
    <w:pPr>
      <w:spacing w:line="240" w:lineRule="auto"/>
    </w:pPr>
    <w:rPr>
      <w:sz w:val="20"/>
      <w:szCs w:val="20"/>
    </w:rPr>
  </w:style>
  <w:style w:type="character" w:customStyle="1" w:styleId="CommentTextChar">
    <w:name w:val="Comment Text Char"/>
    <w:basedOn w:val="DefaultParagraphFont"/>
    <w:link w:val="CommentText"/>
    <w:uiPriority w:val="99"/>
    <w:rsid w:val="006431F6"/>
    <w:rPr>
      <w:rFonts w:ascii="Times New Roman" w:hAnsi="Times New Roman" w:cs="Times New Roman"/>
      <w:color w:val="000000"/>
      <w:kern w:val="0"/>
      <w:sz w:val="20"/>
      <w:szCs w:val="20"/>
      <w:lang w:val="en-GB" w:eastAsia="en-GB"/>
      <w14:ligatures w14:val="none"/>
    </w:rPr>
  </w:style>
  <w:style w:type="character" w:styleId="CommentReference">
    <w:name w:val="annotation reference"/>
    <w:basedOn w:val="DefaultParagraphFont"/>
    <w:uiPriority w:val="99"/>
    <w:semiHidden/>
    <w:unhideWhenUsed/>
    <w:rsid w:val="006431F6"/>
    <w:rPr>
      <w:sz w:val="16"/>
      <w:szCs w:val="16"/>
    </w:rPr>
  </w:style>
  <w:style w:type="paragraph" w:styleId="Caption">
    <w:name w:val="caption"/>
    <w:basedOn w:val="Normal"/>
    <w:next w:val="Normal"/>
    <w:uiPriority w:val="35"/>
    <w:unhideWhenUsed/>
    <w:qFormat/>
    <w:rsid w:val="00B91883"/>
    <w:pPr>
      <w:spacing w:after="200" w:line="240" w:lineRule="auto"/>
    </w:pPr>
    <w:rPr>
      <w:i/>
      <w:iCs/>
      <w:color w:val="44546A" w:themeColor="text2"/>
      <w:sz w:val="18"/>
      <w:szCs w:val="18"/>
    </w:rPr>
  </w:style>
  <w:style w:type="character" w:customStyle="1" w:styleId="HeaderChar">
    <w:name w:val="Header Char"/>
    <w:basedOn w:val="DefaultParagraphFont"/>
    <w:link w:val="Header"/>
    <w:uiPriority w:val="99"/>
    <w:rsid w:val="00710E15"/>
  </w:style>
  <w:style w:type="paragraph" w:styleId="Header">
    <w:name w:val="header"/>
    <w:basedOn w:val="Normal"/>
    <w:link w:val="HeaderChar"/>
    <w:uiPriority w:val="99"/>
    <w:unhideWhenUsed/>
    <w:rsid w:val="00710E15"/>
    <w:pPr>
      <w:tabs>
        <w:tab w:val="center" w:pos="4680"/>
        <w:tab w:val="right" w:pos="9360"/>
      </w:tabs>
      <w:spacing w:after="0" w:line="240" w:lineRule="auto"/>
    </w:pPr>
    <w:rPr>
      <w:rFonts w:asciiTheme="minorHAnsi" w:hAnsiTheme="minorHAnsi" w:cstheme="minorBidi"/>
      <w:color w:val="auto"/>
      <w:kern w:val="2"/>
      <w:sz w:val="22"/>
      <w:lang w:val="pl-PL" w:eastAsia="en-US"/>
      <w14:ligatures w14:val="standardContextual"/>
    </w:rPr>
  </w:style>
  <w:style w:type="character" w:customStyle="1" w:styleId="NagwekZnak1">
    <w:name w:val="Nagłówek Znak1"/>
    <w:basedOn w:val="DefaultParagraphFont"/>
    <w:uiPriority w:val="99"/>
    <w:semiHidden/>
    <w:rsid w:val="00710E15"/>
    <w:rPr>
      <w:rFonts w:ascii="Times New Roman" w:hAnsi="Times New Roman" w:cs="Times New Roman"/>
      <w:color w:val="000000"/>
      <w:kern w:val="0"/>
      <w:sz w:val="24"/>
      <w:lang w:val="en-GB" w:eastAsia="en-GB"/>
      <w14:ligatures w14:val="none"/>
    </w:rPr>
  </w:style>
  <w:style w:type="character" w:customStyle="1" w:styleId="FooterChar">
    <w:name w:val="Footer Char"/>
    <w:basedOn w:val="DefaultParagraphFont"/>
    <w:link w:val="Footer"/>
    <w:uiPriority w:val="99"/>
    <w:rsid w:val="00710E15"/>
  </w:style>
  <w:style w:type="paragraph" w:styleId="Footer">
    <w:name w:val="footer"/>
    <w:basedOn w:val="Normal"/>
    <w:link w:val="FooterChar"/>
    <w:uiPriority w:val="99"/>
    <w:unhideWhenUsed/>
    <w:rsid w:val="00710E15"/>
    <w:pPr>
      <w:tabs>
        <w:tab w:val="center" w:pos="4680"/>
        <w:tab w:val="right" w:pos="9360"/>
      </w:tabs>
      <w:spacing w:after="0" w:line="240" w:lineRule="auto"/>
    </w:pPr>
    <w:rPr>
      <w:rFonts w:asciiTheme="minorHAnsi" w:hAnsiTheme="minorHAnsi" w:cstheme="minorBidi"/>
      <w:color w:val="auto"/>
      <w:kern w:val="2"/>
      <w:sz w:val="22"/>
      <w:lang w:val="pl-PL" w:eastAsia="en-US"/>
      <w14:ligatures w14:val="standardContextual"/>
    </w:rPr>
  </w:style>
  <w:style w:type="character" w:customStyle="1" w:styleId="StopkaZnak1">
    <w:name w:val="Stopka Znak1"/>
    <w:basedOn w:val="DefaultParagraphFont"/>
    <w:uiPriority w:val="99"/>
    <w:semiHidden/>
    <w:rsid w:val="00710E15"/>
    <w:rPr>
      <w:rFonts w:ascii="Times New Roman" w:hAnsi="Times New Roman" w:cs="Times New Roman"/>
      <w:color w:val="000000"/>
      <w:kern w:val="0"/>
      <w:sz w:val="24"/>
      <w:lang w:val="en-GB" w:eastAsia="en-GB"/>
      <w14:ligatures w14:val="none"/>
    </w:rPr>
  </w:style>
  <w:style w:type="character" w:styleId="LineNumber">
    <w:name w:val="line number"/>
    <w:basedOn w:val="DefaultParagraphFont"/>
    <w:uiPriority w:val="99"/>
    <w:semiHidden/>
    <w:unhideWhenUsed/>
    <w:rsid w:val="00710E15"/>
  </w:style>
  <w:style w:type="character" w:styleId="Strong">
    <w:name w:val="Strong"/>
    <w:basedOn w:val="DefaultParagraphFont"/>
    <w:uiPriority w:val="22"/>
    <w:qFormat/>
    <w:rsid w:val="00C33864"/>
    <w:rPr>
      <w:b/>
      <w:bCs/>
    </w:rPr>
  </w:style>
  <w:style w:type="character" w:customStyle="1" w:styleId="fontstyle01">
    <w:name w:val="fontstyle01"/>
    <w:basedOn w:val="DefaultParagraphFont"/>
    <w:rsid w:val="00756FC0"/>
    <w:rPr>
      <w:rFonts w:ascii="TimesNewRomanPSMT" w:hAnsi="TimesNewRomanPSMT" w:hint="default"/>
      <w:b w:val="0"/>
      <w:bCs w:val="0"/>
      <w:i w:val="0"/>
      <w:iCs w:val="0"/>
      <w:color w:val="242021"/>
      <w:sz w:val="18"/>
      <w:szCs w:val="18"/>
    </w:rPr>
  </w:style>
  <w:style w:type="character" w:customStyle="1" w:styleId="fontstyle21">
    <w:name w:val="fontstyle21"/>
    <w:basedOn w:val="DefaultParagraphFont"/>
    <w:rsid w:val="00756FC0"/>
    <w:rPr>
      <w:rFonts w:ascii="TimesNewRomanPS-ItalicMT" w:hAnsi="TimesNewRomanPS-ItalicMT" w:hint="default"/>
      <w:b w:val="0"/>
      <w:bCs w:val="0"/>
      <w:i/>
      <w:iCs/>
      <w:color w:val="242021"/>
      <w:sz w:val="18"/>
      <w:szCs w:val="18"/>
    </w:rPr>
  </w:style>
  <w:style w:type="paragraph" w:styleId="CommentSubject">
    <w:name w:val="annotation subject"/>
    <w:basedOn w:val="CommentText"/>
    <w:next w:val="CommentText"/>
    <w:link w:val="CommentSubjectChar"/>
    <w:uiPriority w:val="99"/>
    <w:semiHidden/>
    <w:unhideWhenUsed/>
    <w:rsid w:val="00CE6D6D"/>
    <w:rPr>
      <w:b/>
      <w:bCs/>
    </w:rPr>
  </w:style>
  <w:style w:type="character" w:customStyle="1" w:styleId="CommentSubjectChar">
    <w:name w:val="Comment Subject Char"/>
    <w:basedOn w:val="CommentTextChar"/>
    <w:link w:val="CommentSubject"/>
    <w:uiPriority w:val="99"/>
    <w:semiHidden/>
    <w:rsid w:val="00CE6D6D"/>
    <w:rPr>
      <w:rFonts w:ascii="Times New Roman" w:hAnsi="Times New Roman" w:cs="Times New Roman"/>
      <w:b/>
      <w:bCs/>
      <w:color w:val="000000"/>
      <w:kern w:val="0"/>
      <w:sz w:val="20"/>
      <w:szCs w:val="20"/>
      <w:lang w:val="en-GB" w:eastAsia="en-GB"/>
      <w14:ligatures w14:val="none"/>
    </w:rPr>
  </w:style>
  <w:style w:type="character" w:customStyle="1" w:styleId="fontstyle31">
    <w:name w:val="fontstyle31"/>
    <w:basedOn w:val="DefaultParagraphFont"/>
    <w:rsid w:val="00336BF3"/>
    <w:rPr>
      <w:rFonts w:ascii="AdvOTea1a7398+fb" w:hAnsi="AdvOTea1a7398+fb" w:hint="default"/>
      <w:b w:val="0"/>
      <w:bCs w:val="0"/>
      <w:i w:val="0"/>
      <w:iCs w:val="0"/>
      <w:color w:val="000000"/>
      <w:sz w:val="16"/>
      <w:szCs w:val="16"/>
    </w:rPr>
  </w:style>
  <w:style w:type="character" w:customStyle="1" w:styleId="fontstyle41">
    <w:name w:val="fontstyle41"/>
    <w:basedOn w:val="DefaultParagraphFont"/>
    <w:rsid w:val="00336BF3"/>
    <w:rPr>
      <w:rFonts w:ascii="AdvOTcb88df00" w:hAnsi="AdvOTcb88df00" w:hint="default"/>
      <w:b w:val="0"/>
      <w:bCs w:val="0"/>
      <w:i w:val="0"/>
      <w:iCs w:val="0"/>
      <w:color w:val="000000"/>
      <w:sz w:val="16"/>
      <w:szCs w:val="16"/>
    </w:rPr>
  </w:style>
  <w:style w:type="paragraph" w:styleId="Bibliography">
    <w:name w:val="Bibliography"/>
    <w:basedOn w:val="Normal"/>
    <w:next w:val="Normal"/>
    <w:uiPriority w:val="37"/>
    <w:unhideWhenUsed/>
    <w:rsid w:val="00805E4A"/>
    <w:pPr>
      <w:tabs>
        <w:tab w:val="left" w:pos="384"/>
      </w:tabs>
      <w:spacing w:after="0" w:line="480" w:lineRule="auto"/>
      <w:ind w:left="384" w:hanging="384"/>
    </w:pPr>
  </w:style>
  <w:style w:type="character" w:customStyle="1" w:styleId="normaltextrun">
    <w:name w:val="normaltextrun"/>
    <w:basedOn w:val="DefaultParagraphFont"/>
    <w:rsid w:val="00B96A48"/>
  </w:style>
  <w:style w:type="paragraph" w:styleId="Revision">
    <w:name w:val="Revision"/>
    <w:hidden/>
    <w:uiPriority w:val="99"/>
    <w:semiHidden/>
    <w:rsid w:val="00746004"/>
    <w:pPr>
      <w:spacing w:after="0" w:line="240" w:lineRule="auto"/>
    </w:pPr>
    <w:rPr>
      <w:rFonts w:ascii="Times New Roman" w:hAnsi="Times New Roman" w:cs="Times New Roman"/>
      <w:color w:val="000000"/>
      <w:kern w:val="0"/>
      <w:sz w:val="24"/>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AB18176362224BB01CBE7325B86BE8" ma:contentTypeVersion="16" ma:contentTypeDescription="Create a new document." ma:contentTypeScope="" ma:versionID="39a13f73dec78e4e9c2eca56f71d3b32">
  <xsd:schema xmlns:xsd="http://www.w3.org/2001/XMLSchema" xmlns:xs="http://www.w3.org/2001/XMLSchema" xmlns:p="http://schemas.microsoft.com/office/2006/metadata/properties" xmlns:ns2="77320a2d-5b82-436a-8d61-e5e32ae93120" xmlns:ns3="28aa3e61-f6e8-46e0-b81a-517743ca1cd5" targetNamespace="http://schemas.microsoft.com/office/2006/metadata/properties" ma:root="true" ma:fieldsID="15dc08a016c9fc6680c9b635a83e775f" ns2:_="" ns3:_="">
    <xsd:import namespace="77320a2d-5b82-436a-8d61-e5e32ae93120"/>
    <xsd:import namespace="28aa3e61-f6e8-46e0-b81a-517743ca1c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320a2d-5b82-436a-8d61-e5e32ae931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f15d7e9-da90-449b-8052-bacb192258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aa3e61-f6e8-46e0-b81a-517743ca1cd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7fd8e46-ee9d-401d-b19e-ebc7582af514}" ma:internalName="TaxCatchAll" ma:showField="CatchAllData" ma:web="28aa3e61-f6e8-46e0-b81a-517743ca1cd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7320a2d-5b82-436a-8d61-e5e32ae93120">
      <Terms xmlns="http://schemas.microsoft.com/office/infopath/2007/PartnerControls"/>
    </lcf76f155ced4ddcb4097134ff3c332f>
    <TaxCatchAll xmlns="28aa3e61-f6e8-46e0-b81a-517743ca1cd5" xsi:nil="true"/>
  </documentManagement>
</p:properties>
</file>

<file path=customXml/itemProps1.xml><?xml version="1.0" encoding="utf-8"?>
<ds:datastoreItem xmlns:ds="http://schemas.openxmlformats.org/officeDocument/2006/customXml" ds:itemID="{232A8E36-2AF1-4DCA-B2DA-C9C639B0D116}">
  <ds:schemaRefs>
    <ds:schemaRef ds:uri="http://schemas.openxmlformats.org/officeDocument/2006/bibliography"/>
  </ds:schemaRefs>
</ds:datastoreItem>
</file>

<file path=customXml/itemProps2.xml><?xml version="1.0" encoding="utf-8"?>
<ds:datastoreItem xmlns:ds="http://schemas.openxmlformats.org/officeDocument/2006/customXml" ds:itemID="{53E57501-8BE2-44EC-978A-4EA35B5D72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320a2d-5b82-436a-8d61-e5e32ae93120"/>
    <ds:schemaRef ds:uri="28aa3e61-f6e8-46e0-b81a-517743ca1c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19F005-FED9-4180-BA1D-AB64572CEF04}">
  <ds:schemaRefs>
    <ds:schemaRef ds:uri="http://schemas.microsoft.com/sharepoint/v3/contenttype/forms"/>
  </ds:schemaRefs>
</ds:datastoreItem>
</file>

<file path=customXml/itemProps4.xml><?xml version="1.0" encoding="utf-8"?>
<ds:datastoreItem xmlns:ds="http://schemas.openxmlformats.org/officeDocument/2006/customXml" ds:itemID="{C7572231-15E9-4C30-A661-B60C73EA080E}">
  <ds:schemaRefs>
    <ds:schemaRef ds:uri="http://schemas.microsoft.com/office/2006/metadata/properties"/>
    <ds:schemaRef ds:uri="http://schemas.microsoft.com/office/infopath/2007/PartnerControls"/>
    <ds:schemaRef ds:uri="77320a2d-5b82-436a-8d61-e5e32ae93120"/>
    <ds:schemaRef ds:uri="28aa3e61-f6e8-46e0-b81a-517743ca1cd5"/>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8</Pages>
  <Words>1945</Words>
  <Characters>11093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Zofia Magdalena Stachowska-Kamińska</dc:creator>
  <cp:keywords/>
  <dc:description/>
  <cp:lastModifiedBy>Zofia Magdalena Stachowska-Kamińska</cp:lastModifiedBy>
  <cp:revision>183</cp:revision>
  <dcterms:created xsi:type="dcterms:W3CDTF">2023-10-19T11:44:00Z</dcterms:created>
  <dcterms:modified xsi:type="dcterms:W3CDTF">2023-12-04T12:10:00Z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id="sv8HkfAg"/&gt;&lt;style id="http://www.zotero.org/styles/nature" hasBibliography="1" bibliographyStyleHasBeenSet="1"/&gt;&lt;prefs&gt;&lt;pref name="fieldType" value="Field"/&gt;&lt;/prefs&gt;&lt;/data&gt;</vt:lpwstr>
  </property>
  <property fmtid="{D5CDD505-2E9C-101B-9397-08002B2CF9AE}" pid="3" name="ContentTypeId">
    <vt:lpwstr>0x010100CDAB18176362224BB01CBE7325B86BE8</vt:lpwstr>
  </property>
  <property fmtid="{D5CDD505-2E9C-101B-9397-08002B2CF9AE}" pid="4" name="MediaServiceImageTags">
    <vt:lpwstr/>
  </property>
</Properties>
</file>