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338" w:rsidRDefault="00892765" w:rsidP="001C395B">
      <w:pPr>
        <w:spacing w:beforeLines="100" w:afterLines="150" w:line="360" w:lineRule="auto"/>
        <w:rPr>
          <w:rFonts w:ascii="Times New Roman" w:hAnsi="Times New Roman" w:cs="Times New Roman"/>
          <w:b/>
          <w:sz w:val="36"/>
          <w:szCs w:val="32"/>
        </w:rPr>
      </w:pPr>
      <w:r w:rsidRPr="00BB26E1">
        <w:rPr>
          <w:rFonts w:ascii="Times New Roman" w:hAnsi="Times New Roman" w:cs="Times New Roman"/>
          <w:b/>
          <w:sz w:val="36"/>
          <w:szCs w:val="32"/>
        </w:rPr>
        <w:t xml:space="preserve">Supporting </w:t>
      </w:r>
      <w:r w:rsidR="00BB26E1" w:rsidRPr="00BB26E1">
        <w:rPr>
          <w:rFonts w:ascii="Times New Roman" w:hAnsi="Times New Roman" w:cs="Times New Roman" w:hint="eastAsia"/>
          <w:b/>
          <w:sz w:val="36"/>
          <w:szCs w:val="32"/>
        </w:rPr>
        <w:t>figures and tables</w:t>
      </w:r>
    </w:p>
    <w:p w:rsidR="00C30FE1" w:rsidRDefault="00C30FE1" w:rsidP="00C30FE1">
      <w:pPr>
        <w:spacing w:line="480" w:lineRule="auto"/>
        <w:jc w:val="both"/>
        <w:outlineLvl w:val="0"/>
        <w:rPr>
          <w:rFonts w:ascii="Times New Roman" w:hAnsi="Times New Roman"/>
          <w:b/>
          <w:sz w:val="24"/>
          <w:szCs w:val="24"/>
        </w:rPr>
      </w:pPr>
      <w:r>
        <w:rPr>
          <w:rFonts w:ascii="Times New Roman" w:hAnsi="Times New Roman" w:hint="eastAsia"/>
          <w:b/>
          <w:sz w:val="24"/>
          <w:szCs w:val="24"/>
        </w:rPr>
        <w:t>Title</w:t>
      </w:r>
    </w:p>
    <w:p w:rsidR="00C30FE1" w:rsidRPr="00C30FE1" w:rsidRDefault="00C30FE1" w:rsidP="00C30FE1">
      <w:pPr>
        <w:spacing w:line="480" w:lineRule="auto"/>
        <w:jc w:val="both"/>
        <w:rPr>
          <w:rFonts w:ascii="Times New Roman" w:hAnsi="Times New Roman"/>
          <w:sz w:val="24"/>
          <w:szCs w:val="24"/>
        </w:rPr>
      </w:pPr>
      <w:bookmarkStart w:id="0" w:name="_Hlk37942542"/>
      <w:bookmarkStart w:id="1" w:name="_Hlk37255633"/>
      <w:r w:rsidRPr="00C30FE1">
        <w:rPr>
          <w:rFonts w:ascii="Times New Roman" w:hAnsi="Times New Roman"/>
          <w:sz w:val="24"/>
          <w:szCs w:val="24"/>
        </w:rPr>
        <w:t>Continental-Scale Paddy Soil Bacterial Community Structure, Function and Biotic Interaction</w:t>
      </w:r>
      <w:bookmarkEnd w:id="0"/>
    </w:p>
    <w:bookmarkEnd w:id="1"/>
    <w:p w:rsidR="00BB26E1" w:rsidRDefault="00BB26E1" w:rsidP="00BB26E1">
      <w:pPr>
        <w:spacing w:line="480" w:lineRule="auto"/>
        <w:jc w:val="both"/>
        <w:outlineLvl w:val="0"/>
        <w:rPr>
          <w:rFonts w:ascii="Times New Roman" w:hAnsi="Times New Roman"/>
          <w:b/>
          <w:sz w:val="24"/>
          <w:szCs w:val="24"/>
        </w:rPr>
      </w:pPr>
      <w:r>
        <w:rPr>
          <w:rFonts w:ascii="Times New Roman" w:hAnsi="Times New Roman" w:hint="eastAsia"/>
          <w:b/>
          <w:sz w:val="24"/>
          <w:szCs w:val="24"/>
        </w:rPr>
        <w:t>Authors</w:t>
      </w:r>
    </w:p>
    <w:p w:rsidR="00BB26E1" w:rsidRDefault="00BB26E1" w:rsidP="00BB26E1">
      <w:pPr>
        <w:spacing w:line="480" w:lineRule="auto"/>
        <w:jc w:val="both"/>
        <w:rPr>
          <w:rFonts w:ascii="Times New Roman" w:hAnsi="Times New Roman"/>
          <w:sz w:val="24"/>
          <w:szCs w:val="24"/>
          <w:vertAlign w:val="superscript"/>
        </w:rPr>
      </w:pPr>
      <w:r>
        <w:rPr>
          <w:rFonts w:ascii="Times New Roman" w:hAnsi="Times New Roman"/>
          <w:sz w:val="24"/>
          <w:szCs w:val="24"/>
        </w:rPr>
        <w:t>Hong</w:t>
      </w:r>
      <w:r>
        <w:rPr>
          <w:rFonts w:ascii="Times New Roman" w:hAnsi="Times New Roman" w:hint="eastAsia"/>
          <w:sz w:val="24"/>
          <w:szCs w:val="24"/>
        </w:rPr>
        <w:t>-Yi</w:t>
      </w:r>
      <w:r>
        <w:rPr>
          <w:rFonts w:ascii="Times New Roman" w:hAnsi="Times New Roman"/>
          <w:sz w:val="24"/>
          <w:szCs w:val="24"/>
        </w:rPr>
        <w:t xml:space="preserve"> Li</w:t>
      </w:r>
      <w:r>
        <w:rPr>
          <w:rFonts w:ascii="Times New Roman" w:hAnsi="Times New Roman" w:hint="eastAsia"/>
          <w:sz w:val="24"/>
          <w:szCs w:val="24"/>
          <w:vertAlign w:val="superscript"/>
        </w:rPr>
        <w:t>1</w:t>
      </w:r>
      <w:r>
        <w:rPr>
          <w:rFonts w:ascii="Times New Roman" w:hAnsi="Times New Roman"/>
          <w:sz w:val="24"/>
          <w:szCs w:val="24"/>
          <w:vertAlign w:val="superscript"/>
        </w:rPr>
        <w:t>#</w:t>
      </w:r>
      <w:r>
        <w:rPr>
          <w:rFonts w:ascii="Times New Roman" w:hAnsi="Times New Roman" w:hint="eastAsia"/>
          <w:sz w:val="24"/>
          <w:szCs w:val="24"/>
        </w:rPr>
        <w:t xml:space="preserve">, </w:t>
      </w:r>
      <w:r>
        <w:rPr>
          <w:rFonts w:ascii="Times New Roman" w:hAnsi="Times New Roman"/>
          <w:sz w:val="24"/>
          <w:szCs w:val="24"/>
        </w:rPr>
        <w:t>Hang Wang</w:t>
      </w:r>
      <w:r>
        <w:rPr>
          <w:rFonts w:ascii="Times New Roman" w:hAnsi="Times New Roman"/>
          <w:sz w:val="24"/>
          <w:szCs w:val="24"/>
          <w:vertAlign w:val="superscript"/>
        </w:rPr>
        <w:t>1,</w:t>
      </w:r>
      <w:r>
        <w:rPr>
          <w:rFonts w:ascii="Times New Roman" w:hAnsi="Times New Roman" w:hint="eastAsia"/>
          <w:sz w:val="24"/>
          <w:szCs w:val="24"/>
          <w:vertAlign w:val="superscript"/>
        </w:rPr>
        <w:t>2</w:t>
      </w:r>
      <w:r>
        <w:rPr>
          <w:rFonts w:ascii="Times New Roman" w:hAnsi="Times New Roman"/>
          <w:sz w:val="24"/>
          <w:szCs w:val="24"/>
          <w:vertAlign w:val="superscript"/>
        </w:rPr>
        <w:t>#</w:t>
      </w:r>
      <w:r>
        <w:rPr>
          <w:rFonts w:ascii="Times New Roman" w:hAnsi="Times New Roman" w:hint="eastAsia"/>
          <w:sz w:val="24"/>
          <w:szCs w:val="24"/>
        </w:rPr>
        <w:t>, Xin</w:t>
      </w:r>
      <w:r w:rsidR="001C395B">
        <w:rPr>
          <w:rFonts w:ascii="Times New Roman" w:hAnsi="Times New Roman" w:hint="eastAsia"/>
          <w:sz w:val="24"/>
          <w:szCs w:val="24"/>
        </w:rPr>
        <w:t>g</w:t>
      </w:r>
      <w:r>
        <w:rPr>
          <w:rFonts w:ascii="Times New Roman" w:hAnsi="Times New Roman" w:hint="eastAsia"/>
          <w:sz w:val="24"/>
          <w:szCs w:val="24"/>
        </w:rPr>
        <w:t>-</w:t>
      </w:r>
      <w:proofErr w:type="spellStart"/>
      <w:r>
        <w:rPr>
          <w:rFonts w:ascii="Times New Roman" w:hAnsi="Times New Roman" w:hint="eastAsia"/>
          <w:sz w:val="24"/>
          <w:szCs w:val="24"/>
        </w:rPr>
        <w:t>Hua</w:t>
      </w:r>
      <w:proofErr w:type="spellEnd"/>
      <w:r>
        <w:rPr>
          <w:rFonts w:ascii="Times New Roman" w:hAnsi="Times New Roman" w:hint="eastAsia"/>
          <w:sz w:val="24"/>
          <w:szCs w:val="24"/>
        </w:rPr>
        <w:t xml:space="preserve"> Tao</w:t>
      </w:r>
      <w:r>
        <w:rPr>
          <w:rFonts w:ascii="Times New Roman" w:hAnsi="Times New Roman" w:hint="eastAsia"/>
          <w:sz w:val="24"/>
          <w:szCs w:val="24"/>
          <w:vertAlign w:val="superscript"/>
        </w:rPr>
        <w:t>1</w:t>
      </w:r>
      <w:r>
        <w:rPr>
          <w:rFonts w:ascii="Times New Roman" w:hAnsi="Times New Roman" w:hint="eastAsia"/>
          <w:sz w:val="24"/>
          <w:szCs w:val="24"/>
        </w:rPr>
        <w:t>, Xian-Zhe Wang</w:t>
      </w:r>
      <w:r>
        <w:rPr>
          <w:rFonts w:ascii="Times New Roman" w:hAnsi="Times New Roman" w:hint="eastAsia"/>
          <w:sz w:val="24"/>
          <w:szCs w:val="24"/>
          <w:vertAlign w:val="superscript"/>
        </w:rPr>
        <w:t>1</w:t>
      </w:r>
      <w:r>
        <w:rPr>
          <w:rFonts w:ascii="Times New Roman" w:hAnsi="Times New Roman" w:hint="eastAsia"/>
          <w:sz w:val="24"/>
          <w:szCs w:val="24"/>
        </w:rPr>
        <w:t>,</w:t>
      </w:r>
      <w:r>
        <w:rPr>
          <w:rFonts w:ascii="Times New Roman" w:hAnsi="Times New Roman"/>
          <w:sz w:val="24"/>
          <w:szCs w:val="24"/>
        </w:rPr>
        <w:t xml:space="preserve"> Wei</w:t>
      </w:r>
      <w:r>
        <w:rPr>
          <w:rFonts w:ascii="Times New Roman" w:hAnsi="Times New Roman" w:hint="eastAsia"/>
          <w:sz w:val="24"/>
          <w:szCs w:val="24"/>
        </w:rPr>
        <w:t>-Z</w:t>
      </w:r>
      <w:r>
        <w:rPr>
          <w:rFonts w:ascii="Times New Roman" w:hAnsi="Times New Roman"/>
          <w:sz w:val="24"/>
          <w:szCs w:val="24"/>
        </w:rPr>
        <w:t>heng</w:t>
      </w:r>
      <w:r>
        <w:rPr>
          <w:rFonts w:ascii="Times New Roman" w:hAnsi="Times New Roman" w:hint="eastAsia"/>
          <w:sz w:val="24"/>
          <w:szCs w:val="24"/>
        </w:rPr>
        <w:t xml:space="preserve"> </w:t>
      </w:r>
      <w:r>
        <w:rPr>
          <w:rFonts w:ascii="Times New Roman" w:hAnsi="Times New Roman"/>
          <w:sz w:val="24"/>
          <w:szCs w:val="24"/>
        </w:rPr>
        <w:t>Jin</w:t>
      </w:r>
      <w:r>
        <w:rPr>
          <w:rFonts w:ascii="Times New Roman" w:hAnsi="Times New Roman" w:hint="eastAsia"/>
          <w:sz w:val="24"/>
          <w:szCs w:val="24"/>
          <w:vertAlign w:val="superscript"/>
        </w:rPr>
        <w:t>3</w:t>
      </w:r>
      <w:r>
        <w:rPr>
          <w:rFonts w:ascii="Times New Roman" w:hAnsi="Times New Roman" w:hint="eastAsia"/>
          <w:sz w:val="24"/>
          <w:szCs w:val="24"/>
        </w:rPr>
        <w:t xml:space="preserve">, </w:t>
      </w:r>
      <w:r>
        <w:rPr>
          <w:rFonts w:ascii="Times New Roman" w:hAnsi="Times New Roman"/>
          <w:sz w:val="24"/>
          <w:szCs w:val="24"/>
        </w:rPr>
        <w:t>Jack A Gilbert</w:t>
      </w:r>
      <w:r>
        <w:rPr>
          <w:rFonts w:ascii="Times New Roman" w:hAnsi="Times New Roman" w:hint="eastAsia"/>
          <w:sz w:val="24"/>
          <w:szCs w:val="24"/>
          <w:vertAlign w:val="superscript"/>
        </w:rPr>
        <w:t>4</w:t>
      </w:r>
      <w:r>
        <w:rPr>
          <w:rFonts w:ascii="Times New Roman" w:hAnsi="Times New Roman" w:hint="eastAsia"/>
          <w:sz w:val="24"/>
          <w:szCs w:val="24"/>
        </w:rPr>
        <w:t>, Yong-Guan Zhu</w:t>
      </w:r>
      <w:r>
        <w:rPr>
          <w:rFonts w:ascii="Times New Roman" w:hAnsi="Times New Roman"/>
          <w:sz w:val="24"/>
          <w:szCs w:val="24"/>
          <w:vertAlign w:val="superscript"/>
        </w:rPr>
        <w:t>5</w:t>
      </w:r>
      <w:r>
        <w:rPr>
          <w:rFonts w:ascii="Times New Roman" w:hAnsi="Times New Roman" w:hint="eastAsia"/>
          <w:sz w:val="24"/>
          <w:szCs w:val="24"/>
          <w:vertAlign w:val="superscript"/>
        </w:rPr>
        <w:t>*</w:t>
      </w:r>
      <w:r>
        <w:rPr>
          <w:rFonts w:ascii="Times New Roman" w:hAnsi="Times New Roman" w:hint="eastAsia"/>
          <w:sz w:val="24"/>
          <w:szCs w:val="24"/>
        </w:rPr>
        <w:t xml:space="preserve">, </w:t>
      </w:r>
      <w:r>
        <w:rPr>
          <w:rFonts w:ascii="Times New Roman" w:hAnsi="Times New Roman"/>
          <w:sz w:val="24"/>
          <w:szCs w:val="24"/>
        </w:rPr>
        <w:t>and Zhi</w:t>
      </w:r>
      <w:r>
        <w:rPr>
          <w:rFonts w:ascii="Times New Roman" w:hAnsi="Times New Roman" w:hint="eastAsia"/>
          <w:sz w:val="24"/>
          <w:szCs w:val="24"/>
        </w:rPr>
        <w:t>-J</w:t>
      </w:r>
      <w:r>
        <w:rPr>
          <w:rFonts w:ascii="Times New Roman" w:hAnsi="Times New Roman"/>
          <w:sz w:val="24"/>
          <w:szCs w:val="24"/>
        </w:rPr>
        <w:t>ian Zhang</w:t>
      </w:r>
      <w:r>
        <w:rPr>
          <w:rFonts w:ascii="Times New Roman" w:hAnsi="Times New Roman" w:hint="eastAsia"/>
          <w:sz w:val="24"/>
          <w:szCs w:val="24"/>
          <w:vertAlign w:val="superscript"/>
        </w:rPr>
        <w:t>1,</w:t>
      </w:r>
      <w:r>
        <w:rPr>
          <w:rFonts w:ascii="Times New Roman" w:hAnsi="Times New Roman"/>
          <w:sz w:val="24"/>
          <w:szCs w:val="24"/>
          <w:vertAlign w:val="superscript"/>
        </w:rPr>
        <w:t>6</w:t>
      </w:r>
      <w:r>
        <w:rPr>
          <w:rFonts w:ascii="Times New Roman" w:hAnsi="Times New Roman" w:hint="eastAsia"/>
          <w:sz w:val="24"/>
          <w:szCs w:val="24"/>
          <w:vertAlign w:val="superscript"/>
        </w:rPr>
        <w:t>*</w:t>
      </w:r>
    </w:p>
    <w:p w:rsidR="00BB26E1" w:rsidRDefault="00BB26E1" w:rsidP="00BB26E1">
      <w:pPr>
        <w:spacing w:line="480" w:lineRule="auto"/>
        <w:jc w:val="both"/>
        <w:rPr>
          <w:rFonts w:ascii="Times New Roman" w:hAnsi="Times New Roman"/>
          <w:sz w:val="24"/>
          <w:szCs w:val="24"/>
        </w:rPr>
      </w:pPr>
      <w:r>
        <w:rPr>
          <w:rFonts w:ascii="Times New Roman" w:hAnsi="Times New Roman" w:hint="eastAsia"/>
          <w:sz w:val="24"/>
          <w:szCs w:val="24"/>
        </w:rPr>
        <w:t>#</w:t>
      </w:r>
      <w:r>
        <w:rPr>
          <w:rFonts w:ascii="Times New Roman" w:hAnsi="Times New Roman"/>
          <w:sz w:val="24"/>
          <w:szCs w:val="24"/>
        </w:rPr>
        <w:t>: Contributing equally to this work.</w:t>
      </w:r>
    </w:p>
    <w:p w:rsidR="00BB26E1" w:rsidRDefault="00BB26E1" w:rsidP="00BB26E1">
      <w:pPr>
        <w:spacing w:line="480" w:lineRule="auto"/>
        <w:jc w:val="both"/>
        <w:outlineLvl w:val="0"/>
        <w:rPr>
          <w:rFonts w:ascii="Times New Roman" w:hAnsi="Times New Roman"/>
          <w:b/>
          <w:sz w:val="24"/>
          <w:szCs w:val="24"/>
        </w:rPr>
      </w:pPr>
      <w:r>
        <w:rPr>
          <w:rFonts w:ascii="Times New Roman" w:hAnsi="Times New Roman" w:hint="eastAsia"/>
          <w:b/>
          <w:sz w:val="24"/>
          <w:szCs w:val="24"/>
        </w:rPr>
        <w:t>I</w:t>
      </w:r>
      <w:r>
        <w:rPr>
          <w:rFonts w:ascii="Times New Roman" w:hAnsi="Times New Roman"/>
          <w:b/>
          <w:sz w:val="24"/>
          <w:szCs w:val="24"/>
        </w:rPr>
        <w:t>nstitutional addresses</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hint="eastAsia"/>
          <w:sz w:val="24"/>
          <w:szCs w:val="24"/>
          <w:vertAlign w:val="superscript"/>
        </w:rPr>
        <w:t>1</w:t>
      </w:r>
      <w:r>
        <w:rPr>
          <w:rFonts w:ascii="Times New Roman" w:hAnsi="Times New Roman"/>
          <w:sz w:val="24"/>
          <w:szCs w:val="24"/>
        </w:rPr>
        <w:t>College of Environmental and Resource Sciences, Zhejiang University, 866</w:t>
      </w:r>
      <w:r>
        <w:rPr>
          <w:rFonts w:ascii="Times New Roman" w:hAnsi="Times New Roman" w:hint="eastAsia"/>
          <w:sz w:val="24"/>
          <w:szCs w:val="24"/>
        </w:rPr>
        <w:t xml:space="preserve"> </w:t>
      </w:r>
      <w:r>
        <w:rPr>
          <w:rFonts w:ascii="Times New Roman" w:hAnsi="Times New Roman"/>
          <w:sz w:val="24"/>
          <w:szCs w:val="24"/>
        </w:rPr>
        <w:t xml:space="preserve">Yuhangtang Ave, Hangzhou, 310058, China; </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hint="eastAsia"/>
          <w:sz w:val="24"/>
          <w:szCs w:val="24"/>
          <w:vertAlign w:val="superscript"/>
        </w:rPr>
        <w:t>2</w:t>
      </w:r>
      <w:r>
        <w:rPr>
          <w:rFonts w:ascii="Times New Roman" w:hAnsi="Times New Roman"/>
          <w:sz w:val="24"/>
          <w:szCs w:val="24"/>
        </w:rPr>
        <w:t>National Plateau Wetlands Research Center, Southwest Forestry University, 300</w:t>
      </w:r>
      <w:r>
        <w:rPr>
          <w:rFonts w:ascii="Times New Roman" w:hAnsi="Times New Roman" w:hint="eastAsia"/>
          <w:sz w:val="24"/>
          <w:szCs w:val="24"/>
        </w:rPr>
        <w:t xml:space="preserve"> </w:t>
      </w:r>
      <w:r>
        <w:rPr>
          <w:rFonts w:ascii="Times New Roman" w:hAnsi="Times New Roman"/>
          <w:sz w:val="24"/>
          <w:szCs w:val="24"/>
        </w:rPr>
        <w:t>Bailongsi, Kunming, 650224, China;</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hint="eastAsia"/>
          <w:sz w:val="24"/>
          <w:szCs w:val="24"/>
          <w:vertAlign w:val="superscript"/>
        </w:rPr>
        <w:t>3</w:t>
      </w:r>
      <w:r>
        <w:rPr>
          <w:rFonts w:ascii="Times New Roman" w:hAnsi="Times New Roman"/>
          <w:sz w:val="24"/>
          <w:szCs w:val="24"/>
        </w:rPr>
        <w:t xml:space="preserve">Hangzhou </w:t>
      </w:r>
      <w:r>
        <w:rPr>
          <w:rFonts w:ascii="Times New Roman" w:hAnsi="Times New Roman" w:hint="eastAsia"/>
          <w:sz w:val="24"/>
          <w:szCs w:val="24"/>
        </w:rPr>
        <w:t xml:space="preserve">GuSheng </w:t>
      </w:r>
      <w:r>
        <w:rPr>
          <w:rFonts w:ascii="Times New Roman" w:hAnsi="Times New Roman"/>
          <w:sz w:val="24"/>
          <w:szCs w:val="24"/>
        </w:rPr>
        <w:t>Biotechnology Co. Ltd</w:t>
      </w:r>
      <w:r>
        <w:rPr>
          <w:rFonts w:ascii="Times New Roman" w:hAnsi="Times New Roman" w:hint="eastAsia"/>
          <w:sz w:val="24"/>
          <w:szCs w:val="24"/>
        </w:rPr>
        <w:t>,</w:t>
      </w:r>
      <w:r>
        <w:rPr>
          <w:rFonts w:ascii="Times New Roman" w:hAnsi="Times New Roman"/>
          <w:sz w:val="24"/>
          <w:szCs w:val="24"/>
        </w:rPr>
        <w:t xml:space="preserve"> Hang</w:t>
      </w:r>
      <w:r>
        <w:rPr>
          <w:rFonts w:ascii="Times New Roman" w:hAnsi="Times New Roman" w:hint="eastAsia"/>
          <w:sz w:val="24"/>
          <w:szCs w:val="24"/>
        </w:rPr>
        <w:t>Z</w:t>
      </w:r>
      <w:r>
        <w:rPr>
          <w:rFonts w:ascii="Times New Roman" w:hAnsi="Times New Roman"/>
          <w:sz w:val="24"/>
          <w:szCs w:val="24"/>
        </w:rPr>
        <w:t>hou 311108, China</w:t>
      </w:r>
      <w:r>
        <w:rPr>
          <w:rFonts w:ascii="Times New Roman" w:hAnsi="Times New Roman" w:hint="eastAsia"/>
          <w:sz w:val="24"/>
          <w:szCs w:val="24"/>
        </w:rPr>
        <w:t>;</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hint="eastAsia"/>
          <w:szCs w:val="21"/>
          <w:vertAlign w:val="superscript"/>
        </w:rPr>
        <w:t>4</w:t>
      </w:r>
      <w:r>
        <w:rPr>
          <w:rFonts w:ascii="Times New Roman" w:hAnsi="Times New Roman"/>
          <w:sz w:val="24"/>
          <w:szCs w:val="24"/>
        </w:rPr>
        <w:t xml:space="preserve">Scripps Institution of Oceanography and Department of Pediatrics, University of California San Diego, La Jolla, CA, 92093, USA; </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sz w:val="24"/>
          <w:szCs w:val="24"/>
          <w:vertAlign w:val="superscript"/>
        </w:rPr>
        <w:t>5</w:t>
      </w:r>
      <w:r>
        <w:rPr>
          <w:rFonts w:ascii="Times New Roman" w:hAnsi="Times New Roman"/>
          <w:sz w:val="24"/>
          <w:szCs w:val="24"/>
        </w:rPr>
        <w:t>Key Lab of Urban Environment and Health, Institute of Urban Environment, Chinese Academy of Sciences, Xiamen 361021, China</w:t>
      </w:r>
      <w:r>
        <w:rPr>
          <w:rFonts w:ascii="Times New Roman" w:hAnsi="Times New Roman" w:hint="eastAsia"/>
          <w:sz w:val="24"/>
          <w:szCs w:val="24"/>
        </w:rPr>
        <w:t xml:space="preserve">; </w:t>
      </w:r>
    </w:p>
    <w:p w:rsidR="00BB26E1" w:rsidRDefault="00BB26E1" w:rsidP="001C395B">
      <w:pPr>
        <w:spacing w:beforeLines="50" w:afterLines="50" w:line="360" w:lineRule="auto"/>
        <w:jc w:val="both"/>
        <w:rPr>
          <w:rFonts w:ascii="Times New Roman" w:hAnsi="Times New Roman"/>
          <w:sz w:val="24"/>
          <w:szCs w:val="24"/>
        </w:rPr>
      </w:pPr>
      <w:r>
        <w:rPr>
          <w:rFonts w:ascii="Times New Roman" w:hAnsi="Times New Roman"/>
          <w:sz w:val="24"/>
          <w:szCs w:val="24"/>
          <w:vertAlign w:val="superscript"/>
        </w:rPr>
        <w:t>6</w:t>
      </w:r>
      <w:r>
        <w:rPr>
          <w:rFonts w:ascii="Times New Roman" w:hAnsi="Times New Roman"/>
          <w:sz w:val="24"/>
          <w:szCs w:val="24"/>
        </w:rPr>
        <w:t>China Academy of West Region Development, Zhejiang University, 866 Yuhangtang Ave, Hangzhou, 310058, China.</w:t>
      </w:r>
    </w:p>
    <w:p w:rsidR="001503AF" w:rsidRDefault="00BB26E1" w:rsidP="001C395B">
      <w:pPr>
        <w:spacing w:beforeLines="50" w:afterLines="50" w:line="360" w:lineRule="auto"/>
        <w:rPr>
          <w:rFonts w:ascii="Times New Roman" w:hAnsi="Times New Roman"/>
          <w:sz w:val="24"/>
          <w:szCs w:val="24"/>
        </w:rPr>
      </w:pPr>
      <w:r>
        <w:rPr>
          <w:rFonts w:ascii="Times New Roman" w:hAnsi="Times New Roman"/>
          <w:sz w:val="24"/>
          <w:szCs w:val="24"/>
        </w:rPr>
        <w:t xml:space="preserve">*Corresponding authors: </w:t>
      </w:r>
      <w:r>
        <w:rPr>
          <w:rFonts w:ascii="Times New Roman" w:hAnsi="Times New Roman" w:hint="eastAsia"/>
          <w:sz w:val="24"/>
          <w:szCs w:val="24"/>
        </w:rPr>
        <w:t xml:space="preserve">Yong-Guan </w:t>
      </w:r>
      <w:r>
        <w:rPr>
          <w:rFonts w:ascii="Times New Roman" w:hAnsi="Times New Roman"/>
          <w:sz w:val="24"/>
          <w:szCs w:val="24"/>
        </w:rPr>
        <w:t>Zhu and</w:t>
      </w:r>
      <w:r>
        <w:rPr>
          <w:rFonts w:ascii="Times New Roman" w:hAnsi="Times New Roman" w:hint="eastAsia"/>
          <w:sz w:val="24"/>
          <w:szCs w:val="24"/>
        </w:rPr>
        <w:t xml:space="preserve"> </w:t>
      </w:r>
      <w:r>
        <w:rPr>
          <w:rFonts w:ascii="Times New Roman" w:hAnsi="Times New Roman"/>
          <w:sz w:val="24"/>
          <w:szCs w:val="24"/>
        </w:rPr>
        <w:t>Zhi</w:t>
      </w:r>
      <w:r>
        <w:rPr>
          <w:rFonts w:ascii="Times New Roman" w:hAnsi="Times New Roman" w:hint="eastAsia"/>
          <w:sz w:val="24"/>
          <w:szCs w:val="24"/>
        </w:rPr>
        <w:t>-J</w:t>
      </w:r>
      <w:r>
        <w:rPr>
          <w:rFonts w:ascii="Times New Roman" w:hAnsi="Times New Roman"/>
          <w:sz w:val="24"/>
          <w:szCs w:val="24"/>
        </w:rPr>
        <w:t>ian</w:t>
      </w:r>
      <w:r>
        <w:rPr>
          <w:rFonts w:ascii="Times New Roman" w:hAnsi="Times New Roman" w:hint="eastAsia"/>
          <w:sz w:val="24"/>
          <w:szCs w:val="24"/>
        </w:rPr>
        <w:t xml:space="preserve"> Zhang</w:t>
      </w:r>
    </w:p>
    <w:p w:rsidR="00BB26E1" w:rsidRDefault="00BB26E1" w:rsidP="001C395B">
      <w:pPr>
        <w:spacing w:beforeLines="100" w:afterLines="150" w:line="360" w:lineRule="auto"/>
        <w:rPr>
          <w:rFonts w:ascii="Times New Roman" w:hAnsi="Times New Roman" w:cs="Times New Roman"/>
          <w:sz w:val="36"/>
          <w:szCs w:val="32"/>
        </w:rPr>
      </w:pPr>
    </w:p>
    <w:p w:rsidR="00962338" w:rsidRDefault="00962338" w:rsidP="001C395B">
      <w:pPr>
        <w:spacing w:beforeLines="150" w:afterLines="150" w:line="360" w:lineRule="auto"/>
        <w:rPr>
          <w:sz w:val="32"/>
          <w:szCs w:val="28"/>
        </w:rPr>
        <w:sectPr w:rsidR="00962338">
          <w:pgSz w:w="11906" w:h="16838"/>
          <w:pgMar w:top="1440" w:right="1800" w:bottom="1440" w:left="1800" w:header="851" w:footer="992" w:gutter="0"/>
          <w:cols w:space="425"/>
          <w:docGrid w:type="lines" w:linePitch="312"/>
        </w:sectPr>
      </w:pPr>
    </w:p>
    <w:p w:rsidR="00962338" w:rsidRDefault="00892765" w:rsidP="001C395B">
      <w:pPr>
        <w:spacing w:beforeLines="50" w:afterLines="50"/>
        <w:jc w:val="center"/>
        <w:rPr>
          <w:sz w:val="24"/>
        </w:rPr>
      </w:pPr>
      <w:r>
        <w:rPr>
          <w:noProof/>
          <w:sz w:val="24"/>
        </w:rPr>
        <w:lastRenderedPageBreak/>
        <w:drawing>
          <wp:inline distT="0" distB="0" distL="0" distR="0">
            <wp:extent cx="5490964" cy="29781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96320" cy="2981055"/>
                    </a:xfrm>
                    <a:prstGeom prst="rect">
                      <a:avLst/>
                    </a:prstGeom>
                    <a:noFill/>
                    <a:ln>
                      <a:noFill/>
                    </a:ln>
                  </pic:spPr>
                </pic:pic>
              </a:graphicData>
            </a:graphic>
          </wp:inline>
        </w:drawing>
      </w:r>
    </w:p>
    <w:p w:rsidR="00962338" w:rsidRDefault="00892765" w:rsidP="001C395B">
      <w:pPr>
        <w:spacing w:beforeLines="100" w:afterLines="100" w:line="360" w:lineRule="auto"/>
        <w:jc w:val="both"/>
        <w:rPr>
          <w:rFonts w:ascii="Times New Roman" w:hAnsi="Times New Roman" w:cs="Times New Roman"/>
          <w:sz w:val="24"/>
          <w:szCs w:val="24"/>
        </w:rPr>
      </w:pPr>
      <w:r>
        <w:rPr>
          <w:rFonts w:ascii="Times New Roman" w:hAnsi="Times New Roman" w:cs="Times New Roman"/>
          <w:b/>
          <w:bCs/>
          <w:sz w:val="24"/>
        </w:rPr>
        <w:t>Figure S1</w:t>
      </w:r>
      <w:r>
        <w:rPr>
          <w:rFonts w:ascii="Times New Roman" w:hAnsi="Times New Roman" w:cs="Times New Roman"/>
          <w:sz w:val="24"/>
        </w:rPr>
        <w:t xml:space="preserve"> </w:t>
      </w:r>
      <w:r>
        <w:rPr>
          <w:rFonts w:ascii="Times New Roman" w:hAnsi="Times New Roman" w:cs="Times New Roman"/>
          <w:sz w:val="24"/>
          <w:szCs w:val="24"/>
        </w:rPr>
        <w:t>Geographical locations of sampling sites in four typical rice-growing regions in China: Sanjiang Plain, Lianghu Plain, Taihu Plain, and Hani Terrace. In each region, red dots represent paddy soils, and blue dots represent non-paddy soils.</w:t>
      </w:r>
    </w:p>
    <w:p w:rsidR="00962338" w:rsidRDefault="00962338" w:rsidP="001C395B">
      <w:pPr>
        <w:spacing w:beforeLines="100" w:afterLines="100" w:line="360" w:lineRule="auto"/>
        <w:jc w:val="both"/>
        <w:rPr>
          <w:rFonts w:ascii="Times New Roman" w:hAnsi="Times New Roman" w:cs="Times New Roman"/>
          <w:sz w:val="24"/>
          <w:szCs w:val="24"/>
        </w:rPr>
      </w:pPr>
    </w:p>
    <w:p w:rsidR="00962338" w:rsidRDefault="00962338" w:rsidP="001C395B">
      <w:pPr>
        <w:spacing w:beforeLines="100" w:afterLines="100" w:line="360" w:lineRule="auto"/>
        <w:jc w:val="both"/>
        <w:rPr>
          <w:rFonts w:ascii="Times New Roman" w:hAnsi="Times New Roman" w:cs="Times New Roman"/>
          <w:sz w:val="24"/>
          <w:szCs w:val="24"/>
        </w:rPr>
        <w:sectPr w:rsidR="00962338">
          <w:pgSz w:w="11906" w:h="16838"/>
          <w:pgMar w:top="1440" w:right="1800" w:bottom="1440" w:left="1800" w:header="851" w:footer="992" w:gutter="0"/>
          <w:cols w:space="425"/>
          <w:docGrid w:type="lines" w:linePitch="312"/>
        </w:sectPr>
      </w:pPr>
    </w:p>
    <w:p w:rsidR="00962338" w:rsidRDefault="00892765" w:rsidP="001C395B">
      <w:pPr>
        <w:spacing w:afterLines="10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92710</wp:posOffset>
            </wp:positionV>
            <wp:extent cx="7085965" cy="3709035"/>
            <wp:effectExtent l="0" t="0" r="635" b="5715"/>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449"/>
                    <a:stretch/>
                  </pic:blipFill>
                  <pic:spPr bwMode="auto">
                    <a:xfrm>
                      <a:off x="0" y="0"/>
                      <a:ext cx="7085965" cy="3709035"/>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Pr>
          <w:rFonts w:ascii="Times New Roman" w:hAnsi="Times New Roman" w:cs="Times New Roman" w:hint="eastAsia"/>
          <w:b/>
          <w:sz w:val="24"/>
          <w:szCs w:val="24"/>
        </w:rPr>
        <w:t>Figure</w:t>
      </w:r>
      <w:r>
        <w:rPr>
          <w:rFonts w:ascii="Times New Roman" w:hAnsi="Times New Roman" w:cs="Times New Roman"/>
          <w:b/>
          <w:sz w:val="24"/>
          <w:szCs w:val="24"/>
        </w:rPr>
        <w:t xml:space="preserve"> S2 </w:t>
      </w:r>
      <w:r>
        <w:rPr>
          <w:rFonts w:ascii="Times New Roman" w:hAnsi="Times New Roman" w:cs="Times New Roman"/>
          <w:sz w:val="24"/>
          <w:szCs w:val="24"/>
        </w:rPr>
        <w:t xml:space="preserve">Boxplots showing differential partitioning of the top 20 genera’s relative abundances. Upper panel illustrates the comparisons of paddy soils and adjacent soils from other lands across four </w:t>
      </w:r>
      <w:r>
        <w:rPr>
          <w:rFonts w:ascii="Times New Roman" w:hAnsi="Times New Roman" w:cs="Times New Roman" w:hint="eastAsia"/>
          <w:sz w:val="24"/>
          <w:szCs w:val="24"/>
        </w:rPr>
        <w:t xml:space="preserve">typical rice-growing </w:t>
      </w:r>
      <w:r>
        <w:rPr>
          <w:rFonts w:ascii="Times New Roman" w:hAnsi="Times New Roman" w:cs="Times New Roman"/>
          <w:sz w:val="24"/>
          <w:szCs w:val="24"/>
        </w:rPr>
        <w:t xml:space="preserve">regions in China; Lower panel illustrates the comparisons of paddy soils and adjacent soils from other lands in each of </w:t>
      </w:r>
      <w:r>
        <w:rPr>
          <w:rFonts w:ascii="Times New Roman" w:hAnsi="Times New Roman" w:cs="Times New Roman" w:hint="eastAsia"/>
          <w:sz w:val="24"/>
          <w:szCs w:val="24"/>
        </w:rPr>
        <w:t>four</w:t>
      </w:r>
      <w:r>
        <w:rPr>
          <w:rFonts w:ascii="Times New Roman" w:hAnsi="Times New Roman" w:cs="Times New Roman"/>
          <w:sz w:val="24"/>
          <w:szCs w:val="24"/>
        </w:rPr>
        <w:t xml:space="preserve"> regions. Cross-regional and intraregional differences of each genera’s relative abundance are tested using </w:t>
      </w:r>
      <w:r>
        <w:rPr>
          <w:rFonts w:ascii="Times New Roman" w:hAnsi="Times New Roman" w:cs="Times New Roman" w:hint="eastAsia"/>
          <w:sz w:val="24"/>
          <w:szCs w:val="24"/>
        </w:rPr>
        <w:t xml:space="preserve">a </w:t>
      </w:r>
      <w:r>
        <w:rPr>
          <w:rFonts w:ascii="Times New Roman" w:hAnsi="Times New Roman" w:cs="Times New Roman"/>
          <w:sz w:val="24"/>
          <w:szCs w:val="24"/>
        </w:rPr>
        <w:t>Wilcoxon rank sum test (*</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 xml:space="preserve"> &lt; 0.05; **, </w:t>
      </w:r>
      <w:r>
        <w:rPr>
          <w:rFonts w:ascii="Times New Roman" w:hAnsi="Times New Roman" w:cs="Times New Roman"/>
          <w:i/>
          <w:sz w:val="24"/>
          <w:szCs w:val="24"/>
        </w:rPr>
        <w:t xml:space="preserve">P </w:t>
      </w:r>
      <w:r>
        <w:rPr>
          <w:rFonts w:ascii="Times New Roman" w:hAnsi="Times New Roman" w:cs="Times New Roman"/>
          <w:sz w:val="24"/>
          <w:szCs w:val="24"/>
        </w:rPr>
        <w:t xml:space="preserve">&lt; 0.01; ***, </w:t>
      </w:r>
      <w:r>
        <w:rPr>
          <w:rFonts w:ascii="Times New Roman" w:hAnsi="Times New Roman" w:cs="Times New Roman"/>
          <w:i/>
          <w:sz w:val="24"/>
          <w:szCs w:val="24"/>
        </w:rPr>
        <w:t>P</w:t>
      </w:r>
      <w:r>
        <w:rPr>
          <w:rFonts w:ascii="Times New Roman" w:hAnsi="Times New Roman" w:cs="Times New Roman"/>
          <w:sz w:val="24"/>
          <w:szCs w:val="24"/>
        </w:rPr>
        <w:t xml:space="preserve"> &lt; 0.001).</w:t>
      </w:r>
    </w:p>
    <w:p w:rsidR="00C30FE1" w:rsidRDefault="00C30FE1" w:rsidP="001C395B">
      <w:pPr>
        <w:spacing w:afterLines="100"/>
        <w:jc w:val="both"/>
        <w:rPr>
          <w:rFonts w:ascii="Times New Roman" w:hAnsi="Times New Roman" w:cs="Times New Roman"/>
          <w:sz w:val="24"/>
          <w:szCs w:val="24"/>
        </w:rPr>
      </w:pPr>
    </w:p>
    <w:p w:rsidR="00C30FE1" w:rsidRDefault="00C30FE1" w:rsidP="001C395B">
      <w:pPr>
        <w:spacing w:afterLines="100"/>
        <w:jc w:val="both"/>
        <w:rPr>
          <w:rFonts w:ascii="Times New Roman" w:hAnsi="Times New Roman" w:cs="Times New Roman"/>
          <w:sz w:val="24"/>
          <w:szCs w:val="24"/>
        </w:rPr>
        <w:sectPr w:rsidR="00C30FE1">
          <w:pgSz w:w="16838" w:h="11906" w:orient="landscape"/>
          <w:pgMar w:top="1800" w:right="1440" w:bottom="1800" w:left="1440" w:header="851" w:footer="992" w:gutter="0"/>
          <w:cols w:space="425"/>
          <w:docGrid w:type="lines" w:linePitch="312"/>
        </w:sectPr>
      </w:pPr>
    </w:p>
    <w:p w:rsidR="00962338" w:rsidRDefault="00892765">
      <w:pPr>
        <w:autoSpaceDE w:val="0"/>
        <w:autoSpaceDN w:val="0"/>
        <w:spacing w:after="0" w:line="360" w:lineRule="auto"/>
        <w:jc w:val="both"/>
        <w:rPr>
          <w:rFonts w:ascii="Times New Roman" w:hAnsi="Times New Roman"/>
          <w:sz w:val="24"/>
          <w:szCs w:val="24"/>
        </w:rPr>
      </w:pPr>
      <w:r>
        <w:rPr>
          <w:rFonts w:ascii="Times New Roman" w:hAnsi="Times New Roman"/>
          <w:noProof/>
          <w:sz w:val="21"/>
          <w:szCs w:val="21"/>
        </w:rPr>
        <w:lastRenderedPageBreak/>
        <w:drawing>
          <wp:anchor distT="0" distB="0" distL="114300" distR="114300" simplePos="0" relativeHeight="251660288" behindDoc="1" locked="0" layoutInCell="1" allowOverlap="1">
            <wp:simplePos x="0" y="0"/>
            <wp:positionH relativeFrom="column">
              <wp:posOffset>0</wp:posOffset>
            </wp:positionH>
            <wp:positionV relativeFrom="paragraph">
              <wp:posOffset>0</wp:posOffset>
            </wp:positionV>
            <wp:extent cx="6669405" cy="4027170"/>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669405" cy="4027170"/>
                    </a:xfrm>
                    <a:prstGeom prst="rect">
                      <a:avLst/>
                    </a:prstGeom>
                    <a:noFill/>
                    <a:ln>
                      <a:noFill/>
                    </a:ln>
                  </pic:spPr>
                </pic:pic>
              </a:graphicData>
            </a:graphic>
          </wp:anchor>
        </w:drawing>
      </w:r>
      <w:r>
        <w:rPr>
          <w:rFonts w:ascii="Times New Roman" w:hAnsi="Times New Roman" w:cs="Times New Roman" w:hint="eastAsia"/>
          <w:b/>
          <w:bCs/>
          <w:sz w:val="24"/>
          <w:szCs w:val="24"/>
        </w:rPr>
        <w:t>F</w:t>
      </w:r>
      <w:r>
        <w:rPr>
          <w:rFonts w:ascii="Times New Roman" w:hAnsi="Times New Roman" w:cs="Times New Roman"/>
          <w:b/>
          <w:bCs/>
          <w:sz w:val="24"/>
          <w:szCs w:val="24"/>
        </w:rPr>
        <w:t>igure S3</w:t>
      </w:r>
      <w:r>
        <w:rPr>
          <w:rFonts w:ascii="Times New Roman" w:hAnsi="Times New Roman" w:cs="Times New Roman"/>
          <w:sz w:val="24"/>
          <w:szCs w:val="24"/>
        </w:rPr>
        <w:t xml:space="preserve"> </w:t>
      </w:r>
      <w:r>
        <w:rPr>
          <w:rFonts w:ascii="Times New Roman" w:hAnsi="Times New Roman"/>
          <w:sz w:val="24"/>
          <w:szCs w:val="24"/>
        </w:rPr>
        <w:t>PCoA plots of samples based on other distance</w:t>
      </w:r>
      <w:r>
        <w:rPr>
          <w:rFonts w:ascii="Times New Roman" w:hAnsi="Times New Roman" w:hint="eastAsia"/>
          <w:sz w:val="24"/>
          <w:szCs w:val="24"/>
        </w:rPr>
        <w:t xml:space="preserve"> </w:t>
      </w:r>
      <w:r>
        <w:rPr>
          <w:rFonts w:ascii="Times New Roman" w:hAnsi="Times New Roman"/>
          <w:sz w:val="24"/>
          <w:szCs w:val="24"/>
        </w:rPr>
        <w:t>matrices</w:t>
      </w:r>
      <w:r>
        <w:rPr>
          <w:rFonts w:ascii="Times New Roman" w:hAnsi="Times New Roman" w:hint="eastAsia"/>
          <w:sz w:val="24"/>
          <w:szCs w:val="24"/>
        </w:rPr>
        <w:t>,</w:t>
      </w:r>
      <w:r>
        <w:rPr>
          <w:rFonts w:ascii="Times New Roman" w:hAnsi="Times New Roman"/>
          <w:sz w:val="24"/>
          <w:szCs w:val="24"/>
        </w:rPr>
        <w:t xml:space="preserve"> including Bray-Curtis and Weighted UniFrac. For each group, </w:t>
      </w:r>
      <w:r>
        <w:rPr>
          <w:rFonts w:ascii="Times New Roman" w:hAnsi="Times New Roman" w:hint="eastAsia"/>
          <w:sz w:val="24"/>
          <w:szCs w:val="24"/>
        </w:rPr>
        <w:t xml:space="preserve">a </w:t>
      </w:r>
      <w:r>
        <w:rPr>
          <w:rFonts w:ascii="Times New Roman" w:hAnsi="Times New Roman"/>
          <w:sz w:val="24"/>
          <w:szCs w:val="24"/>
        </w:rPr>
        <w:t xml:space="preserve">filled confidence ellipse was superimposed </w:t>
      </w:r>
      <w:r>
        <w:rPr>
          <w:rFonts w:ascii="Times New Roman" w:hAnsi="Times New Roman" w:hint="eastAsia"/>
          <w:sz w:val="24"/>
          <w:szCs w:val="24"/>
        </w:rPr>
        <w:t>over the data</w:t>
      </w:r>
      <w:r>
        <w:rPr>
          <w:rFonts w:ascii="Times New Roman" w:hAnsi="Times New Roman"/>
          <w:sz w:val="24"/>
          <w:szCs w:val="24"/>
        </w:rPr>
        <w:t>, and the added centroid (diamond) illustrat</w:t>
      </w:r>
      <w:r>
        <w:rPr>
          <w:rFonts w:ascii="Times New Roman" w:hAnsi="Times New Roman" w:hint="eastAsia"/>
          <w:sz w:val="24"/>
          <w:szCs w:val="24"/>
        </w:rPr>
        <w:t>ing</w:t>
      </w:r>
      <w:r>
        <w:rPr>
          <w:rFonts w:ascii="Times New Roman" w:hAnsi="Times New Roman"/>
          <w:sz w:val="24"/>
          <w:szCs w:val="24"/>
        </w:rPr>
        <w:t xml:space="preserve"> the mean distances between each pair of groups</w:t>
      </w:r>
      <w:r>
        <w:rPr>
          <w:rFonts w:ascii="Times New Roman" w:hAnsi="Times New Roman" w:hint="eastAsia"/>
          <w:sz w:val="24"/>
          <w:szCs w:val="24"/>
        </w:rPr>
        <w:t>.</w:t>
      </w:r>
      <w:r>
        <w:rPr>
          <w:rFonts w:ascii="Times New Roman" w:hAnsi="Times New Roman"/>
          <w:sz w:val="24"/>
          <w:szCs w:val="24"/>
        </w:rPr>
        <w:t xml:space="preserve"> With all indices measured, </w:t>
      </w:r>
      <w:r>
        <w:rPr>
          <w:rFonts w:ascii="Times New Roman" w:hAnsi="Times New Roman" w:cs="Times New Roman"/>
          <w:i/>
          <w:sz w:val="24"/>
          <w:szCs w:val="24"/>
        </w:rPr>
        <w:t>R</w:t>
      </w:r>
      <w:r>
        <w:rPr>
          <w:rFonts w:ascii="Times New Roman" w:hAnsi="Times New Roman" w:cs="Times New Roman"/>
          <w:i/>
          <w:sz w:val="24"/>
          <w:szCs w:val="24"/>
          <w:vertAlign w:val="superscript"/>
        </w:rPr>
        <w:t>2</w:t>
      </w:r>
      <w:r>
        <w:rPr>
          <w:rFonts w:ascii="Times New Roman" w:hAnsi="Times New Roman" w:cs="Times New Roman"/>
          <w:sz w:val="24"/>
          <w:szCs w:val="24"/>
        </w:rPr>
        <w:t xml:space="preserve"> and </w:t>
      </w:r>
      <w:r>
        <w:rPr>
          <w:rFonts w:ascii="Times New Roman" w:hAnsi="Times New Roman" w:cs="Times New Roman"/>
          <w:i/>
          <w:sz w:val="24"/>
          <w:szCs w:val="24"/>
        </w:rPr>
        <w:t>F</w:t>
      </w:r>
      <w:r>
        <w:rPr>
          <w:rFonts w:ascii="Times New Roman" w:hAnsi="Times New Roman" w:cs="Times New Roman"/>
          <w:sz w:val="24"/>
          <w:szCs w:val="24"/>
        </w:rPr>
        <w:t xml:space="preserve"> statistics of PERMANOVA on microbial dataset were compared.</w:t>
      </w:r>
      <w:r>
        <w:rPr>
          <w:rFonts w:ascii="Times New Roman" w:hAnsi="Times New Roman"/>
          <w:sz w:val="24"/>
          <w:szCs w:val="24"/>
        </w:rPr>
        <w:t xml:space="preserve"> Samples were partitioned into groups </w:t>
      </w:r>
      <w:r>
        <w:rPr>
          <w:rFonts w:ascii="Times New Roman" w:hAnsi="Times New Roman" w:hint="eastAsia"/>
          <w:sz w:val="24"/>
          <w:szCs w:val="24"/>
        </w:rPr>
        <w:t>using a</w:t>
      </w:r>
      <w:r>
        <w:rPr>
          <w:rFonts w:ascii="Times New Roman" w:hAnsi="Times New Roman"/>
          <w:sz w:val="24"/>
          <w:szCs w:val="24"/>
        </w:rPr>
        <w:t xml:space="preserve"> combination of soil type and sampling region.</w:t>
      </w:r>
    </w:p>
    <w:p w:rsidR="00C30FE1" w:rsidRDefault="00C30FE1">
      <w:pPr>
        <w:autoSpaceDE w:val="0"/>
        <w:autoSpaceDN w:val="0"/>
        <w:spacing w:after="0" w:line="360" w:lineRule="auto"/>
        <w:jc w:val="both"/>
        <w:rPr>
          <w:rFonts w:ascii="Times New Roman" w:hAnsi="Times New Roman"/>
          <w:sz w:val="24"/>
          <w:szCs w:val="24"/>
        </w:rPr>
      </w:pPr>
    </w:p>
    <w:p w:rsidR="00962338" w:rsidRDefault="00962338" w:rsidP="001C395B">
      <w:pPr>
        <w:autoSpaceDE w:val="0"/>
        <w:autoSpaceDN w:val="0"/>
        <w:spacing w:beforeLines="50" w:afterLines="50" w:line="480" w:lineRule="auto"/>
        <w:jc w:val="both"/>
        <w:rPr>
          <w:rFonts w:ascii="Times New Roman" w:hAnsi="Times New Roman"/>
          <w:sz w:val="24"/>
          <w:szCs w:val="24"/>
        </w:rPr>
        <w:sectPr w:rsidR="00962338">
          <w:pgSz w:w="16838" w:h="11906" w:orient="landscape"/>
          <w:pgMar w:top="1800" w:right="1440" w:bottom="1800" w:left="1440" w:header="851" w:footer="992" w:gutter="0"/>
          <w:cols w:space="425"/>
          <w:docGrid w:type="lines" w:linePitch="312"/>
        </w:sectPr>
      </w:pPr>
    </w:p>
    <w:p w:rsidR="00962338" w:rsidRDefault="00892765" w:rsidP="001C395B">
      <w:pPr>
        <w:autoSpaceDE w:val="0"/>
        <w:autoSpaceDN w:val="0"/>
        <w:spacing w:beforeLines="50" w:afterLines="50" w:line="360" w:lineRule="auto"/>
        <w:jc w:val="both"/>
        <w:rPr>
          <w:rFonts w:ascii="Times New Roman" w:hAnsi="Times New Roman" w:cs="Times New Roman"/>
          <w:bCs/>
          <w:sz w:val="24"/>
          <w:szCs w:val="24"/>
        </w:rPr>
      </w:pPr>
      <w:r>
        <w:rPr>
          <w:rFonts w:ascii="Times New Roman" w:hAnsi="Times New Roman" w:cs="Times New Roman"/>
          <w:bCs/>
          <w:noProof/>
          <w:sz w:val="24"/>
          <w:szCs w:val="24"/>
        </w:rPr>
        <w:lastRenderedPageBreak/>
        <w:drawing>
          <wp:anchor distT="0" distB="0" distL="114300" distR="114300" simplePos="0" relativeHeight="251663360" behindDoc="1" locked="0" layoutInCell="1" allowOverlap="1">
            <wp:simplePos x="0" y="0"/>
            <wp:positionH relativeFrom="column">
              <wp:posOffset>0</wp:posOffset>
            </wp:positionH>
            <wp:positionV relativeFrom="paragraph">
              <wp:posOffset>120650</wp:posOffset>
            </wp:positionV>
            <wp:extent cx="6995160" cy="5150485"/>
            <wp:effectExtent l="0" t="0" r="0" b="0"/>
            <wp:wrapTight wrapText="bothSides">
              <wp:wrapPolygon edited="0">
                <wp:start x="0" y="0"/>
                <wp:lineTo x="0" y="21491"/>
                <wp:lineTo x="21529" y="21491"/>
                <wp:lineTo x="21529"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995160" cy="5150485"/>
                    </a:xfrm>
                    <a:prstGeom prst="rect">
                      <a:avLst/>
                    </a:prstGeom>
                    <a:noFill/>
                    <a:ln>
                      <a:noFill/>
                    </a:ln>
                  </pic:spPr>
                </pic:pic>
              </a:graphicData>
            </a:graphic>
          </wp:anchor>
        </w:drawing>
      </w:r>
      <w:r>
        <w:rPr>
          <w:rFonts w:ascii="Times New Roman" w:hAnsi="Times New Roman" w:cs="Times New Roman" w:hint="eastAsia"/>
          <w:b/>
          <w:bCs/>
          <w:sz w:val="24"/>
          <w:szCs w:val="24"/>
        </w:rPr>
        <w:t>F</w:t>
      </w:r>
      <w:r>
        <w:rPr>
          <w:rFonts w:ascii="Times New Roman" w:hAnsi="Times New Roman" w:cs="Times New Roman"/>
          <w:b/>
          <w:bCs/>
          <w:sz w:val="24"/>
          <w:szCs w:val="24"/>
        </w:rPr>
        <w:t xml:space="preserve">igure S4 </w:t>
      </w:r>
      <w:r>
        <w:rPr>
          <w:rFonts w:ascii="Times New Roman" w:hAnsi="Times New Roman" w:cs="Times New Roman"/>
          <w:bCs/>
          <w:sz w:val="24"/>
          <w:szCs w:val="24"/>
        </w:rPr>
        <w:t>The extended information of Venn diagram illustrated in Figure 2A. For unique OTUs in each sampling region and the overlapped OTUs between regions, the relative abundance of OTUs and OTU occurrence frequency at both phylum (top 10%) and genus levels (top 20%) are shown.</w:t>
      </w:r>
    </w:p>
    <w:p w:rsidR="00C30FE1" w:rsidRDefault="00C30FE1" w:rsidP="001C395B">
      <w:pPr>
        <w:autoSpaceDE w:val="0"/>
        <w:autoSpaceDN w:val="0"/>
        <w:spacing w:beforeLines="50" w:afterLines="50" w:line="360" w:lineRule="auto"/>
        <w:jc w:val="both"/>
        <w:rPr>
          <w:rFonts w:ascii="Times New Roman" w:hAnsi="Times New Roman" w:cs="Times New Roman"/>
          <w:bCs/>
          <w:sz w:val="24"/>
          <w:szCs w:val="24"/>
        </w:rPr>
      </w:pPr>
    </w:p>
    <w:p w:rsidR="00962338" w:rsidRDefault="00892765" w:rsidP="001C395B">
      <w:pPr>
        <w:autoSpaceDE w:val="0"/>
        <w:autoSpaceDN w:val="0"/>
        <w:spacing w:beforeLines="50" w:afterLines="50" w:line="480" w:lineRule="auto"/>
        <w:jc w:val="both"/>
        <w:rPr>
          <w:rFonts w:ascii="Times New Roman" w:hAnsi="Times New Roman" w:cs="Times New Roman"/>
          <w:bCs/>
          <w:sz w:val="24"/>
          <w:szCs w:val="24"/>
        </w:rPr>
        <w:sectPr w:rsidR="00962338">
          <w:pgSz w:w="16838" w:h="11906" w:orient="landscape"/>
          <w:pgMar w:top="1800" w:right="1440" w:bottom="1800" w:left="1440" w:header="851" w:footer="992" w:gutter="0"/>
          <w:cols w:space="425"/>
          <w:docGrid w:type="lines" w:linePitch="312"/>
        </w:sectPr>
      </w:pPr>
      <w:r>
        <w:rPr>
          <w:rFonts w:ascii="Times New Roman" w:hAnsi="Times New Roman" w:cs="Times New Roman"/>
          <w:bCs/>
          <w:sz w:val="24"/>
          <w:szCs w:val="24"/>
        </w:rPr>
        <w:t xml:space="preserve"> </w:t>
      </w:r>
    </w:p>
    <w:p w:rsidR="00962338" w:rsidRDefault="00892765" w:rsidP="001C395B">
      <w:pPr>
        <w:autoSpaceDE w:val="0"/>
        <w:autoSpaceDN w:val="0"/>
        <w:spacing w:beforeLines="50" w:afterLines="50" w:line="480" w:lineRule="auto"/>
        <w:jc w:val="center"/>
        <w:rPr>
          <w:rFonts w:ascii="Times New Roman" w:hAnsi="Times New Roman"/>
          <w:sz w:val="21"/>
          <w:szCs w:val="21"/>
        </w:rPr>
      </w:pPr>
      <w:r>
        <w:rPr>
          <w:rFonts w:ascii="Times New Roman" w:hAnsi="Times New Roman"/>
          <w:noProof/>
          <w:sz w:val="21"/>
          <w:szCs w:val="21"/>
        </w:rPr>
        <w:lastRenderedPageBreak/>
        <w:drawing>
          <wp:inline distT="0" distB="0" distL="0" distR="0">
            <wp:extent cx="3903345" cy="3835400"/>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03345" cy="3835400"/>
                    </a:xfrm>
                    <a:prstGeom prst="rect">
                      <a:avLst/>
                    </a:prstGeom>
                    <a:noFill/>
                    <a:ln>
                      <a:noFill/>
                    </a:ln>
                  </pic:spPr>
                </pic:pic>
              </a:graphicData>
            </a:graphic>
          </wp:inline>
        </w:drawing>
      </w:r>
    </w:p>
    <w:p w:rsidR="00C30FE1" w:rsidRDefault="00892765" w:rsidP="001C395B">
      <w:pPr>
        <w:autoSpaceDE w:val="0"/>
        <w:autoSpaceDN w:val="0"/>
        <w:spacing w:beforeLines="50" w:afterLines="50" w:line="480" w:lineRule="auto"/>
        <w:jc w:val="both"/>
        <w:rPr>
          <w:rFonts w:ascii="Times New Roman" w:hAnsi="Times New Roman" w:cs="Times New Roman"/>
          <w:bCs/>
          <w:sz w:val="24"/>
          <w:szCs w:val="24"/>
        </w:rPr>
      </w:pPr>
      <w:r>
        <w:rPr>
          <w:rFonts w:ascii="Times New Roman" w:hAnsi="Times New Roman" w:hint="eastAsia"/>
          <w:b/>
          <w:bCs/>
          <w:sz w:val="24"/>
          <w:szCs w:val="24"/>
        </w:rPr>
        <w:t>F</w:t>
      </w:r>
      <w:r>
        <w:rPr>
          <w:rFonts w:ascii="Times New Roman" w:hAnsi="Times New Roman"/>
          <w:b/>
          <w:bCs/>
          <w:sz w:val="24"/>
          <w:szCs w:val="24"/>
        </w:rPr>
        <w:t>igure S5</w:t>
      </w:r>
      <w:r>
        <w:rPr>
          <w:rFonts w:ascii="Times New Roman" w:hAnsi="Times New Roman"/>
          <w:sz w:val="24"/>
          <w:szCs w:val="24"/>
        </w:rPr>
        <w:t xml:space="preserve"> </w:t>
      </w:r>
      <w:r>
        <w:rPr>
          <w:rFonts w:ascii="Times New Roman" w:hAnsi="Times New Roman" w:cs="Times New Roman"/>
          <w:bCs/>
          <w:sz w:val="24"/>
          <w:szCs w:val="24"/>
        </w:rPr>
        <w:t xml:space="preserve">Jitter plots of betaNTI distributions for paddy soils collected from four sampling regions. This analysis is a complement to the calculated stochasticity ratio shown in Figure 3, aiming to reveal the strong homogeneous selection (betaNTI &lt; </w:t>
      </w:r>
      <w:r>
        <w:rPr>
          <w:rFonts w:ascii="Times New Roman" w:hAnsi="Times New Roman" w:cs="Times New Roman" w:hint="eastAsia"/>
          <w:bCs/>
          <w:sz w:val="24"/>
          <w:szCs w:val="24"/>
        </w:rPr>
        <w:t>-</w:t>
      </w:r>
      <w:r>
        <w:rPr>
          <w:rFonts w:ascii="Times New Roman" w:hAnsi="Times New Roman" w:cs="Times New Roman"/>
          <w:bCs/>
          <w:sz w:val="24"/>
          <w:szCs w:val="24"/>
        </w:rPr>
        <w:t xml:space="preserve">2) </w:t>
      </w:r>
      <w:r>
        <w:rPr>
          <w:rFonts w:ascii="Times New Roman" w:hAnsi="Times New Roman" w:cs="Times New Roman" w:hint="eastAsia"/>
          <w:bCs/>
          <w:sz w:val="24"/>
          <w:szCs w:val="24"/>
        </w:rPr>
        <w:t>in</w:t>
      </w:r>
      <w:r>
        <w:rPr>
          <w:rFonts w:ascii="Times New Roman" w:hAnsi="Times New Roman" w:cs="Times New Roman"/>
          <w:bCs/>
          <w:sz w:val="24"/>
          <w:szCs w:val="24"/>
        </w:rPr>
        <w:t xml:space="preserve"> paddy samples</w:t>
      </w:r>
    </w:p>
    <w:p w:rsidR="00962338" w:rsidRDefault="00892765" w:rsidP="001C395B">
      <w:pPr>
        <w:autoSpaceDE w:val="0"/>
        <w:autoSpaceDN w:val="0"/>
        <w:spacing w:beforeLines="50" w:afterLines="50" w:line="480" w:lineRule="auto"/>
        <w:jc w:val="both"/>
        <w:rPr>
          <w:rFonts w:ascii="Times New Roman" w:hAnsi="Times New Roman" w:cs="Times New Roman"/>
          <w:bCs/>
          <w:sz w:val="24"/>
          <w:szCs w:val="24"/>
        </w:rPr>
        <w:sectPr w:rsidR="00962338">
          <w:pgSz w:w="11906" w:h="16838"/>
          <w:pgMar w:top="1440" w:right="1800" w:bottom="1440" w:left="1800" w:header="851" w:footer="992" w:gutter="0"/>
          <w:cols w:space="425"/>
          <w:docGrid w:type="lines" w:linePitch="312"/>
        </w:sectPr>
      </w:pPr>
      <w:r>
        <w:rPr>
          <w:rFonts w:ascii="Times New Roman" w:hAnsi="Times New Roman" w:cs="Times New Roman" w:hint="eastAsia"/>
          <w:bCs/>
          <w:sz w:val="24"/>
          <w:szCs w:val="24"/>
        </w:rPr>
        <w:t>.</w:t>
      </w:r>
    </w:p>
    <w:p w:rsidR="00962338" w:rsidRDefault="00892765" w:rsidP="001C395B">
      <w:pPr>
        <w:spacing w:beforeLines="100" w:afterLines="100"/>
        <w:jc w:val="center"/>
        <w:rPr>
          <w:rFonts w:ascii="Times New Roman" w:hAnsi="Times New Roman" w:cs="Times New Roman"/>
          <w:b/>
          <w:sz w:val="24"/>
          <w:szCs w:val="24"/>
        </w:rPr>
      </w:pPr>
      <w:r>
        <w:rPr>
          <w:rFonts w:ascii="Times New Roman" w:hAnsi="Times New Roman" w:cs="Times New Roman"/>
          <w:noProof/>
          <w:sz w:val="24"/>
          <w:szCs w:val="24"/>
        </w:rPr>
        <w:lastRenderedPageBreak/>
        <w:drawing>
          <wp:inline distT="0" distB="0" distL="0" distR="0">
            <wp:extent cx="4737100" cy="5588000"/>
            <wp:effectExtent l="0" t="0" r="6350" b="0"/>
            <wp:docPr id="17" name="图片 17"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S5"/>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37100" cy="5588000"/>
                    </a:xfrm>
                    <a:prstGeom prst="rect">
                      <a:avLst/>
                    </a:prstGeom>
                    <a:noFill/>
                    <a:ln>
                      <a:noFill/>
                    </a:ln>
                  </pic:spPr>
                </pic:pic>
              </a:graphicData>
            </a:graphic>
          </wp:inline>
        </w:drawing>
      </w:r>
    </w:p>
    <w:p w:rsidR="00962338" w:rsidRDefault="00892765" w:rsidP="001C395B">
      <w:pPr>
        <w:spacing w:beforeLines="100" w:afterLines="100" w:line="360" w:lineRule="auto"/>
        <w:jc w:val="both"/>
        <w:rPr>
          <w:rFonts w:ascii="Times New Roman" w:hAnsi="Times New Roman" w:cs="Times New Roman"/>
          <w:sz w:val="24"/>
          <w:szCs w:val="24"/>
        </w:rPr>
      </w:pPr>
      <w:r>
        <w:rPr>
          <w:rFonts w:ascii="Times New Roman" w:hAnsi="Times New Roman" w:cs="Times New Roman"/>
          <w:b/>
          <w:sz w:val="24"/>
          <w:szCs w:val="24"/>
        </w:rPr>
        <w:t>Fig</w:t>
      </w:r>
      <w:r>
        <w:rPr>
          <w:rFonts w:ascii="Times New Roman" w:hAnsi="Times New Roman" w:cs="Times New Roman" w:hint="eastAsia"/>
          <w:b/>
          <w:sz w:val="24"/>
          <w:szCs w:val="24"/>
        </w:rPr>
        <w:t>ure</w:t>
      </w:r>
      <w:r>
        <w:rPr>
          <w:rFonts w:ascii="Times New Roman" w:hAnsi="Times New Roman" w:cs="Times New Roman"/>
          <w:b/>
          <w:sz w:val="24"/>
          <w:szCs w:val="24"/>
        </w:rPr>
        <w:t xml:space="preserve"> S6 </w:t>
      </w:r>
      <w:r>
        <w:rPr>
          <w:rFonts w:ascii="Times New Roman" w:hAnsi="Times New Roman" w:cs="Times New Roman"/>
          <w:sz w:val="24"/>
          <w:szCs w:val="24"/>
        </w:rPr>
        <w:t>The distributions of the degree for co-occurrence network of paddy field soils (</w:t>
      </w:r>
      <w:r>
        <w:rPr>
          <w:rFonts w:ascii="Times New Roman" w:hAnsi="Times New Roman" w:cs="Times New Roman"/>
          <w:b/>
          <w:sz w:val="24"/>
          <w:szCs w:val="24"/>
        </w:rPr>
        <w:t>A</w:t>
      </w:r>
      <w:r>
        <w:rPr>
          <w:rFonts w:ascii="Times New Roman" w:hAnsi="Times New Roman" w:cs="Times New Roman"/>
          <w:sz w:val="24"/>
          <w:szCs w:val="24"/>
        </w:rPr>
        <w:t>) and the adjacent soils from other lands (</w:t>
      </w:r>
      <w:r>
        <w:rPr>
          <w:rFonts w:ascii="Times New Roman" w:hAnsi="Times New Roman" w:cs="Times New Roman"/>
          <w:b/>
          <w:sz w:val="24"/>
          <w:szCs w:val="24"/>
        </w:rPr>
        <w:t>B</w:t>
      </w:r>
      <w:r>
        <w:rPr>
          <w:rFonts w:ascii="Times New Roman" w:hAnsi="Times New Roman" w:cs="Times New Roman"/>
          <w:sz w:val="24"/>
          <w:szCs w:val="24"/>
        </w:rPr>
        <w:t>). For the ease of comparison, Erdos-Renyi random networks are also illustrated.</w:t>
      </w:r>
    </w:p>
    <w:p w:rsidR="00C30FE1" w:rsidRDefault="00C30FE1" w:rsidP="001C395B">
      <w:pPr>
        <w:spacing w:beforeLines="100" w:afterLines="100" w:line="360" w:lineRule="auto"/>
        <w:jc w:val="both"/>
        <w:rPr>
          <w:rFonts w:ascii="Times New Roman" w:hAnsi="Times New Roman" w:cs="Times New Roman"/>
          <w:sz w:val="24"/>
          <w:szCs w:val="24"/>
        </w:rPr>
      </w:pPr>
    </w:p>
    <w:p w:rsidR="00C30FE1" w:rsidRDefault="00C30FE1" w:rsidP="001C395B">
      <w:pPr>
        <w:spacing w:beforeLines="100" w:afterLines="100" w:line="360" w:lineRule="auto"/>
        <w:jc w:val="both"/>
        <w:rPr>
          <w:rFonts w:ascii="Times New Roman" w:hAnsi="Times New Roman" w:cs="Times New Roman"/>
          <w:sz w:val="24"/>
          <w:szCs w:val="24"/>
        </w:rPr>
        <w:sectPr w:rsidR="00C30FE1">
          <w:pgSz w:w="11906" w:h="16838"/>
          <w:pgMar w:top="1440" w:right="1800" w:bottom="1440" w:left="1800" w:header="851" w:footer="992" w:gutter="0"/>
          <w:cols w:space="425"/>
          <w:docGrid w:type="lines" w:linePitch="312"/>
        </w:sectPr>
      </w:pPr>
    </w:p>
    <w:p w:rsidR="00962338" w:rsidRDefault="00892765" w:rsidP="001C395B">
      <w:pPr>
        <w:spacing w:beforeLines="50" w:afterLines="100"/>
        <w:jc w:val="center"/>
        <w:rPr>
          <w:rFonts w:ascii="Times New Roman" w:hAnsi="Times New Roman" w:cs="Times New Roman"/>
          <w:b/>
          <w:sz w:val="24"/>
          <w:szCs w:val="24"/>
        </w:rPr>
      </w:pPr>
      <w:r>
        <w:rPr>
          <w:rFonts w:ascii="Times New Roman" w:hAnsi="Times New Roman"/>
          <w:noProof/>
          <w:sz w:val="24"/>
          <w:szCs w:val="24"/>
        </w:rPr>
        <w:lastRenderedPageBreak/>
        <w:drawing>
          <wp:inline distT="0" distB="0" distL="0" distR="0">
            <wp:extent cx="4638675" cy="4691803"/>
            <wp:effectExtent l="19050" t="19050" r="0" b="0"/>
            <wp:docPr id="20" name="图片 25" descr="K:\专题：研究生&amp;各位老师\李鸿毅\2018.10.24Science Advances\SA—fig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专题：研究生&amp;各位老师\李鸿毅\2018.10.24Science Advances\SA—fig4.tif"/>
                    <pic:cNvPicPr>
                      <a:picLocks noChangeAspect="1" noChangeArrowheads="1"/>
                    </pic:cNvPicPr>
                  </pic:nvPicPr>
                  <pic:blipFill>
                    <a:blip r:embed="rId14" cstate="print"/>
                    <a:srcRect/>
                    <a:stretch>
                      <a:fillRect/>
                    </a:stretch>
                  </pic:blipFill>
                  <pic:spPr bwMode="auto">
                    <a:xfrm>
                      <a:off x="0" y="0"/>
                      <a:ext cx="4653368" cy="4706664"/>
                    </a:xfrm>
                    <a:prstGeom prst="rect">
                      <a:avLst/>
                    </a:prstGeom>
                    <a:noFill/>
                    <a:ln w="9525">
                      <a:solidFill>
                        <a:schemeClr val="bg1"/>
                      </a:solidFill>
                      <a:miter lim="800000"/>
                      <a:headEnd/>
                      <a:tailEnd/>
                    </a:ln>
                  </pic:spPr>
                </pic:pic>
              </a:graphicData>
            </a:graphic>
          </wp:inline>
        </w:drawing>
      </w:r>
    </w:p>
    <w:p w:rsidR="00962338" w:rsidRDefault="00892765" w:rsidP="001C395B">
      <w:pPr>
        <w:spacing w:beforeLines="100" w:afterLines="100" w:line="360" w:lineRule="auto"/>
        <w:jc w:val="both"/>
        <w:rPr>
          <w:rFonts w:ascii="Times New Roman" w:hAnsi="Times New Roman" w:cs="Times New Roman"/>
          <w:sz w:val="24"/>
          <w:szCs w:val="24"/>
        </w:rPr>
      </w:pPr>
      <w:r>
        <w:rPr>
          <w:rFonts w:ascii="Times New Roman" w:hAnsi="Times New Roman" w:cs="Times New Roman" w:hint="eastAsia"/>
          <w:b/>
          <w:bCs/>
          <w:sz w:val="24"/>
          <w:szCs w:val="24"/>
        </w:rPr>
        <w:t>Figure</w:t>
      </w:r>
      <w:r>
        <w:rPr>
          <w:rFonts w:ascii="Times New Roman" w:hAnsi="Times New Roman" w:cs="Times New Roman"/>
          <w:b/>
          <w:bCs/>
          <w:sz w:val="24"/>
          <w:szCs w:val="24"/>
        </w:rPr>
        <w:t xml:space="preserve"> S7</w:t>
      </w:r>
      <w:r>
        <w:rPr>
          <w:rFonts w:ascii="Times New Roman" w:hAnsi="Times New Roman" w:cs="Times New Roman"/>
          <w:sz w:val="24"/>
          <w:szCs w:val="24"/>
        </w:rPr>
        <w:t xml:space="preserve"> Different taxonomic patterns (at the order level) within the co-occurrence networks of paddy soils and adjacent soils from the other lands. (</w:t>
      </w:r>
      <w:r>
        <w:rPr>
          <w:rFonts w:ascii="Times New Roman" w:hAnsi="Times New Roman" w:cs="Times New Roman"/>
          <w:b/>
          <w:bCs/>
          <w:sz w:val="24"/>
          <w:szCs w:val="24"/>
        </w:rPr>
        <w:t>A</w:t>
      </w:r>
      <w:r>
        <w:rPr>
          <w:rFonts w:ascii="Times New Roman" w:hAnsi="Times New Roman" w:cs="Times New Roman"/>
          <w:sz w:val="24"/>
          <w:szCs w:val="24"/>
        </w:rPr>
        <w:t xml:space="preserve">) Circos plots showing inter-relationships of the </w:t>
      </w:r>
      <w:r>
        <w:rPr>
          <w:rFonts w:ascii="Times New Roman" w:hAnsi="Times New Roman" w:cs="Times New Roman" w:hint="eastAsia"/>
          <w:sz w:val="24"/>
          <w:szCs w:val="24"/>
        </w:rPr>
        <w:t xml:space="preserve">taxonomic </w:t>
      </w:r>
      <w:r>
        <w:rPr>
          <w:rFonts w:ascii="Times New Roman" w:hAnsi="Times New Roman" w:cs="Times New Roman"/>
          <w:sz w:val="24"/>
          <w:szCs w:val="24"/>
        </w:rPr>
        <w:t>orders in paddy soils. (</w:t>
      </w:r>
      <w:r>
        <w:rPr>
          <w:rFonts w:ascii="Times New Roman" w:hAnsi="Times New Roman" w:cs="Times New Roman"/>
          <w:b/>
          <w:bCs/>
          <w:sz w:val="24"/>
          <w:szCs w:val="24"/>
        </w:rPr>
        <w:t>B</w:t>
      </w:r>
      <w:r>
        <w:rPr>
          <w:rFonts w:ascii="Times New Roman" w:hAnsi="Times New Roman" w:cs="Times New Roman"/>
          <w:sz w:val="24"/>
          <w:szCs w:val="24"/>
        </w:rPr>
        <w:t xml:space="preserve">) Circos plots showing inter-relationships of the orders in non-paddy soils. In each circle, the different colors of segments and arcs indicate </w:t>
      </w:r>
      <w:r>
        <w:rPr>
          <w:rFonts w:ascii="Times New Roman" w:hAnsi="Times New Roman" w:cs="Times New Roman" w:hint="eastAsia"/>
          <w:sz w:val="24"/>
          <w:szCs w:val="24"/>
        </w:rPr>
        <w:t xml:space="preserve">the </w:t>
      </w:r>
      <w:r>
        <w:rPr>
          <w:rFonts w:ascii="Times New Roman" w:hAnsi="Times New Roman" w:cs="Times New Roman"/>
          <w:sz w:val="24"/>
          <w:szCs w:val="24"/>
        </w:rPr>
        <w:t xml:space="preserve">top 39 orders, and the ribbons connecting two segments indicate copresence (left panel) and exclusion (right panel) links. For all subplots, </w:t>
      </w:r>
      <w:r>
        <w:rPr>
          <w:rFonts w:ascii="Times New Roman" w:hAnsi="Times New Roman" w:cs="Times New Roman" w:hint="eastAsia"/>
          <w:sz w:val="24"/>
          <w:szCs w:val="24"/>
        </w:rPr>
        <w:t xml:space="preserve">the </w:t>
      </w:r>
      <w:r>
        <w:rPr>
          <w:rFonts w:ascii="Times New Roman" w:hAnsi="Times New Roman" w:cs="Times New Roman"/>
          <w:sz w:val="24"/>
          <w:szCs w:val="24"/>
        </w:rPr>
        <w:t xml:space="preserve">size of the segment is proportional to the relative abundance of the order normalized by averaging the values of each region for each soil type. </w:t>
      </w:r>
      <w:r>
        <w:rPr>
          <w:rFonts w:ascii="Times New Roman" w:hAnsi="Times New Roman" w:cs="Times New Roman" w:hint="eastAsia"/>
          <w:sz w:val="24"/>
          <w:szCs w:val="24"/>
        </w:rPr>
        <w:t>The s</w:t>
      </w:r>
      <w:r>
        <w:rPr>
          <w:rFonts w:ascii="Times New Roman" w:hAnsi="Times New Roman" w:cs="Times New Roman"/>
          <w:sz w:val="24"/>
          <w:szCs w:val="24"/>
        </w:rPr>
        <w:t xml:space="preserve">ize of the arcs is proportional to OTU numbers </w:t>
      </w:r>
      <w:r>
        <w:rPr>
          <w:rFonts w:ascii="Times New Roman" w:hAnsi="Times New Roman" w:cs="Times New Roman" w:hint="eastAsia"/>
          <w:sz w:val="24"/>
          <w:szCs w:val="24"/>
        </w:rPr>
        <w:t>for</w:t>
      </w:r>
      <w:r>
        <w:rPr>
          <w:rFonts w:ascii="Times New Roman" w:hAnsi="Times New Roman" w:cs="Times New Roman"/>
          <w:sz w:val="24"/>
          <w:szCs w:val="24"/>
        </w:rPr>
        <w:t xml:space="preserve"> each order.</w:t>
      </w:r>
      <w:r>
        <w:rPr>
          <w:rFonts w:ascii="Times New Roman" w:hAnsi="Times New Roman" w:cs="Times New Roman" w:hint="eastAsia"/>
          <w:sz w:val="24"/>
          <w:szCs w:val="24"/>
        </w:rPr>
        <w:t xml:space="preserve"> The</w:t>
      </w:r>
      <w:r>
        <w:rPr>
          <w:rFonts w:ascii="Times New Roman" w:hAnsi="Times New Roman" w:cs="Times New Roman"/>
          <w:sz w:val="24"/>
          <w:szCs w:val="24"/>
        </w:rPr>
        <w:t xml:space="preserve"> </w:t>
      </w:r>
      <w:r>
        <w:rPr>
          <w:rFonts w:ascii="Times New Roman" w:hAnsi="Times New Roman" w:cs="Times New Roman" w:hint="eastAsia"/>
          <w:sz w:val="24"/>
          <w:szCs w:val="24"/>
        </w:rPr>
        <w:t>s</w:t>
      </w:r>
      <w:r>
        <w:rPr>
          <w:rFonts w:ascii="Times New Roman" w:hAnsi="Times New Roman" w:cs="Times New Roman"/>
          <w:sz w:val="24"/>
          <w:szCs w:val="24"/>
        </w:rPr>
        <w:t xml:space="preserve">ize of the ribbon is proportional to the number of links (copresence and exclusion), and the color is </w:t>
      </w:r>
      <w:r>
        <w:rPr>
          <w:rFonts w:ascii="Times New Roman" w:hAnsi="Times New Roman" w:cs="Times New Roman" w:hint="eastAsia"/>
          <w:sz w:val="24"/>
          <w:szCs w:val="24"/>
        </w:rPr>
        <w:t xml:space="preserve">the </w:t>
      </w:r>
      <w:r>
        <w:rPr>
          <w:rFonts w:ascii="Times New Roman" w:hAnsi="Times New Roman" w:cs="Times New Roman"/>
          <w:sz w:val="24"/>
          <w:szCs w:val="24"/>
        </w:rPr>
        <w:t xml:space="preserve">same </w:t>
      </w:r>
      <w:r>
        <w:rPr>
          <w:rFonts w:ascii="Times New Roman" w:hAnsi="Times New Roman" w:cs="Times New Roman" w:hint="eastAsia"/>
          <w:sz w:val="24"/>
          <w:szCs w:val="24"/>
        </w:rPr>
        <w:t xml:space="preserve">as </w:t>
      </w:r>
      <w:r>
        <w:rPr>
          <w:rFonts w:ascii="Times New Roman" w:hAnsi="Times New Roman" w:cs="Times New Roman"/>
          <w:sz w:val="24"/>
          <w:szCs w:val="24"/>
        </w:rPr>
        <w:t>to the segment with more total links (with color opacity of 0.8).</w:t>
      </w:r>
    </w:p>
    <w:p w:rsidR="00962338" w:rsidRDefault="00962338" w:rsidP="001C395B">
      <w:pPr>
        <w:spacing w:beforeLines="100" w:afterLines="100" w:line="360" w:lineRule="auto"/>
        <w:jc w:val="both"/>
        <w:rPr>
          <w:rFonts w:ascii="Times New Roman" w:hAnsi="Times New Roman" w:cs="Times New Roman"/>
          <w:sz w:val="24"/>
          <w:szCs w:val="24"/>
        </w:rPr>
      </w:pPr>
    </w:p>
    <w:p w:rsidR="00962338" w:rsidRDefault="00962338" w:rsidP="001C395B">
      <w:pPr>
        <w:spacing w:beforeLines="100" w:afterLines="100" w:line="360" w:lineRule="auto"/>
        <w:jc w:val="both"/>
        <w:rPr>
          <w:rFonts w:ascii="Times New Roman" w:hAnsi="Times New Roman" w:cs="Times New Roman"/>
          <w:sz w:val="24"/>
          <w:szCs w:val="24"/>
        </w:rPr>
        <w:sectPr w:rsidR="00962338">
          <w:pgSz w:w="11906" w:h="16838"/>
          <w:pgMar w:top="1440" w:right="1800" w:bottom="1440" w:left="1800" w:header="851" w:footer="992" w:gutter="0"/>
          <w:cols w:space="425"/>
          <w:docGrid w:type="lines" w:linePitch="312"/>
        </w:sectPr>
      </w:pPr>
    </w:p>
    <w:p w:rsidR="00962338" w:rsidRDefault="00892765" w:rsidP="001C395B">
      <w:pPr>
        <w:spacing w:beforeLines="100" w:afterLines="100"/>
        <w:jc w:val="center"/>
        <w:rPr>
          <w:rFonts w:ascii="Times New Roman" w:hAnsi="Times New Roman" w:cs="Times New Roman"/>
          <w:b/>
          <w:sz w:val="24"/>
          <w:szCs w:val="24"/>
        </w:rPr>
      </w:pPr>
      <w:r>
        <w:rPr>
          <w:rFonts w:ascii="Times New Roman" w:hAnsi="Times New Roman" w:cs="Times New Roman"/>
          <w:noProof/>
          <w:sz w:val="24"/>
          <w:szCs w:val="24"/>
        </w:rPr>
        <w:lastRenderedPageBreak/>
        <w:drawing>
          <wp:inline distT="0" distB="0" distL="0" distR="0">
            <wp:extent cx="3924300" cy="4102100"/>
            <wp:effectExtent l="0" t="0" r="0" b="0"/>
            <wp:docPr id="16" name="图片 16" descr="fig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S6"/>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474" r="3943" b="4469"/>
                    <a:stretch>
                      <a:fillRect/>
                    </a:stretch>
                  </pic:blipFill>
                  <pic:spPr bwMode="auto">
                    <a:xfrm>
                      <a:off x="0" y="0"/>
                      <a:ext cx="3924300" cy="4102100"/>
                    </a:xfrm>
                    <a:prstGeom prst="rect">
                      <a:avLst/>
                    </a:prstGeom>
                    <a:noFill/>
                    <a:ln>
                      <a:noFill/>
                    </a:ln>
                  </pic:spPr>
                </pic:pic>
              </a:graphicData>
            </a:graphic>
          </wp:inline>
        </w:drawing>
      </w:r>
    </w:p>
    <w:p w:rsidR="00962338" w:rsidRDefault="00892765" w:rsidP="001C395B">
      <w:pPr>
        <w:spacing w:beforeLines="100" w:afterLines="100" w:line="360" w:lineRule="auto"/>
        <w:jc w:val="both"/>
        <w:rPr>
          <w:rFonts w:ascii="Times New Roman" w:eastAsia="Whitney-Semibold" w:hAnsi="Times New Roman" w:cs="Times New Roman"/>
          <w:iCs/>
          <w:sz w:val="24"/>
          <w:szCs w:val="24"/>
        </w:rPr>
      </w:pPr>
      <w:r>
        <w:rPr>
          <w:rFonts w:ascii="Times New Roman" w:hAnsi="Times New Roman" w:cs="Times New Roman"/>
          <w:b/>
          <w:sz w:val="24"/>
          <w:szCs w:val="24"/>
        </w:rPr>
        <w:t>Fig</w:t>
      </w:r>
      <w:r>
        <w:rPr>
          <w:rFonts w:ascii="Times New Roman" w:hAnsi="Times New Roman" w:cs="Times New Roman" w:hint="eastAsia"/>
          <w:b/>
          <w:sz w:val="24"/>
          <w:szCs w:val="24"/>
        </w:rPr>
        <w:t>ure</w:t>
      </w:r>
      <w:r>
        <w:rPr>
          <w:rFonts w:ascii="Times New Roman" w:hAnsi="Times New Roman" w:cs="Times New Roman"/>
          <w:b/>
          <w:sz w:val="24"/>
          <w:szCs w:val="24"/>
        </w:rPr>
        <w:t xml:space="preserve"> S8 </w:t>
      </w:r>
      <w:r>
        <w:rPr>
          <w:rFonts w:ascii="Times New Roman" w:hAnsi="Times New Roman" w:cs="Times New Roman"/>
          <w:sz w:val="24"/>
          <w:szCs w:val="24"/>
        </w:rPr>
        <w:t xml:space="preserve">Co-occurrence network of the non-paddy soils. </w:t>
      </w:r>
      <w:r>
        <w:rPr>
          <w:rFonts w:ascii="Times New Roman" w:eastAsia="Whitney-Semibold" w:hAnsi="Times New Roman" w:cs="Times New Roman"/>
          <w:iCs/>
          <w:sz w:val="24"/>
          <w:szCs w:val="24"/>
        </w:rPr>
        <w:t xml:space="preserve">The nodes in network represent OTUs, which </w:t>
      </w:r>
      <w:r>
        <w:rPr>
          <w:rFonts w:ascii="Times New Roman" w:hAnsi="Times New Roman" w:cs="Times New Roman"/>
          <w:sz w:val="24"/>
          <w:szCs w:val="24"/>
        </w:rPr>
        <w:t>are colored according to the top 5 modularity classes (ranked by node numbers</w:t>
      </w:r>
      <w:r>
        <w:rPr>
          <w:rFonts w:ascii="Times New Roman" w:hAnsi="Times New Roman" w:cs="Times New Roman" w:hint="eastAsia"/>
          <w:sz w:val="24"/>
          <w:szCs w:val="24"/>
        </w:rPr>
        <w:t>,</w:t>
      </w:r>
      <w:r>
        <w:rPr>
          <w:rFonts w:ascii="Times New Roman" w:hAnsi="Times New Roman" w:cs="Times New Roman"/>
          <w:sz w:val="24"/>
          <w:szCs w:val="24"/>
        </w:rPr>
        <w:t xml:space="preserve"> and the top 3 of them are labeled). </w:t>
      </w:r>
      <w:r>
        <w:rPr>
          <w:rFonts w:ascii="Times New Roman" w:eastAsia="Whitney-Semibold" w:hAnsi="Times New Roman" w:cs="Times New Roman" w:hint="eastAsia"/>
          <w:iCs/>
          <w:sz w:val="24"/>
          <w:szCs w:val="24"/>
        </w:rPr>
        <w:t>The s</w:t>
      </w:r>
      <w:r>
        <w:rPr>
          <w:rFonts w:ascii="Times New Roman" w:eastAsia="Whitney-Semibold" w:hAnsi="Times New Roman" w:cs="Times New Roman"/>
          <w:iCs/>
          <w:sz w:val="24"/>
          <w:szCs w:val="24"/>
        </w:rPr>
        <w:t>ize of the node is proportional to the base-10 logarithm of the OTU abundance</w:t>
      </w:r>
      <w:r>
        <w:rPr>
          <w:rFonts w:ascii="Times New Roman" w:eastAsia="Whitney-Semibold" w:hAnsi="Times New Roman" w:cs="Times New Roman" w:hint="eastAsia"/>
          <w:iCs/>
          <w:sz w:val="24"/>
          <w:szCs w:val="24"/>
        </w:rPr>
        <w:t>,</w:t>
      </w:r>
      <w:r>
        <w:rPr>
          <w:rFonts w:ascii="Times New Roman" w:eastAsia="Whitney-Semibold" w:hAnsi="Times New Roman" w:cs="Times New Roman"/>
          <w:iCs/>
          <w:sz w:val="24"/>
          <w:szCs w:val="24"/>
        </w:rPr>
        <w:t xml:space="preserve"> normalized by averaging the values of each region. </w:t>
      </w:r>
      <w:r>
        <w:rPr>
          <w:rFonts w:ascii="Times New Roman" w:eastAsia="Whitney-Semibold" w:hAnsi="Times New Roman" w:cs="Times New Roman" w:hint="eastAsia"/>
          <w:iCs/>
          <w:sz w:val="24"/>
          <w:szCs w:val="24"/>
        </w:rPr>
        <w:t>A</w:t>
      </w:r>
      <w:r>
        <w:rPr>
          <w:rFonts w:ascii="Times New Roman" w:eastAsia="Whitney-Semibold" w:hAnsi="Times New Roman" w:cs="Times New Roman"/>
          <w:iCs/>
          <w:sz w:val="24"/>
          <w:szCs w:val="24"/>
        </w:rPr>
        <w:t xml:space="preserve"> connection </w:t>
      </w:r>
      <w:r>
        <w:rPr>
          <w:rFonts w:ascii="Times New Roman" w:eastAsia="Whitney-Semibold" w:hAnsi="Times New Roman" w:cs="Times New Roman" w:hint="eastAsia"/>
          <w:iCs/>
          <w:sz w:val="24"/>
          <w:szCs w:val="24"/>
        </w:rPr>
        <w:t>between</w:t>
      </w:r>
      <w:r>
        <w:rPr>
          <w:rFonts w:ascii="Times New Roman" w:eastAsia="Whitney-Semibold" w:hAnsi="Times New Roman" w:cs="Times New Roman"/>
          <w:iCs/>
          <w:sz w:val="24"/>
          <w:szCs w:val="24"/>
        </w:rPr>
        <w:t xml:space="preserve"> two nodes </w:t>
      </w:r>
      <w:r>
        <w:rPr>
          <w:rFonts w:ascii="Times New Roman" w:eastAsia="Whitney-Semibold" w:hAnsi="Times New Roman" w:cs="Times New Roman" w:hint="eastAsia"/>
          <w:iCs/>
          <w:sz w:val="24"/>
          <w:szCs w:val="24"/>
        </w:rPr>
        <w:t>represents</w:t>
      </w:r>
      <w:r>
        <w:rPr>
          <w:rFonts w:ascii="Times New Roman" w:eastAsia="Whitney-Semibold" w:hAnsi="Times New Roman" w:cs="Times New Roman"/>
          <w:iCs/>
          <w:sz w:val="24"/>
          <w:szCs w:val="24"/>
        </w:rPr>
        <w:t xml:space="preserve"> that there is a strong and significant (</w:t>
      </w:r>
      <w:r>
        <w:rPr>
          <w:rFonts w:ascii="Times New Roman" w:eastAsia="Whitney-Semibold" w:hAnsi="Times New Roman" w:cs="Times New Roman"/>
          <w:i/>
          <w:sz w:val="24"/>
          <w:szCs w:val="24"/>
        </w:rPr>
        <w:t>P</w:t>
      </w:r>
      <w:r>
        <w:rPr>
          <w:rFonts w:ascii="Times New Roman" w:eastAsia="Whitney-Semibold" w:hAnsi="Times New Roman" w:cs="Times New Roman"/>
          <w:iCs/>
          <w:sz w:val="24"/>
          <w:szCs w:val="24"/>
        </w:rPr>
        <w:t xml:space="preserve"> &lt; 0.001) correlation between each OTU pair. The edge color indicates significantly positive (grey) or negative (green) correlations.</w:t>
      </w:r>
    </w:p>
    <w:p w:rsidR="00C30FE1" w:rsidRDefault="00C30FE1" w:rsidP="001C395B">
      <w:pPr>
        <w:spacing w:beforeLines="100" w:afterLines="100" w:line="360" w:lineRule="auto"/>
        <w:jc w:val="both"/>
        <w:rPr>
          <w:rFonts w:ascii="Times New Roman" w:hAnsi="Times New Roman" w:cs="Times New Roman"/>
          <w:sz w:val="24"/>
          <w:szCs w:val="24"/>
        </w:rPr>
      </w:pPr>
    </w:p>
    <w:p w:rsidR="00962338" w:rsidRDefault="00962338" w:rsidP="001C395B">
      <w:pPr>
        <w:spacing w:beforeLines="100" w:afterLines="100"/>
        <w:rPr>
          <w:rFonts w:ascii="Times New Roman" w:hAnsi="Times New Roman" w:cs="Times New Roman"/>
          <w:b/>
          <w:sz w:val="24"/>
          <w:szCs w:val="24"/>
        </w:rPr>
        <w:sectPr w:rsidR="00962338">
          <w:pgSz w:w="11906" w:h="16838"/>
          <w:pgMar w:top="1440" w:right="1800" w:bottom="1440" w:left="1800" w:header="851" w:footer="992" w:gutter="0"/>
          <w:cols w:space="425"/>
          <w:docGrid w:type="lines" w:linePitch="312"/>
        </w:sectPr>
      </w:pPr>
    </w:p>
    <w:p w:rsidR="00962338" w:rsidRDefault="00892765" w:rsidP="001C395B">
      <w:pPr>
        <w:spacing w:beforeLines="100" w:afterLines="10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1312" behindDoc="0" locked="0" layoutInCell="1" allowOverlap="1">
            <wp:simplePos x="0" y="0"/>
            <wp:positionH relativeFrom="column">
              <wp:posOffset>-15240</wp:posOffset>
            </wp:positionH>
            <wp:positionV relativeFrom="paragraph">
              <wp:posOffset>106680</wp:posOffset>
            </wp:positionV>
            <wp:extent cx="6598920" cy="3506470"/>
            <wp:effectExtent l="0" t="0" r="0" b="0"/>
            <wp:wrapSquare wrapText="bothSides"/>
            <wp:docPr id="14" name="图片 14" descr="fi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S7"/>
                    <pic:cNvPicPr>
                      <a:picLocks noChangeAspect="1" noChangeArrowheads="1"/>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598920" cy="3506470"/>
                    </a:xfrm>
                    <a:prstGeom prst="rect">
                      <a:avLst/>
                    </a:prstGeom>
                    <a:noFill/>
                    <a:ln>
                      <a:noFill/>
                    </a:ln>
                  </pic:spPr>
                </pic:pic>
              </a:graphicData>
            </a:graphic>
          </wp:anchor>
        </w:drawing>
      </w:r>
      <w:r>
        <w:rPr>
          <w:rFonts w:ascii="Times New Roman" w:hAnsi="Times New Roman" w:cs="Times New Roman"/>
          <w:b/>
          <w:sz w:val="24"/>
          <w:szCs w:val="24"/>
        </w:rPr>
        <w:t>Fig</w:t>
      </w:r>
      <w:r>
        <w:rPr>
          <w:rFonts w:ascii="Times New Roman" w:hAnsi="Times New Roman" w:cs="Times New Roman" w:hint="eastAsia"/>
          <w:b/>
          <w:sz w:val="24"/>
          <w:szCs w:val="24"/>
        </w:rPr>
        <w:t>ure</w:t>
      </w:r>
      <w:r>
        <w:rPr>
          <w:rFonts w:ascii="Times New Roman" w:hAnsi="Times New Roman" w:cs="Times New Roman"/>
          <w:b/>
          <w:sz w:val="24"/>
          <w:szCs w:val="24"/>
        </w:rPr>
        <w:t xml:space="preserve"> S9 </w:t>
      </w:r>
      <w:r>
        <w:rPr>
          <w:rFonts w:ascii="Times New Roman" w:hAnsi="Times New Roman" w:cs="Times New Roman"/>
          <w:sz w:val="24"/>
          <w:szCs w:val="24"/>
        </w:rPr>
        <w:t>Co-occurrence network of microbial community in paddy soils (</w:t>
      </w:r>
      <w:r>
        <w:rPr>
          <w:rFonts w:ascii="Times New Roman" w:hAnsi="Times New Roman" w:cs="Times New Roman"/>
          <w:b/>
          <w:sz w:val="24"/>
          <w:szCs w:val="24"/>
        </w:rPr>
        <w:t>A</w:t>
      </w:r>
      <w:r>
        <w:rPr>
          <w:rFonts w:ascii="Times New Roman" w:hAnsi="Times New Roman" w:cs="Times New Roman"/>
          <w:sz w:val="24"/>
          <w:szCs w:val="24"/>
        </w:rPr>
        <w:t>) and the non-paddy soils (</w:t>
      </w:r>
      <w:r>
        <w:rPr>
          <w:rFonts w:ascii="Times New Roman" w:hAnsi="Times New Roman" w:cs="Times New Roman"/>
          <w:b/>
          <w:sz w:val="24"/>
          <w:szCs w:val="24"/>
        </w:rPr>
        <w:t>B</w:t>
      </w:r>
      <w:r>
        <w:rPr>
          <w:rFonts w:ascii="Times New Roman" w:hAnsi="Times New Roman" w:cs="Times New Roman"/>
          <w:sz w:val="24"/>
          <w:szCs w:val="24"/>
        </w:rPr>
        <w:t>). Each node is colored according to each of four regions where it has the highest relative abundance. The deeper in darkness, the higher in abundance ratio (from 0.25 to 1.00). The abundance ratio here is the ratio of node abundance in a specific region to that in all regions. Edge color is the mix of the colors of the nodes it connects.</w:t>
      </w:r>
    </w:p>
    <w:p w:rsidR="00C30FE1" w:rsidRDefault="00C30FE1" w:rsidP="001C395B">
      <w:pPr>
        <w:spacing w:beforeLines="100" w:afterLines="100" w:line="360" w:lineRule="auto"/>
        <w:jc w:val="both"/>
        <w:rPr>
          <w:rFonts w:ascii="Times New Roman" w:hAnsi="Times New Roman" w:cs="Times New Roman"/>
          <w:sz w:val="24"/>
          <w:szCs w:val="24"/>
        </w:rPr>
      </w:pPr>
    </w:p>
    <w:p w:rsidR="00C30FE1" w:rsidRDefault="00C30FE1" w:rsidP="001C395B">
      <w:pPr>
        <w:spacing w:beforeLines="100" w:afterLines="100" w:line="360" w:lineRule="auto"/>
        <w:jc w:val="both"/>
        <w:rPr>
          <w:rFonts w:ascii="Times New Roman" w:hAnsi="Times New Roman" w:cs="Times New Roman"/>
          <w:sz w:val="24"/>
          <w:szCs w:val="24"/>
        </w:rPr>
        <w:sectPr w:rsidR="00C30FE1">
          <w:pgSz w:w="16838" w:h="11906" w:orient="landscape"/>
          <w:pgMar w:top="1800" w:right="1440" w:bottom="1800" w:left="1440" w:header="851" w:footer="992" w:gutter="0"/>
          <w:cols w:space="425"/>
          <w:docGrid w:type="lines" w:linePitch="312"/>
        </w:sectPr>
      </w:pPr>
    </w:p>
    <w:p w:rsidR="00962338" w:rsidRDefault="00892765" w:rsidP="001C395B">
      <w:pPr>
        <w:widowControl w:val="0"/>
        <w:autoSpaceDE w:val="0"/>
        <w:autoSpaceDN w:val="0"/>
        <w:snapToGrid/>
        <w:spacing w:beforeLines="50" w:afterLines="50" w:line="360" w:lineRule="auto"/>
        <w:jc w:val="both"/>
        <w:rPr>
          <w:rFonts w:ascii="Times New Roman" w:eastAsia="等线" w:hAnsi="Times New Roman" w:cs="Times New Roman"/>
          <w:sz w:val="24"/>
          <w:szCs w:val="24"/>
        </w:rPr>
      </w:pPr>
      <w:r>
        <w:rPr>
          <w:rFonts w:ascii="Times New Roman" w:hAnsi="Times New Roman" w:cs="Times New Roman"/>
          <w:b/>
          <w:noProof/>
          <w:sz w:val="24"/>
          <w:szCs w:val="24"/>
        </w:rPr>
        <w:lastRenderedPageBreak/>
        <w:t xml:space="preserve">Table S1 </w:t>
      </w:r>
      <w:r>
        <w:rPr>
          <w:rFonts w:ascii="Times New Roman" w:hAnsi="Times New Roman" w:cs="Times New Roman"/>
          <w:bCs/>
          <w:noProof/>
          <w:sz w:val="24"/>
          <w:szCs w:val="24"/>
        </w:rPr>
        <w:t>Two indices (</w:t>
      </w:r>
      <w:r>
        <w:rPr>
          <w:rFonts w:ascii="Times New Roman" w:eastAsia="等线" w:hAnsi="Times New Roman" w:cs="Times New Roman"/>
          <w:bCs/>
          <w:sz w:val="24"/>
          <w:szCs w:val="24"/>
        </w:rPr>
        <w:t>betaNTI</w:t>
      </w:r>
      <w:r>
        <w:rPr>
          <w:rFonts w:ascii="Times New Roman" w:eastAsia="MyriadPro-Regular" w:hAnsi="Times New Roman" w:cs="Times New Roman"/>
          <w:bCs/>
          <w:sz w:val="24"/>
          <w:szCs w:val="24"/>
        </w:rPr>
        <w:t xml:space="preserve"> and </w:t>
      </w:r>
      <w:r>
        <w:rPr>
          <w:rFonts w:ascii="Times New Roman" w:eastAsia="等线" w:hAnsi="Times New Roman" w:cs="Times New Roman"/>
          <w:bCs/>
          <w:sz w:val="24"/>
          <w:szCs w:val="24"/>
        </w:rPr>
        <w:t>RC.bray</w:t>
      </w:r>
      <w:r>
        <w:rPr>
          <w:rFonts w:ascii="Times New Roman" w:eastAsia="MyriadPro-Regular" w:hAnsi="Times New Roman" w:cs="Times New Roman"/>
          <w:bCs/>
          <w:sz w:val="24"/>
          <w:szCs w:val="24"/>
        </w:rPr>
        <w:t xml:space="preserve">) determined for </w:t>
      </w:r>
      <w:r>
        <w:rPr>
          <w:rFonts w:ascii="Times New Roman" w:eastAsia="MyriadPro-Regular" w:hAnsi="Times New Roman" w:cs="Times New Roman"/>
          <w:sz w:val="24"/>
          <w:szCs w:val="24"/>
        </w:rPr>
        <w:t>paddy samples. The relative mean contribution (%) of each scenario to the overall bacterial community assembly is shown. The betaNTI (</w:t>
      </w:r>
      <w:r>
        <w:rPr>
          <w:rFonts w:ascii="Times New Roman" w:hAnsi="Times New Roman" w:cs="Times New Roman"/>
          <w:sz w:val="24"/>
          <w:szCs w:val="24"/>
        </w:rPr>
        <w:t xml:space="preserve">beta </w:t>
      </w:r>
      <w:r>
        <w:rPr>
          <w:rFonts w:ascii="Times New Roman" w:eastAsia="MyriadPro-Regular" w:hAnsi="Times New Roman" w:cs="Times New Roman"/>
          <w:sz w:val="24"/>
          <w:szCs w:val="24"/>
        </w:rPr>
        <w:t xml:space="preserve">nearest-taxon index) is based on a null model test of the phylogenetic diversity index </w:t>
      </w:r>
      <w:r>
        <w:rPr>
          <w:rFonts w:ascii="Times New Roman" w:hAnsi="Times New Roman" w:cs="Times New Roman"/>
          <w:sz w:val="24"/>
          <w:szCs w:val="24"/>
        </w:rPr>
        <w:t>beta</w:t>
      </w:r>
      <w:r>
        <w:rPr>
          <w:rFonts w:ascii="Times New Roman" w:eastAsia="MyriadPro-Regular" w:hAnsi="Times New Roman" w:cs="Times New Roman"/>
          <w:sz w:val="24"/>
          <w:szCs w:val="24"/>
        </w:rPr>
        <w:t>MNTD (</w:t>
      </w:r>
      <w:r>
        <w:rPr>
          <w:rFonts w:ascii="Times New Roman" w:hAnsi="Times New Roman" w:cs="Times New Roman"/>
          <w:sz w:val="24"/>
          <w:szCs w:val="24"/>
        </w:rPr>
        <w:t xml:space="preserve">beta </w:t>
      </w:r>
      <w:r>
        <w:rPr>
          <w:rFonts w:ascii="Times New Roman" w:eastAsia="MyriadPro-Regular" w:hAnsi="Times New Roman" w:cs="Times New Roman"/>
          <w:sz w:val="24"/>
          <w:szCs w:val="24"/>
        </w:rPr>
        <w:t xml:space="preserve">mean nearest-taxon distance), and </w:t>
      </w:r>
      <w:r>
        <w:rPr>
          <w:rFonts w:ascii="Times New Roman" w:eastAsia="等线" w:hAnsi="Times New Roman" w:cs="Times New Roman"/>
          <w:sz w:val="24"/>
          <w:szCs w:val="24"/>
        </w:rPr>
        <w:t>RC.bray</w:t>
      </w:r>
      <w:r>
        <w:rPr>
          <w:rFonts w:ascii="Times New Roman" w:eastAsia="MyriadPro-Regular" w:hAnsi="Times New Roman" w:cs="Times New Roman"/>
          <w:sz w:val="24"/>
          <w:szCs w:val="24"/>
        </w:rPr>
        <w:t xml:space="preserve"> (modified Raup-Crick index) is based on a null model test of the Bray-Curtis taxonomic </w:t>
      </w:r>
      <w:r>
        <w:rPr>
          <w:rFonts w:ascii="Times New Roman" w:hAnsi="Times New Roman" w:cs="Times New Roman"/>
          <w:sz w:val="24"/>
          <w:szCs w:val="24"/>
        </w:rPr>
        <w:t>beta</w:t>
      </w:r>
      <w:r>
        <w:rPr>
          <w:rFonts w:ascii="Times New Roman" w:eastAsia="MyriadPro-Regular" w:hAnsi="Times New Roman" w:cs="Times New Roman"/>
          <w:sz w:val="24"/>
          <w:szCs w:val="24"/>
        </w:rPr>
        <w:t xml:space="preserve">-diversity index. </w:t>
      </w:r>
      <w:r>
        <w:rPr>
          <w:rFonts w:ascii="Times New Roman" w:eastAsia="等线" w:hAnsi="Times New Roman" w:cs="Times New Roman"/>
          <w:sz w:val="24"/>
          <w:szCs w:val="24"/>
        </w:rPr>
        <w:t>|betaNTI| &lt; 2 indicates the community phylogenetic turnover is undifferentiated from expected turnover and the community assembly is dominated by stochastic processes.</w:t>
      </w:r>
      <w:r>
        <w:rPr>
          <w:rFonts w:ascii="Times New Roman" w:eastAsia="等线" w:hAnsi="Times New Roman" w:cs="Times New Roman"/>
        </w:rPr>
        <w:t xml:space="preserve"> </w:t>
      </w:r>
      <w:r>
        <w:rPr>
          <w:rFonts w:ascii="Times New Roman" w:eastAsia="MyriadPro-Regular" w:hAnsi="Times New Roman" w:cs="Times New Roman"/>
          <w:sz w:val="24"/>
          <w:szCs w:val="24"/>
        </w:rPr>
        <w:t xml:space="preserve">The </w:t>
      </w:r>
      <w:r>
        <w:rPr>
          <w:rFonts w:ascii="Times New Roman" w:eastAsia="等线" w:hAnsi="Times New Roman" w:cs="Times New Roman"/>
          <w:sz w:val="24"/>
          <w:szCs w:val="24"/>
        </w:rPr>
        <w:t>betaNTI &lt; -2 indicates the community assembly is determined by homogeneous selection, and betaNTI &gt; +2 indicates variable selection.</w:t>
      </w:r>
      <w:r>
        <w:rPr>
          <w:rFonts w:ascii="Times New Roman" w:eastAsia="等线" w:hAnsi="Times New Roman" w:cs="Times New Roman"/>
        </w:rPr>
        <w:t xml:space="preserve"> </w:t>
      </w:r>
      <w:r>
        <w:rPr>
          <w:rFonts w:ascii="Times New Roman" w:eastAsia="等线" w:hAnsi="Times New Roman" w:cs="Times New Roman"/>
          <w:sz w:val="24"/>
          <w:szCs w:val="24"/>
        </w:rPr>
        <w:t xml:space="preserve">|RC.bray| &lt; 0.95 indicates the community composition turnover is undifferentiated from expected turnover, and the community assembly is governed by ecological drift. RC.bray &gt; +0.95 or &lt; −0.95 indicates dispersal limitation or homogenizing dispersal, respectively. Since we had used the normalized </w:t>
      </w:r>
      <w:r>
        <w:rPr>
          <w:rFonts w:ascii="Times New Roman" w:hAnsi="Times New Roman"/>
          <w:iCs/>
          <w:sz w:val="24"/>
          <w:szCs w:val="24"/>
        </w:rPr>
        <w:t>stochasticity ratio</w:t>
      </w:r>
      <w:r>
        <w:rPr>
          <w:rFonts w:ascii="Times New Roman" w:eastAsia="等线" w:hAnsi="Times New Roman" w:cs="Times New Roman"/>
          <w:sz w:val="24"/>
          <w:szCs w:val="24"/>
        </w:rPr>
        <w:t xml:space="preserve"> to quantify the relative contribution of deterministic and stochastic processes, these two indices determined here were only used to quantify the subtypes within either deterministic or stochastic processes, respectively.</w:t>
      </w:r>
    </w:p>
    <w:tbl>
      <w:tblPr>
        <w:tblW w:w="12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40"/>
        <w:gridCol w:w="1500"/>
        <w:gridCol w:w="1500"/>
        <w:gridCol w:w="1500"/>
        <w:gridCol w:w="1500"/>
        <w:gridCol w:w="1500"/>
        <w:gridCol w:w="1500"/>
        <w:gridCol w:w="1500"/>
      </w:tblGrid>
      <w:tr w:rsidR="00962338">
        <w:trPr>
          <w:trHeight w:val="687"/>
          <w:jc w:val="center"/>
        </w:trPr>
        <w:tc>
          <w:tcPr>
            <w:tcW w:w="2140" w:type="dxa"/>
            <w:shd w:val="clear" w:color="auto" w:fill="DBE5F1" w:themeFill="accent1" w:themeFillTint="33"/>
            <w:noWrap/>
            <w:vAlign w:val="center"/>
            <w:hideMark/>
          </w:tcPr>
          <w:p w:rsidR="00962338" w:rsidRDefault="00892765">
            <w:pPr>
              <w:adjustRightInd/>
              <w:snapToGrid/>
              <w:spacing w:after="0"/>
              <w:rPr>
                <w:rFonts w:ascii="Times New Roman" w:eastAsiaTheme="minorEastAsia" w:hAnsi="Times New Roman" w:cs="Times New Roman"/>
                <w:sz w:val="20"/>
                <w:szCs w:val="20"/>
              </w:rPr>
            </w:pPr>
            <w:r>
              <w:rPr>
                <w:rFonts w:ascii="Times New Roman" w:eastAsiaTheme="minorEastAsia" w:hAnsi="Times New Roman" w:cs="Times New Roman" w:hint="eastAsia"/>
                <w:sz w:val="20"/>
                <w:szCs w:val="20"/>
              </w:rPr>
              <w:t>P</w:t>
            </w:r>
            <w:r>
              <w:rPr>
                <w:rFonts w:ascii="Times New Roman" w:eastAsiaTheme="minorEastAsia" w:hAnsi="Times New Roman" w:cs="Times New Roman"/>
                <w:sz w:val="20"/>
                <w:szCs w:val="20"/>
              </w:rPr>
              <w:t>ercentage, %</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Continental</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inter-regional</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intra-regional</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Sanjiang Plain</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Lianghu Plain</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Taihu Plain</w:t>
            </w:r>
          </w:p>
        </w:tc>
        <w:tc>
          <w:tcPr>
            <w:tcW w:w="1500" w:type="dxa"/>
            <w:shd w:val="clear" w:color="auto" w:fill="DBE5F1" w:themeFill="accent1" w:themeFillTint="33"/>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Hani Terrace</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 xml:space="preserve">betaNTI &lt; -2 </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95.5</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94.6</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98.0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99.6</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100.0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95.4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96.8</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|betaNTI| &lt; 2</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4.4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5.3</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2.0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4.3</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3.2</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betaNTI &gt; +2</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0.1</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0.1</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0.1</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0.3</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0.0</w:t>
            </w:r>
          </w:p>
        </w:tc>
      </w:tr>
      <w:tr w:rsidR="00962338">
        <w:trPr>
          <w:trHeight w:val="276"/>
          <w:jc w:val="center"/>
        </w:trPr>
        <w:tc>
          <w:tcPr>
            <w:tcW w:w="2140" w:type="dxa"/>
            <w:shd w:val="clear" w:color="auto" w:fill="auto"/>
            <w:noWrap/>
            <w:vAlign w:val="center"/>
            <w:hideMark/>
          </w:tcPr>
          <w:p w:rsidR="00962338" w:rsidRDefault="00962338">
            <w:pPr>
              <w:adjustRightInd/>
              <w:snapToGrid/>
              <w:spacing w:after="0"/>
              <w:jc w:val="right"/>
              <w:rPr>
                <w:rFonts w:ascii="Times New Roman" w:eastAsia="等线" w:hAnsi="Times New Roman" w:cs="Times New Roman"/>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r>
      <w:tr w:rsidR="00962338">
        <w:trPr>
          <w:trHeight w:val="276"/>
          <w:jc w:val="center"/>
        </w:trPr>
        <w:tc>
          <w:tcPr>
            <w:tcW w:w="2140" w:type="dxa"/>
            <w:shd w:val="clear" w:color="auto" w:fill="auto"/>
            <w:noWrap/>
            <w:vAlign w:val="center"/>
            <w:hideMark/>
          </w:tcPr>
          <w:p w:rsidR="00962338" w:rsidRDefault="00962338">
            <w:pPr>
              <w:adjustRightInd/>
              <w:snapToGrid/>
              <w:spacing w:after="0"/>
              <w:rPr>
                <w:rFonts w:ascii="Times New Roman" w:eastAsia="Times New Roman" w:hAnsi="Times New Roman" w:cs="Times New Roman"/>
                <w:sz w:val="20"/>
                <w:szCs w:val="20"/>
              </w:rPr>
            </w:pP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Continental</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inter-regional</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intra-regional</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Sanjiang Plain</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Lianghu Plain</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Taihu Plain</w:t>
            </w:r>
          </w:p>
        </w:tc>
        <w:tc>
          <w:tcPr>
            <w:tcW w:w="150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Hani Terrace</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RC.bray &lt; -0.95</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7.0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5.2</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12.7</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8.0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12.3</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17.2</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12.6</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|RC.bray| &lt; 0.95</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23.4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12.3</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55.0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89.1</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51.7</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46.8</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32.8</w:t>
            </w:r>
          </w:p>
        </w:tc>
      </w:tr>
      <w:tr w:rsidR="00962338">
        <w:trPr>
          <w:trHeight w:val="276"/>
          <w:jc w:val="center"/>
        </w:trPr>
        <w:tc>
          <w:tcPr>
            <w:tcW w:w="2140" w:type="dxa"/>
            <w:shd w:val="clear" w:color="auto" w:fill="auto"/>
            <w:noWrap/>
            <w:vAlign w:val="center"/>
            <w:hideMark/>
          </w:tcPr>
          <w:p w:rsidR="00962338" w:rsidRDefault="00892765">
            <w:pPr>
              <w:adjustRightInd/>
              <w:snapToGrid/>
              <w:spacing w:after="0"/>
              <w:rPr>
                <w:rFonts w:ascii="Times New Roman" w:eastAsia="等线" w:hAnsi="Times New Roman" w:cs="Times New Roman"/>
              </w:rPr>
            </w:pPr>
            <w:r>
              <w:rPr>
                <w:rFonts w:ascii="Times New Roman" w:eastAsia="等线" w:hAnsi="Times New Roman" w:cs="Times New Roman"/>
              </w:rPr>
              <w:t>RC.bray &gt; +0.95</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69.4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81.4</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32.1</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2.9</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36.0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36.0</w:t>
            </w:r>
          </w:p>
        </w:tc>
        <w:tc>
          <w:tcPr>
            <w:tcW w:w="1500" w:type="dxa"/>
            <w:shd w:val="clear" w:color="auto" w:fill="auto"/>
            <w:noWrap/>
            <w:vAlign w:val="center"/>
            <w:hideMark/>
          </w:tcPr>
          <w:p w:rsidR="00962338" w:rsidRDefault="00892765">
            <w:pPr>
              <w:adjustRightInd/>
              <w:snapToGrid/>
              <w:spacing w:after="0"/>
              <w:jc w:val="right"/>
              <w:rPr>
                <w:rFonts w:ascii="Times New Roman" w:eastAsia="等线" w:hAnsi="Times New Roman" w:cs="Times New Roman"/>
              </w:rPr>
            </w:pPr>
            <w:r>
              <w:rPr>
                <w:rFonts w:ascii="Times New Roman" w:eastAsia="等线" w:hAnsi="Times New Roman" w:cs="Times New Roman"/>
              </w:rPr>
              <w:t>54.2</w:t>
            </w:r>
          </w:p>
        </w:tc>
      </w:tr>
    </w:tbl>
    <w:p w:rsidR="00962338" w:rsidRDefault="00962338" w:rsidP="001C395B">
      <w:pPr>
        <w:spacing w:beforeLines="50" w:afterLines="50" w:line="480" w:lineRule="auto"/>
        <w:jc w:val="both"/>
        <w:rPr>
          <w:rFonts w:ascii="Times New Roman" w:hAnsi="Times New Roman" w:cs="Times New Roman"/>
          <w:b/>
          <w:noProof/>
          <w:sz w:val="24"/>
          <w:szCs w:val="24"/>
        </w:rPr>
      </w:pPr>
    </w:p>
    <w:p w:rsidR="00962338" w:rsidRDefault="00962338" w:rsidP="001C395B">
      <w:pPr>
        <w:spacing w:beforeLines="50" w:afterLines="50" w:line="480" w:lineRule="auto"/>
        <w:jc w:val="both"/>
        <w:rPr>
          <w:rFonts w:ascii="Times New Roman" w:hAnsi="Times New Roman" w:cs="Times New Roman"/>
          <w:b/>
          <w:noProof/>
          <w:sz w:val="24"/>
          <w:szCs w:val="24"/>
        </w:rPr>
        <w:sectPr w:rsidR="00962338">
          <w:pgSz w:w="16838" w:h="11906" w:orient="landscape"/>
          <w:pgMar w:top="1800" w:right="1440" w:bottom="1800" w:left="1440" w:header="708" w:footer="708" w:gutter="0"/>
          <w:cols w:space="708"/>
          <w:docGrid w:linePitch="360"/>
        </w:sectPr>
      </w:pPr>
    </w:p>
    <w:p w:rsidR="00962338" w:rsidRDefault="00892765" w:rsidP="001C395B">
      <w:pPr>
        <w:spacing w:beforeLines="50" w:afterLines="50" w:line="480" w:lineRule="auto"/>
        <w:jc w:val="both"/>
        <w:rPr>
          <w:rFonts w:ascii="Times New Roman" w:hAnsi="Times New Roman" w:cs="Times New Roman"/>
          <w:noProof/>
          <w:sz w:val="24"/>
          <w:szCs w:val="24"/>
        </w:rPr>
      </w:pPr>
      <w:r>
        <w:rPr>
          <w:rFonts w:ascii="Times New Roman" w:hAnsi="Times New Roman" w:cs="Times New Roman" w:hint="eastAsia"/>
          <w:b/>
          <w:noProof/>
          <w:sz w:val="24"/>
          <w:szCs w:val="24"/>
        </w:rPr>
        <w:lastRenderedPageBreak/>
        <w:t>Table S</w:t>
      </w:r>
      <w:r>
        <w:rPr>
          <w:rFonts w:ascii="Times New Roman" w:hAnsi="Times New Roman" w:cs="Times New Roman"/>
          <w:b/>
          <w:noProof/>
          <w:sz w:val="24"/>
          <w:szCs w:val="24"/>
        </w:rPr>
        <w:t xml:space="preserve">2 </w:t>
      </w:r>
      <w:r>
        <w:rPr>
          <w:rFonts w:ascii="Times New Roman" w:hAnsi="Times New Roman" w:cs="Times New Roman"/>
          <w:noProof/>
          <w:sz w:val="24"/>
          <w:szCs w:val="24"/>
        </w:rPr>
        <w:t xml:space="preserve">Hubs (keystone taxa) identified in paddy soil </w:t>
      </w:r>
      <w:r>
        <w:rPr>
          <w:rFonts w:ascii="Times New Roman" w:hAnsi="Times New Roman" w:cs="Times New Roman" w:hint="eastAsia"/>
          <w:noProof/>
          <w:sz w:val="24"/>
          <w:szCs w:val="24"/>
        </w:rPr>
        <w:t>bacterial</w:t>
      </w:r>
      <w:r>
        <w:rPr>
          <w:rFonts w:ascii="Times New Roman" w:hAnsi="Times New Roman" w:cs="Times New Roman"/>
          <w:noProof/>
          <w:sz w:val="24"/>
          <w:szCs w:val="24"/>
        </w:rPr>
        <w:t xml:space="preserve"> network implemented with PageRank algorithm.</w:t>
      </w:r>
    </w:p>
    <w:tbl>
      <w:tblPr>
        <w:tblStyle w:val="a7"/>
        <w:tblW w:w="12186" w:type="dxa"/>
        <w:jc w:val="center"/>
        <w:tblLayout w:type="fixed"/>
        <w:tblLook w:val="04A0"/>
      </w:tblPr>
      <w:tblGrid>
        <w:gridCol w:w="1129"/>
        <w:gridCol w:w="851"/>
        <w:gridCol w:w="1134"/>
        <w:gridCol w:w="1417"/>
        <w:gridCol w:w="7655"/>
      </w:tblGrid>
      <w:tr w:rsidR="00962338">
        <w:trPr>
          <w:trHeight w:val="316"/>
          <w:jc w:val="center"/>
        </w:trPr>
        <w:tc>
          <w:tcPr>
            <w:tcW w:w="1129" w:type="dxa"/>
            <w:shd w:val="clear" w:color="auto" w:fill="DAEEF3" w:themeFill="accent5" w:themeFillTint="33"/>
            <w:vAlign w:val="center"/>
          </w:tcPr>
          <w:p w:rsidR="00962338" w:rsidRDefault="00892765">
            <w:pPr>
              <w:jc w:val="center"/>
              <w:rPr>
                <w:rFonts w:ascii="Times New Roman" w:hAnsi="Times New Roman" w:cs="Times New Roman"/>
                <w:b/>
                <w:noProof/>
                <w:sz w:val="18"/>
                <w:szCs w:val="18"/>
              </w:rPr>
            </w:pPr>
            <w:r>
              <w:rPr>
                <w:rFonts w:ascii="Times New Roman" w:hAnsi="Times New Roman" w:cs="Times New Roman"/>
                <w:b/>
                <w:noProof/>
                <w:sz w:val="18"/>
                <w:szCs w:val="18"/>
              </w:rPr>
              <w:t>ID</w:t>
            </w:r>
          </w:p>
        </w:tc>
        <w:tc>
          <w:tcPr>
            <w:tcW w:w="851" w:type="dxa"/>
            <w:shd w:val="clear" w:color="auto" w:fill="DAEEF3" w:themeFill="accent5" w:themeFillTint="33"/>
            <w:vAlign w:val="center"/>
          </w:tcPr>
          <w:p w:rsidR="00962338" w:rsidRDefault="00892765">
            <w:pPr>
              <w:jc w:val="center"/>
              <w:rPr>
                <w:rFonts w:ascii="Times New Roman" w:hAnsi="Times New Roman" w:cs="Times New Roman"/>
                <w:b/>
                <w:noProof/>
                <w:sz w:val="18"/>
                <w:szCs w:val="18"/>
              </w:rPr>
            </w:pPr>
            <w:r>
              <w:rPr>
                <w:rFonts w:ascii="Times New Roman" w:hAnsi="Times New Roman" w:cs="Times New Roman"/>
                <w:b/>
                <w:noProof/>
                <w:sz w:val="18"/>
                <w:szCs w:val="18"/>
              </w:rPr>
              <w:t>Module class</w:t>
            </w:r>
          </w:p>
        </w:tc>
        <w:tc>
          <w:tcPr>
            <w:tcW w:w="1134" w:type="dxa"/>
            <w:shd w:val="clear" w:color="auto" w:fill="DAEEF3" w:themeFill="accent5" w:themeFillTint="33"/>
            <w:vAlign w:val="center"/>
          </w:tcPr>
          <w:p w:rsidR="00962338" w:rsidRDefault="00892765">
            <w:pPr>
              <w:jc w:val="center"/>
              <w:rPr>
                <w:rFonts w:ascii="Times New Roman" w:hAnsi="Times New Roman" w:cs="Times New Roman"/>
                <w:b/>
                <w:noProof/>
                <w:sz w:val="18"/>
                <w:szCs w:val="18"/>
              </w:rPr>
            </w:pPr>
            <w:r>
              <w:rPr>
                <w:rFonts w:ascii="Times New Roman" w:hAnsi="Times New Roman" w:cs="Times New Roman"/>
                <w:b/>
                <w:noProof/>
                <w:sz w:val="18"/>
                <w:szCs w:val="18"/>
              </w:rPr>
              <w:t>PageRank score</w:t>
            </w:r>
          </w:p>
        </w:tc>
        <w:tc>
          <w:tcPr>
            <w:tcW w:w="1417" w:type="dxa"/>
            <w:shd w:val="clear" w:color="auto" w:fill="DAEEF3" w:themeFill="accent5" w:themeFillTint="33"/>
            <w:vAlign w:val="center"/>
          </w:tcPr>
          <w:p w:rsidR="00962338" w:rsidRDefault="00892765">
            <w:pPr>
              <w:jc w:val="center"/>
              <w:rPr>
                <w:rFonts w:ascii="Times New Roman" w:hAnsi="Times New Roman" w:cs="Times New Roman"/>
                <w:b/>
                <w:noProof/>
                <w:sz w:val="18"/>
                <w:szCs w:val="18"/>
              </w:rPr>
            </w:pPr>
            <w:r>
              <w:rPr>
                <w:rFonts w:ascii="Times New Roman" w:hAnsi="Times New Roman" w:cs="Times New Roman"/>
                <w:b/>
                <w:noProof/>
                <w:sz w:val="18"/>
                <w:szCs w:val="18"/>
              </w:rPr>
              <w:t>Relative abundance (%) in paddy soil</w:t>
            </w:r>
          </w:p>
        </w:tc>
        <w:tc>
          <w:tcPr>
            <w:tcW w:w="7655" w:type="dxa"/>
            <w:shd w:val="clear" w:color="auto" w:fill="DAEEF3" w:themeFill="accent5" w:themeFillTint="33"/>
            <w:vAlign w:val="center"/>
          </w:tcPr>
          <w:p w:rsidR="00962338" w:rsidRDefault="00892765">
            <w:pPr>
              <w:jc w:val="center"/>
              <w:rPr>
                <w:rFonts w:ascii="Times New Roman" w:hAnsi="Times New Roman" w:cs="Times New Roman"/>
                <w:b/>
                <w:noProof/>
                <w:sz w:val="18"/>
                <w:szCs w:val="18"/>
              </w:rPr>
            </w:pPr>
            <w:r>
              <w:rPr>
                <w:rFonts w:ascii="Times New Roman" w:hAnsi="Times New Roman" w:cs="Times New Roman"/>
                <w:b/>
                <w:noProof/>
                <w:sz w:val="18"/>
                <w:szCs w:val="18"/>
              </w:rPr>
              <w:t>Taxonomy</w:t>
            </w:r>
          </w:p>
        </w:tc>
      </w:tr>
      <w:tr w:rsidR="00962338">
        <w:trPr>
          <w:trHeight w:val="313"/>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OTU1597</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0.954</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0.86</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Proteobacteria; Betaproteobacteria; DQ395705_o; EU786132_f; AF467301_g; EF126238_s</w:t>
            </w:r>
          </w:p>
        </w:tc>
      </w:tr>
      <w:tr w:rsidR="00962338">
        <w:trPr>
          <w:trHeight w:val="275"/>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OTU686</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0.912</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0.68</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Chlorobi; Ignavibacteriae; GQ472436_o; GQ472436_f; GQ472436_g</w:t>
            </w:r>
          </w:p>
        </w:tc>
      </w:tr>
      <w:tr w:rsidR="00962338">
        <w:trPr>
          <w:trHeight w:val="278"/>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OTU298</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0.938</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0.58</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Chlorobi; Ignavibacteriae; HQ014634_o; HQ014634_f; AY118151_g; AY118151_s</w:t>
            </w:r>
          </w:p>
        </w:tc>
      </w:tr>
      <w:tr w:rsidR="00962338">
        <w:trPr>
          <w:trHeight w:val="269"/>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OTU714</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1.000</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0.34</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Acidobacteria; Solibacteres; Solibacterales; Solibacteraceae; EU589264_g; AM162424_s</w:t>
            </w:r>
          </w:p>
        </w:tc>
      </w:tr>
      <w:tr w:rsidR="00962338">
        <w:trPr>
          <w:trHeight w:val="272"/>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OTU343</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0.920</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0.32</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Proteobacteria; Deltaproteobacteria; EU617842_o; EU617842_f; EU881182_g; HQ864112_s</w:t>
            </w:r>
          </w:p>
        </w:tc>
      </w:tr>
      <w:tr w:rsidR="00962338">
        <w:trPr>
          <w:trHeight w:val="277"/>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OTU641</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0.962</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0.3</w:t>
            </w:r>
            <w:r>
              <w:rPr>
                <w:rFonts w:ascii="Times New Roman" w:hAnsi="Times New Roman" w:cs="Times New Roman"/>
                <w:noProof/>
                <w:sz w:val="18"/>
                <w:szCs w:val="18"/>
              </w:rPr>
              <w:t>0</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Proteobacteria; Deltaproteobacteria; Desulfobacterales; HM243977_f; HM243977_g</w:t>
            </w:r>
          </w:p>
        </w:tc>
      </w:tr>
      <w:tr w:rsidR="00962338">
        <w:trPr>
          <w:trHeight w:val="280"/>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OTU299</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0.950</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0.28</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Proteobacteria; Deltaproteobacteria; EU617842_o; FM253643_f; FM253643_g; FM253643_s</w:t>
            </w:r>
          </w:p>
        </w:tc>
      </w:tr>
      <w:tr w:rsidR="00962338">
        <w:trPr>
          <w:trHeight w:val="271"/>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OTU688</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0.912</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0.11</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Gemmatimonadetes; GU568020_c; GU568020_o; GU568020_f; GU568020_g; EF540394_s</w:t>
            </w:r>
          </w:p>
        </w:tc>
      </w:tr>
      <w:tr w:rsidR="00962338">
        <w:trPr>
          <w:trHeight w:val="274"/>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OTU22819</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0.965</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0.09</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Aminicenantes_OP8; AQSP_c; AQSP_o; AQSP_f; HQ183973_g; AB364867_s</w:t>
            </w:r>
          </w:p>
        </w:tc>
      </w:tr>
      <w:tr w:rsidR="00962338">
        <w:trPr>
          <w:trHeight w:val="279"/>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OTU12122</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P1</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1.000</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0.05</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Chloroflexi; Dehalococcoidia; Dehalococcoidales; DQ811888_f; DQ811888_g; HM243964_s</w:t>
            </w:r>
          </w:p>
        </w:tc>
      </w:tr>
      <w:tr w:rsidR="00962338">
        <w:trPr>
          <w:trHeight w:val="268"/>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OTU5</w:t>
            </w:r>
          </w:p>
        </w:tc>
        <w:tc>
          <w:tcPr>
            <w:tcW w:w="851" w:type="dxa"/>
            <w:vAlign w:val="center"/>
          </w:tcPr>
          <w:p w:rsidR="00962338" w:rsidRDefault="00892765">
            <w:pPr>
              <w:jc w:val="both"/>
              <w:rPr>
                <w:rFonts w:ascii="Times New Roman" w:hAnsi="Times New Roman" w:cs="Times New Roman"/>
                <w:noProof/>
                <w:sz w:val="18"/>
                <w:szCs w:val="18"/>
              </w:rPr>
            </w:pPr>
            <w:bookmarkStart w:id="2" w:name="OLE_LINK47"/>
            <w:bookmarkStart w:id="3" w:name="OLE_LINK48"/>
            <w:r>
              <w:rPr>
                <w:rFonts w:ascii="Times New Roman" w:hAnsi="Times New Roman" w:cs="Times New Roman"/>
                <w:noProof/>
                <w:sz w:val="18"/>
                <w:szCs w:val="18"/>
              </w:rPr>
              <w:t>P2</w:t>
            </w:r>
            <w:bookmarkEnd w:id="2"/>
            <w:bookmarkEnd w:id="3"/>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0.915</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8.72</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Bacteroidetes; Bacteroidia; Bacteroidales; GU454901_f; GU454901_g; EU644258_s</w:t>
            </w:r>
          </w:p>
        </w:tc>
      </w:tr>
      <w:tr w:rsidR="00962338">
        <w:trPr>
          <w:trHeight w:val="259"/>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OTU260</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P2</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0.911</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2.73</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Bacteroidetes; Bacteroidia; Bacteroidales; GU454901_f; GU454901_g; JN540128_s</w:t>
            </w:r>
          </w:p>
        </w:tc>
      </w:tr>
      <w:tr w:rsidR="00962338">
        <w:trPr>
          <w:trHeight w:val="290"/>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OTU255</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P2</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0.929</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0.93</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 xml:space="preserve">Chloroflexi; Anaerolineae; Anaerolinaeles; </w:t>
            </w:r>
            <w:bookmarkStart w:id="4" w:name="OLE_LINK49"/>
            <w:bookmarkStart w:id="5" w:name="OLE_LINK50"/>
            <w:r>
              <w:rPr>
                <w:rFonts w:ascii="Times New Roman" w:hAnsi="Times New Roman" w:cs="Times New Roman"/>
                <w:sz w:val="18"/>
                <w:szCs w:val="18"/>
              </w:rPr>
              <w:t>Anaerolinaceae</w:t>
            </w:r>
            <w:bookmarkEnd w:id="4"/>
            <w:bookmarkEnd w:id="5"/>
            <w:r>
              <w:rPr>
                <w:rFonts w:ascii="Times New Roman" w:hAnsi="Times New Roman" w:cs="Times New Roman"/>
                <w:sz w:val="18"/>
                <w:szCs w:val="18"/>
              </w:rPr>
              <w:t>; GQ500701_g; AB240513_s</w:t>
            </w:r>
          </w:p>
        </w:tc>
      </w:tr>
      <w:tr w:rsidR="00962338">
        <w:trPr>
          <w:trHeight w:val="267"/>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OTU7574</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P2</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0.918</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0.8</w:t>
            </w:r>
            <w:r>
              <w:rPr>
                <w:rFonts w:ascii="Times New Roman" w:hAnsi="Times New Roman" w:cs="Times New Roman"/>
                <w:noProof/>
                <w:sz w:val="18"/>
                <w:szCs w:val="18"/>
              </w:rPr>
              <w:t>0</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Acidobacteria; HQ645210_c; HQ645210_o; HQ645210_f; HQ645210_g</w:t>
            </w:r>
          </w:p>
        </w:tc>
      </w:tr>
      <w:tr w:rsidR="00962338">
        <w:trPr>
          <w:trHeight w:val="270"/>
          <w:jc w:val="center"/>
        </w:trPr>
        <w:tc>
          <w:tcPr>
            <w:tcW w:w="1129"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OTU2587</w:t>
            </w:r>
          </w:p>
        </w:tc>
        <w:tc>
          <w:tcPr>
            <w:tcW w:w="851"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P2</w:t>
            </w:r>
          </w:p>
        </w:tc>
        <w:tc>
          <w:tcPr>
            <w:tcW w:w="1134"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noProof/>
                <w:sz w:val="18"/>
                <w:szCs w:val="18"/>
              </w:rPr>
              <w:t>1.000</w:t>
            </w:r>
          </w:p>
        </w:tc>
        <w:tc>
          <w:tcPr>
            <w:tcW w:w="1417" w:type="dxa"/>
            <w:vAlign w:val="center"/>
          </w:tcPr>
          <w:p w:rsidR="00962338" w:rsidRDefault="00892765">
            <w:pPr>
              <w:jc w:val="both"/>
              <w:rPr>
                <w:rFonts w:ascii="Times New Roman" w:hAnsi="Times New Roman" w:cs="Times New Roman"/>
                <w:noProof/>
                <w:sz w:val="18"/>
                <w:szCs w:val="18"/>
              </w:rPr>
            </w:pPr>
            <w:r>
              <w:rPr>
                <w:rFonts w:ascii="Times New Roman" w:hAnsi="Times New Roman" w:cs="Times New Roman" w:hint="eastAsia"/>
                <w:noProof/>
                <w:sz w:val="18"/>
                <w:szCs w:val="18"/>
              </w:rPr>
              <w:t>0.06</w:t>
            </w:r>
          </w:p>
        </w:tc>
        <w:tc>
          <w:tcPr>
            <w:tcW w:w="7655" w:type="dxa"/>
            <w:vAlign w:val="center"/>
          </w:tcPr>
          <w:p w:rsidR="00962338" w:rsidRDefault="00892765">
            <w:pPr>
              <w:autoSpaceDE w:val="0"/>
              <w:autoSpaceDN w:val="0"/>
              <w:jc w:val="both"/>
              <w:rPr>
                <w:rFonts w:ascii="Times New Roman" w:hAnsi="Times New Roman" w:cs="Times New Roman"/>
                <w:sz w:val="18"/>
                <w:szCs w:val="18"/>
              </w:rPr>
            </w:pPr>
            <w:r>
              <w:rPr>
                <w:rFonts w:ascii="Times New Roman" w:hAnsi="Times New Roman" w:cs="Times New Roman"/>
                <w:sz w:val="18"/>
                <w:szCs w:val="18"/>
              </w:rPr>
              <w:t>Chloroflexi; Anaerolineae; Anaerolinaeles; Anaerolinaceae; Anaerolinea</w:t>
            </w:r>
          </w:p>
        </w:tc>
      </w:tr>
    </w:tbl>
    <w:p w:rsidR="00962338" w:rsidRDefault="00962338">
      <w:pPr>
        <w:spacing w:line="220" w:lineRule="atLeast"/>
        <w:rPr>
          <w:b/>
          <w:sz w:val="28"/>
        </w:rPr>
        <w:sectPr w:rsidR="00962338">
          <w:pgSz w:w="16838" w:h="11906" w:orient="landscape"/>
          <w:pgMar w:top="1800" w:right="1440" w:bottom="1800" w:left="1440" w:header="708" w:footer="708" w:gutter="0"/>
          <w:cols w:space="708"/>
          <w:docGrid w:linePitch="360"/>
        </w:sectPr>
      </w:pPr>
    </w:p>
    <w:p w:rsidR="00962338" w:rsidRDefault="00892765" w:rsidP="001C395B">
      <w:pPr>
        <w:spacing w:beforeLines="50" w:afterLines="50" w:line="480" w:lineRule="auto"/>
        <w:jc w:val="both"/>
        <w:rPr>
          <w:rFonts w:ascii="Times New Roman" w:hAnsi="Times New Roman" w:cs="Times New Roman"/>
          <w:b/>
          <w:noProof/>
          <w:sz w:val="24"/>
          <w:szCs w:val="24"/>
        </w:rPr>
      </w:pPr>
      <w:r>
        <w:rPr>
          <w:rFonts w:ascii="Times New Roman" w:hAnsi="Times New Roman" w:cs="Times New Roman" w:hint="eastAsia"/>
          <w:b/>
          <w:noProof/>
          <w:sz w:val="24"/>
          <w:szCs w:val="24"/>
        </w:rPr>
        <w:lastRenderedPageBreak/>
        <w:t>Tab</w:t>
      </w:r>
      <w:r>
        <w:rPr>
          <w:rFonts w:ascii="Times New Roman" w:hAnsi="Times New Roman" w:cs="Times New Roman"/>
          <w:b/>
          <w:noProof/>
          <w:sz w:val="24"/>
          <w:szCs w:val="24"/>
        </w:rPr>
        <w:t>l</w:t>
      </w:r>
      <w:r>
        <w:rPr>
          <w:rFonts w:ascii="Times New Roman" w:hAnsi="Times New Roman" w:cs="Times New Roman" w:hint="eastAsia"/>
          <w:b/>
          <w:noProof/>
          <w:sz w:val="24"/>
          <w:szCs w:val="24"/>
        </w:rPr>
        <w:t>e S</w:t>
      </w:r>
      <w:r>
        <w:rPr>
          <w:rFonts w:ascii="Times New Roman" w:hAnsi="Times New Roman" w:cs="Times New Roman"/>
          <w:b/>
          <w:noProof/>
          <w:sz w:val="24"/>
          <w:szCs w:val="24"/>
        </w:rPr>
        <w:t xml:space="preserve">3 </w:t>
      </w:r>
      <w:r>
        <w:rPr>
          <w:rFonts w:ascii="Times New Roman" w:hAnsi="Times New Roman" w:cs="Times New Roman"/>
          <w:noProof/>
          <w:sz w:val="24"/>
          <w:szCs w:val="24"/>
        </w:rPr>
        <w:t>Statistic information of metagenomic assembly.</w:t>
      </w:r>
    </w:p>
    <w:tbl>
      <w:tblPr>
        <w:tblW w:w="808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192"/>
        <w:gridCol w:w="1083"/>
        <w:gridCol w:w="1422"/>
        <w:gridCol w:w="1275"/>
        <w:gridCol w:w="1550"/>
        <w:gridCol w:w="1559"/>
      </w:tblGrid>
      <w:tr w:rsidR="00962338">
        <w:trPr>
          <w:trHeight w:val="409"/>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Sample ID</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Contig number</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Total length (bp)</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Max length (bp)</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Average length (bp)</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N50 length (bp)</w:t>
            </w:r>
          </w:p>
        </w:tc>
      </w:tr>
      <w:tr w:rsidR="00962338">
        <w:trPr>
          <w:trHeight w:val="372"/>
          <w:jc w:val="center"/>
        </w:trPr>
        <w:tc>
          <w:tcPr>
            <w:tcW w:w="8081" w:type="dxa"/>
            <w:gridSpan w:val="6"/>
            <w:shd w:val="clear" w:color="auto" w:fill="DAEEF3"/>
            <w:vAlign w:val="center"/>
            <w:hideMark/>
          </w:tcPr>
          <w:p w:rsidR="00962338" w:rsidRDefault="00892765">
            <w:pPr>
              <w:adjustRightInd/>
              <w:snapToGrid/>
              <w:spacing w:after="0"/>
              <w:rPr>
                <w:rFonts w:ascii="Times New Roman" w:eastAsia="宋体" w:hAnsi="Times New Roman" w:cs="Times New Roman"/>
                <w:b/>
                <w:bCs/>
                <w:i/>
                <w:iCs/>
                <w:sz w:val="18"/>
                <w:szCs w:val="18"/>
              </w:rPr>
            </w:pPr>
            <w:r>
              <w:rPr>
                <w:rFonts w:ascii="Times New Roman" w:eastAsia="宋体" w:hAnsi="Times New Roman" w:cs="Times New Roman"/>
                <w:b/>
                <w:bCs/>
                <w:i/>
                <w:iCs/>
                <w:sz w:val="18"/>
                <w:szCs w:val="18"/>
              </w:rPr>
              <w:t>Paddy soil samples (16 samples)</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H02</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2587530</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1275665469</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46567</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493</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467</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H18</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2558383</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1309067092</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65029</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512</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486</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H22</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2507353</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1146657033</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40423</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457</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433</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H47</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2135909</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929902885</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45758</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435</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416</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L01</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2249344</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998042577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84482</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444</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420</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L07</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2801559</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1330043117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97939</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475</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449</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L20</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2196284</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975794312</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23774</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444</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420</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L28</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2617731</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1188269304</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48927</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454</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431</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T09</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2260603</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1089028679</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69317</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482</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450</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T17</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2389447</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1015595069</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76553</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425</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404</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T31</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2960139</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1327155096</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26183</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448</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425</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T48</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2710590</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1250488423</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91701</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461</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433</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Y04</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2060816</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868893384</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25504</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422</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402</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Y24</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2195857</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936881259</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79024</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427</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405</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Y30</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2858013</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1274011529</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93346</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446</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421</w:t>
            </w:r>
          </w:p>
        </w:tc>
      </w:tr>
      <w:tr w:rsidR="00962338">
        <w:trPr>
          <w:trHeight w:val="285"/>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Y43</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3036408</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1415714077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71460</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466</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442</w:t>
            </w:r>
          </w:p>
        </w:tc>
      </w:tr>
      <w:tr w:rsidR="00962338">
        <w:trPr>
          <w:trHeight w:val="398"/>
          <w:jc w:val="center"/>
        </w:trPr>
        <w:tc>
          <w:tcPr>
            <w:tcW w:w="8081" w:type="dxa"/>
            <w:gridSpan w:val="6"/>
            <w:shd w:val="clear" w:color="auto" w:fill="DAEEF3"/>
            <w:vAlign w:val="center"/>
            <w:hideMark/>
          </w:tcPr>
          <w:p w:rsidR="00962338" w:rsidRDefault="00892765">
            <w:pPr>
              <w:adjustRightInd/>
              <w:snapToGrid/>
              <w:spacing w:after="0"/>
              <w:rPr>
                <w:rFonts w:ascii="Times New Roman" w:eastAsia="宋体" w:hAnsi="Times New Roman" w:cs="Times New Roman"/>
                <w:b/>
                <w:bCs/>
                <w:i/>
                <w:iCs/>
                <w:sz w:val="18"/>
                <w:szCs w:val="18"/>
              </w:rPr>
            </w:pPr>
            <w:r>
              <w:rPr>
                <w:rFonts w:ascii="Times New Roman" w:eastAsia="宋体" w:hAnsi="Times New Roman" w:cs="Times New Roman"/>
                <w:b/>
                <w:bCs/>
                <w:i/>
                <w:iCs/>
                <w:sz w:val="18"/>
                <w:szCs w:val="18"/>
              </w:rPr>
              <w:t>Non-paddy soil samples (8 samples)</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HE13</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3125000</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1689563826</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66433</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541</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526</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HE23</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2333508</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1147283727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80150</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492</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470</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LE01</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2596496</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1316772615</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116907</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507</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485</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LE11</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2784916</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1419918407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237102</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510</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492</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TE08</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2227348</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1134295555</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42961</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509</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486</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TE12</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2956559</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1577646887</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59059</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534</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517</w:t>
            </w:r>
          </w:p>
        </w:tc>
      </w:tr>
      <w:tr w:rsidR="00962338">
        <w:trPr>
          <w:trHeight w:val="270"/>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YE06</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2665700</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1300357070</w:t>
            </w:r>
          </w:p>
        </w:tc>
        <w:tc>
          <w:tcPr>
            <w:tcW w:w="1275"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24901</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488</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471</w:t>
            </w:r>
          </w:p>
        </w:tc>
      </w:tr>
      <w:tr w:rsidR="00962338">
        <w:trPr>
          <w:trHeight w:val="285"/>
          <w:jc w:val="center"/>
        </w:trPr>
        <w:tc>
          <w:tcPr>
            <w:tcW w:w="119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YE13</w:t>
            </w:r>
          </w:p>
        </w:tc>
        <w:tc>
          <w:tcPr>
            <w:tcW w:w="1083"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3869349</w:t>
            </w:r>
          </w:p>
        </w:tc>
        <w:tc>
          <w:tcPr>
            <w:tcW w:w="1422"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2106013433</w:t>
            </w:r>
          </w:p>
        </w:tc>
        <w:tc>
          <w:tcPr>
            <w:tcW w:w="1275" w:type="dxa"/>
            <w:shd w:val="clear" w:color="auto" w:fill="auto"/>
            <w:vAlign w:val="center"/>
            <w:hideMark/>
          </w:tcPr>
          <w:p w:rsidR="00962338" w:rsidRDefault="00147784">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1" o:spid="_x0000_s1026" type="#_x0000_t75" style="position:absolute;left:0;text-align:left;margin-left:78.7pt;margin-top:11.65pt;width:2.5pt;height:2.5pt;z-index:251662336;visibility:visible;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">
                  <v:imagedata r:id="rId17" o:title=""/>
                </v:shape>
              </w:pict>
            </w:r>
            <w:r w:rsidR="00892765">
              <w:rPr>
                <w:rFonts w:ascii="Times New Roman" w:eastAsia="宋体" w:hAnsi="Times New Roman" w:cs="Times New Roman"/>
                <w:sz w:val="18"/>
                <w:szCs w:val="18"/>
              </w:rPr>
              <w:t>55377</w:t>
            </w:r>
          </w:p>
        </w:tc>
        <w:tc>
          <w:tcPr>
            <w:tcW w:w="1550"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544</w:t>
            </w:r>
          </w:p>
        </w:tc>
        <w:tc>
          <w:tcPr>
            <w:tcW w:w="1559" w:type="dxa"/>
            <w:shd w:val="clear" w:color="auto" w:fill="auto"/>
            <w:vAlign w:val="center"/>
            <w:hideMark/>
          </w:tcPr>
          <w:p w:rsidR="00962338" w:rsidRDefault="00892765">
            <w:pPr>
              <w:adjustRightInd/>
              <w:snapToGrid/>
              <w:spacing w:after="0"/>
              <w:jc w:val="center"/>
              <w:rPr>
                <w:rFonts w:ascii="Times New Roman" w:eastAsia="宋体" w:hAnsi="Times New Roman" w:cs="Times New Roman"/>
                <w:sz w:val="18"/>
                <w:szCs w:val="18"/>
              </w:rPr>
            </w:pPr>
            <w:r>
              <w:rPr>
                <w:rFonts w:ascii="Times New Roman" w:eastAsia="宋体" w:hAnsi="Times New Roman" w:cs="Times New Roman"/>
                <w:sz w:val="18"/>
                <w:szCs w:val="18"/>
              </w:rPr>
              <w:t>539</w:t>
            </w:r>
          </w:p>
        </w:tc>
      </w:tr>
    </w:tbl>
    <w:p w:rsidR="00962338" w:rsidRDefault="00962338" w:rsidP="001C395B">
      <w:pPr>
        <w:spacing w:beforeLines="50" w:afterLines="50" w:line="480" w:lineRule="auto"/>
        <w:ind w:left="284" w:hanging="284"/>
        <w:jc w:val="both"/>
        <w:outlineLvl w:val="0"/>
      </w:pPr>
    </w:p>
    <w:p w:rsidR="001503AF" w:rsidRDefault="001503AF" w:rsidP="00147784">
      <w:pPr>
        <w:spacing w:beforeLines="50" w:afterLines="50" w:line="480" w:lineRule="auto"/>
        <w:ind w:left="284" w:hanging="284"/>
        <w:jc w:val="both"/>
        <w:outlineLvl w:val="0"/>
      </w:pPr>
    </w:p>
    <w:sectPr w:rsidR="001503AF" w:rsidSect="0096233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6CF9" w:rsidRDefault="00486CF9">
      <w:pPr>
        <w:spacing w:after="0"/>
      </w:pPr>
      <w:r>
        <w:separator/>
      </w:r>
    </w:p>
  </w:endnote>
  <w:endnote w:type="continuationSeparator" w:id="0">
    <w:p w:rsidR="00486CF9" w:rsidRDefault="00486CF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Whitney-Semibold">
    <w:altName w:val="微软雅黑"/>
    <w:panose1 w:val="00000000000000000000"/>
    <w:charset w:val="86"/>
    <w:family w:val="swiss"/>
    <w:notTrueType/>
    <w:pitch w:val="default"/>
    <w:sig w:usb0="00000001"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MyriadPro-Regular">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6CF9" w:rsidRDefault="00486CF9">
      <w:pPr>
        <w:spacing w:after="0"/>
      </w:pPr>
      <w:r>
        <w:separator/>
      </w:r>
    </w:p>
  </w:footnote>
  <w:footnote w:type="continuationSeparator" w:id="0">
    <w:p w:rsidR="00486CF9" w:rsidRDefault="00486CF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A82B45"/>
    <w:multiLevelType w:val="hybridMultilevel"/>
    <w:tmpl w:val="949458A2"/>
    <w:lvl w:ilvl="0" w:tplc="DDAEF43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53F3216"/>
    <w:multiLevelType w:val="hybridMultilevel"/>
    <w:tmpl w:val="28C69D0C"/>
    <w:lvl w:ilvl="0" w:tplc="19DC78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720"/>
  <w:drawingGridHorizontalSpacing w:val="110"/>
  <w:drawingGridVerticalSpacing w:val="156"/>
  <w:displayHorizontalDrawingGridEvery w:val="2"/>
  <w:displayVerticalDrawingGridEvery w:val="2"/>
  <w:characterSpacingControl w:val="doNotCompress"/>
  <w:hdrShapeDefaults>
    <o:shapedefaults v:ext="edit" spidmax="8194"/>
  </w:hdrShapeDefaults>
  <w:footnotePr>
    <w:footnote w:id="-1"/>
    <w:footnote w:id="0"/>
  </w:footnotePr>
  <w:endnotePr>
    <w:endnote w:id="-1"/>
    <w:endnote w:id="0"/>
  </w:endnotePr>
  <w:compat>
    <w:useFELayout/>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wrxa90xr3dw5zde92dpv0z0ir5zwtf5prfe9&quot;&gt;NG的EndNote库1&lt;record-ids&gt;&lt;item&gt;22&lt;/item&gt;&lt;item&gt;23&lt;/item&gt;&lt;item&gt;24&lt;/item&gt;&lt;item&gt;25&lt;/item&gt;&lt;item&gt;26&lt;/item&gt;&lt;item&gt;29&lt;/item&gt;&lt;item&gt;30&lt;/item&gt;&lt;item&gt;31&lt;/item&gt;&lt;item&gt;32&lt;/item&gt;&lt;item&gt;33&lt;/item&gt;&lt;item&gt;57&lt;/item&gt;&lt;item&gt;59&lt;/item&gt;&lt;item&gt;62&lt;/item&gt;&lt;item&gt;77&lt;/item&gt;&lt;item&gt;84&lt;/item&gt;&lt;item&gt;86&lt;/item&gt;&lt;item&gt;87&lt;/item&gt;&lt;item&gt;88&lt;/item&gt;&lt;item&gt;89&lt;/item&gt;&lt;item&gt;107&lt;/item&gt;&lt;item&gt;118&lt;/item&gt;&lt;/record-ids&gt;&lt;/item&gt;&lt;/Libraries&gt;"/>
  </w:docVars>
  <w:rsids>
    <w:rsidRoot w:val="00962338"/>
    <w:rsid w:val="00147784"/>
    <w:rsid w:val="001503AF"/>
    <w:rsid w:val="001C395B"/>
    <w:rsid w:val="00486CF9"/>
    <w:rsid w:val="005F5569"/>
    <w:rsid w:val="00774AE2"/>
    <w:rsid w:val="00892765"/>
    <w:rsid w:val="00962338"/>
    <w:rsid w:val="00BB26E1"/>
    <w:rsid w:val="00C30FE1"/>
    <w:rsid w:val="00E00A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338"/>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233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962338"/>
    <w:rPr>
      <w:rFonts w:ascii="Tahoma" w:hAnsi="Tahoma"/>
      <w:sz w:val="18"/>
      <w:szCs w:val="18"/>
    </w:rPr>
  </w:style>
  <w:style w:type="paragraph" w:styleId="a4">
    <w:name w:val="footer"/>
    <w:basedOn w:val="a"/>
    <w:link w:val="Char0"/>
    <w:uiPriority w:val="99"/>
    <w:unhideWhenUsed/>
    <w:rsid w:val="00962338"/>
    <w:pPr>
      <w:tabs>
        <w:tab w:val="center" w:pos="4153"/>
        <w:tab w:val="right" w:pos="8306"/>
      </w:tabs>
    </w:pPr>
    <w:rPr>
      <w:sz w:val="18"/>
      <w:szCs w:val="18"/>
    </w:rPr>
  </w:style>
  <w:style w:type="character" w:customStyle="1" w:styleId="Char0">
    <w:name w:val="页脚 Char"/>
    <w:basedOn w:val="a0"/>
    <w:link w:val="a4"/>
    <w:uiPriority w:val="99"/>
    <w:rsid w:val="00962338"/>
    <w:rPr>
      <w:rFonts w:ascii="Tahoma" w:hAnsi="Tahoma"/>
      <w:sz w:val="18"/>
      <w:szCs w:val="18"/>
    </w:rPr>
  </w:style>
  <w:style w:type="paragraph" w:styleId="a5">
    <w:name w:val="Balloon Text"/>
    <w:basedOn w:val="a"/>
    <w:link w:val="Char1"/>
    <w:uiPriority w:val="99"/>
    <w:semiHidden/>
    <w:unhideWhenUsed/>
    <w:rsid w:val="00962338"/>
    <w:pPr>
      <w:spacing w:after="0"/>
    </w:pPr>
    <w:rPr>
      <w:sz w:val="18"/>
      <w:szCs w:val="18"/>
    </w:rPr>
  </w:style>
  <w:style w:type="character" w:customStyle="1" w:styleId="Char1">
    <w:name w:val="批注框文本 Char"/>
    <w:basedOn w:val="a0"/>
    <w:link w:val="a5"/>
    <w:uiPriority w:val="99"/>
    <w:semiHidden/>
    <w:rsid w:val="00962338"/>
    <w:rPr>
      <w:rFonts w:ascii="Tahoma" w:hAnsi="Tahoma"/>
      <w:sz w:val="18"/>
      <w:szCs w:val="18"/>
    </w:rPr>
  </w:style>
  <w:style w:type="paragraph" w:styleId="a6">
    <w:name w:val="List Paragraph"/>
    <w:basedOn w:val="a"/>
    <w:uiPriority w:val="34"/>
    <w:qFormat/>
    <w:rsid w:val="00962338"/>
    <w:pPr>
      <w:widowControl w:val="0"/>
      <w:adjustRightInd/>
      <w:snapToGrid/>
      <w:spacing w:after="0"/>
      <w:ind w:firstLineChars="200" w:firstLine="420"/>
      <w:jc w:val="both"/>
    </w:pPr>
    <w:rPr>
      <w:rFonts w:ascii="Times New Roman" w:eastAsia="宋体" w:hAnsi="Times New Roman" w:cs="Times New Roman"/>
      <w:kern w:val="2"/>
      <w:sz w:val="21"/>
      <w:szCs w:val="24"/>
    </w:rPr>
  </w:style>
  <w:style w:type="table" w:styleId="a7">
    <w:name w:val="Table Grid"/>
    <w:basedOn w:val="a1"/>
    <w:uiPriority w:val="59"/>
    <w:rsid w:val="009623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annotation reference"/>
    <w:basedOn w:val="a0"/>
    <w:uiPriority w:val="99"/>
    <w:semiHidden/>
    <w:unhideWhenUsed/>
    <w:rsid w:val="00962338"/>
    <w:rPr>
      <w:sz w:val="21"/>
      <w:szCs w:val="21"/>
    </w:rPr>
  </w:style>
  <w:style w:type="paragraph" w:styleId="a9">
    <w:name w:val="annotation text"/>
    <w:basedOn w:val="a"/>
    <w:link w:val="Char2"/>
    <w:uiPriority w:val="99"/>
    <w:semiHidden/>
    <w:unhideWhenUsed/>
    <w:rsid w:val="00962338"/>
  </w:style>
  <w:style w:type="character" w:customStyle="1" w:styleId="Char2">
    <w:name w:val="批注文字 Char"/>
    <w:basedOn w:val="a0"/>
    <w:link w:val="a9"/>
    <w:uiPriority w:val="99"/>
    <w:semiHidden/>
    <w:rsid w:val="00962338"/>
    <w:rPr>
      <w:rFonts w:ascii="Tahoma" w:hAnsi="Tahoma"/>
    </w:rPr>
  </w:style>
  <w:style w:type="character" w:styleId="aa">
    <w:name w:val="Hyperlink"/>
    <w:basedOn w:val="a0"/>
    <w:uiPriority w:val="99"/>
    <w:unhideWhenUsed/>
    <w:qFormat/>
    <w:rsid w:val="00962338"/>
    <w:rPr>
      <w:color w:val="0000FF"/>
      <w:u w:val="single"/>
    </w:rPr>
  </w:style>
  <w:style w:type="paragraph" w:customStyle="1" w:styleId="EndNoteBibliography">
    <w:name w:val="EndNote Bibliography"/>
    <w:basedOn w:val="a"/>
    <w:link w:val="EndNoteBibliographyChar"/>
    <w:rsid w:val="00962338"/>
    <w:pPr>
      <w:jc w:val="both"/>
    </w:pPr>
    <w:rPr>
      <w:rFonts w:ascii="Times New Roman" w:eastAsiaTheme="minorEastAsia" w:hAnsi="Times New Roman" w:cs="Times New Roman"/>
      <w:noProof/>
    </w:rPr>
  </w:style>
  <w:style w:type="character" w:customStyle="1" w:styleId="EndNoteBibliographyChar">
    <w:name w:val="EndNote Bibliography Char"/>
    <w:basedOn w:val="a0"/>
    <w:link w:val="EndNoteBibliography"/>
    <w:rsid w:val="00962338"/>
    <w:rPr>
      <w:rFonts w:ascii="Times New Roman" w:eastAsiaTheme="minorEastAsia" w:hAnsi="Times New Roman" w:cs="Times New Roman"/>
      <w:noProof/>
    </w:rPr>
  </w:style>
  <w:style w:type="paragraph" w:customStyle="1" w:styleId="EndNoteBibliographyTitle">
    <w:name w:val="EndNote Bibliography Title"/>
    <w:basedOn w:val="a"/>
    <w:link w:val="EndNoteBibliographyTitle0"/>
    <w:rsid w:val="00962338"/>
    <w:pPr>
      <w:spacing w:after="0"/>
      <w:jc w:val="center"/>
    </w:pPr>
    <w:rPr>
      <w:rFonts w:ascii="Times New Roman" w:hAnsi="Times New Roman" w:cs="Times New Roman"/>
      <w:noProof/>
    </w:rPr>
  </w:style>
  <w:style w:type="character" w:customStyle="1" w:styleId="EndNoteBibliographyTitle0">
    <w:name w:val="EndNote Bibliography Title 字符"/>
    <w:basedOn w:val="a0"/>
    <w:link w:val="EndNoteBibliographyTitle"/>
    <w:rsid w:val="00962338"/>
    <w:rPr>
      <w:rFonts w:ascii="Times New Roman" w:hAnsi="Times New Roman" w:cs="Times New Roman"/>
      <w:noProof/>
    </w:rPr>
  </w:style>
  <w:style w:type="character" w:customStyle="1" w:styleId="UnresolvedMention">
    <w:name w:val="Unresolved Mention"/>
    <w:basedOn w:val="a0"/>
    <w:uiPriority w:val="99"/>
    <w:semiHidden/>
    <w:unhideWhenUsed/>
    <w:rsid w:val="00962338"/>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38740698">
      <w:bodyDiv w:val="1"/>
      <w:marLeft w:val="0"/>
      <w:marRight w:val="0"/>
      <w:marTop w:val="0"/>
      <w:marBottom w:val="0"/>
      <w:divBdr>
        <w:top w:val="none" w:sz="0" w:space="0" w:color="auto"/>
        <w:left w:val="none" w:sz="0" w:space="0" w:color="auto"/>
        <w:bottom w:val="none" w:sz="0" w:space="0" w:color="auto"/>
        <w:right w:val="none" w:sz="0" w:space="0" w:color="auto"/>
      </w:divBdr>
      <w:divsChild>
        <w:div w:id="889150815">
          <w:marLeft w:val="0"/>
          <w:marRight w:val="0"/>
          <w:marTop w:val="0"/>
          <w:marBottom w:val="0"/>
          <w:divBdr>
            <w:top w:val="none" w:sz="0" w:space="0" w:color="auto"/>
            <w:left w:val="none" w:sz="0" w:space="0" w:color="auto"/>
            <w:bottom w:val="none" w:sz="0" w:space="0" w:color="auto"/>
            <w:right w:val="none" w:sz="0" w:space="0" w:color="auto"/>
          </w:divBdr>
        </w:div>
      </w:divsChild>
    </w:div>
    <w:div w:id="949434863">
      <w:bodyDiv w:val="1"/>
      <w:marLeft w:val="0"/>
      <w:marRight w:val="0"/>
      <w:marTop w:val="0"/>
      <w:marBottom w:val="0"/>
      <w:divBdr>
        <w:top w:val="none" w:sz="0" w:space="0" w:color="auto"/>
        <w:left w:val="none" w:sz="0" w:space="0" w:color="auto"/>
        <w:bottom w:val="none" w:sz="0" w:space="0" w:color="auto"/>
        <w:right w:val="none" w:sz="0" w:space="0" w:color="auto"/>
      </w:divBdr>
      <w:divsChild>
        <w:div w:id="387344396">
          <w:marLeft w:val="0"/>
          <w:marRight w:val="0"/>
          <w:marTop w:val="0"/>
          <w:marBottom w:val="0"/>
          <w:divBdr>
            <w:top w:val="none" w:sz="0" w:space="0" w:color="auto"/>
            <w:left w:val="none" w:sz="0" w:space="0" w:color="auto"/>
            <w:bottom w:val="none" w:sz="0" w:space="0" w:color="auto"/>
            <w:right w:val="none" w:sz="0" w:space="0" w:color="auto"/>
          </w:divBdr>
        </w:div>
      </w:divsChild>
    </w:div>
    <w:div w:id="1338848125">
      <w:bodyDiv w:val="1"/>
      <w:marLeft w:val="0"/>
      <w:marRight w:val="0"/>
      <w:marTop w:val="0"/>
      <w:marBottom w:val="0"/>
      <w:divBdr>
        <w:top w:val="none" w:sz="0" w:space="0" w:color="auto"/>
        <w:left w:val="none" w:sz="0" w:space="0" w:color="auto"/>
        <w:bottom w:val="none" w:sz="0" w:space="0" w:color="auto"/>
        <w:right w:val="none" w:sz="0" w:space="0" w:color="auto"/>
      </w:divBdr>
    </w:div>
    <w:div w:id="1736277486">
      <w:bodyDiv w:val="1"/>
      <w:marLeft w:val="0"/>
      <w:marRight w:val="0"/>
      <w:marTop w:val="0"/>
      <w:marBottom w:val="0"/>
      <w:divBdr>
        <w:top w:val="none" w:sz="0" w:space="0" w:color="auto"/>
        <w:left w:val="none" w:sz="0" w:space="0" w:color="auto"/>
        <w:bottom w:val="none" w:sz="0" w:space="0" w:color="auto"/>
        <w:right w:val="none" w:sz="0" w:space="0" w:color="auto"/>
      </w:divBdr>
      <w:divsChild>
        <w:div w:id="1517622469">
          <w:marLeft w:val="0"/>
          <w:marRight w:val="0"/>
          <w:marTop w:val="0"/>
          <w:marBottom w:val="0"/>
          <w:divBdr>
            <w:top w:val="none" w:sz="0" w:space="0" w:color="auto"/>
            <w:left w:val="none" w:sz="0" w:space="0" w:color="auto"/>
            <w:bottom w:val="none" w:sz="0" w:space="0" w:color="auto"/>
            <w:right w:val="none" w:sz="0" w:space="0" w:color="auto"/>
          </w:divBdr>
        </w:div>
      </w:divsChild>
    </w:div>
    <w:div w:id="1911891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8A864-C369-47D5-AE16-F3C12222F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1439</Words>
  <Characters>8203</Characters>
  <Application>Microsoft Office Word</Application>
  <DocSecurity>0</DocSecurity>
  <Lines>68</Lines>
  <Paragraphs>19</Paragraphs>
  <ScaleCrop>false</ScaleCrop>
  <Company/>
  <LinksUpToDate>false</LinksUpToDate>
  <CharactersWithSpaces>9623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dc:creator>
  <cp:lastModifiedBy>微软中国</cp:lastModifiedBy>
  <cp:revision>4</cp:revision>
  <dcterms:created xsi:type="dcterms:W3CDTF">2020-06-19T06:40:00Z</dcterms:created>
  <dcterms:modified xsi:type="dcterms:W3CDTF">2020-06-20T07:40:00Z</dcterms:modified>
</cp:coreProperties>
</file>