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97A03" w14:textId="526BC8D4" w:rsidR="008A0086" w:rsidRPr="005240CC" w:rsidRDefault="008A0086" w:rsidP="008A0086">
      <w:pPr>
        <w:spacing w:line="480" w:lineRule="auto"/>
        <w:rPr>
          <w:rFonts w:ascii="Times New Roman" w:eastAsia="Times New Roman" w:hAnsi="Times New Roman" w:cs="Times New Roman"/>
          <w:b/>
          <w:sz w:val="20"/>
          <w:szCs w:val="20"/>
        </w:rPr>
      </w:pPr>
      <w:r w:rsidRPr="005240CC">
        <w:rPr>
          <w:rFonts w:ascii="Times New Roman" w:eastAsia="Times New Roman" w:hAnsi="Times New Roman" w:cs="Times New Roman"/>
          <w:b/>
          <w:sz w:val="20"/>
          <w:szCs w:val="20"/>
        </w:rPr>
        <w:t>Online Resource 2 – Construction of urban green and gray spaces polygon</w:t>
      </w:r>
      <w:r w:rsidR="003628B9">
        <w:rPr>
          <w:rFonts w:ascii="Times New Roman" w:eastAsia="Times New Roman" w:hAnsi="Times New Roman" w:cs="Times New Roman"/>
          <w:b/>
          <w:sz w:val="20"/>
          <w:szCs w:val="20"/>
        </w:rPr>
        <w:t>s</w:t>
      </w:r>
    </w:p>
    <w:p w14:paraId="38EA9C9B" w14:textId="77777777" w:rsidR="008A0086" w:rsidRPr="005240CC" w:rsidRDefault="008A0086" w:rsidP="008A0086">
      <w:pPr>
        <w:spacing w:line="480" w:lineRule="auto"/>
        <w:rPr>
          <w:rFonts w:ascii="Times New Roman" w:eastAsia="Times New Roman" w:hAnsi="Times New Roman" w:cs="Times New Roman"/>
          <w:b/>
          <w:sz w:val="20"/>
          <w:szCs w:val="20"/>
        </w:rPr>
      </w:pPr>
    </w:p>
    <w:p w14:paraId="5D705895" w14:textId="1A04B45C" w:rsidR="00B733E9" w:rsidRDefault="00F42935" w:rsidP="00F42935">
      <w:pPr>
        <w:spacing w:line="480" w:lineRule="auto"/>
      </w:pPr>
      <w:r w:rsidRPr="00F42935">
        <w:rPr>
          <w:rFonts w:ascii="Times New Roman" w:eastAsia="Times New Roman" w:hAnsi="Times New Roman" w:cs="Times New Roman"/>
          <w:sz w:val="20"/>
          <w:szCs w:val="20"/>
        </w:rPr>
        <w:t>For each sampling point, a 100m buffer was defined, within which each urban green space polygon was delineated manually. To establish the groundwork for imagery, we employed the latest available images from Google Earth. Subsequently, a satellite image was extracted for each buffer zone, and the urban green space polygons were crafted using GIS software editing tools (see Fig. 3). The construction of these polygons adhered to a scale of 1:1,000. To validate the accuracy of all created polygons, in situ validation was systematically carried out. Google Street View played a pivotal role in identifying urban green spaces, being utilized selectively to ensure proximity between the image capture date and the bird sampling data.</w:t>
      </w:r>
    </w:p>
    <w:sectPr w:rsidR="00B733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86"/>
    <w:rsid w:val="000D065F"/>
    <w:rsid w:val="00107164"/>
    <w:rsid w:val="003628B9"/>
    <w:rsid w:val="008A0086"/>
    <w:rsid w:val="00B733E9"/>
    <w:rsid w:val="00F429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99BC"/>
  <w15:chartTrackingRefBased/>
  <w15:docId w15:val="{846F6414-7A87-463A-A1B7-CBAB4E30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086"/>
    <w:pPr>
      <w:spacing w:after="0" w:line="276" w:lineRule="auto"/>
    </w:pPr>
    <w:rPr>
      <w:rFonts w:ascii="Arial" w:eastAsia="Arial" w:hAnsi="Arial" w:cs="Arial"/>
      <w:kern w:val="0"/>
      <w:lang w:val="en-US" w:eastAsia="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126</Words>
  <Characters>681</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J Piratelli</dc:creator>
  <cp:keywords/>
  <dc:description/>
  <cp:lastModifiedBy>Augusto J Piratelli</cp:lastModifiedBy>
  <cp:revision>4</cp:revision>
  <dcterms:created xsi:type="dcterms:W3CDTF">2023-11-26T15:30:00Z</dcterms:created>
  <dcterms:modified xsi:type="dcterms:W3CDTF">2023-12-04T20:47:00Z</dcterms:modified>
</cp:coreProperties>
</file>