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480" w:lineRule="auto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Online Resource 4 –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Mean sampled area and respective class of urban green and gray types for each count point.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48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48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The data may be accessed by the following link: https://docs.google.com/spreadsheets/d/1WA8R-3ksXFhCD_ok-iCDWnZU1DCFZJOY/edit?usp=drive_link&amp;ouid=117309196754508071115&amp;rtpof=true&amp;sd=true</w:t>
      </w:r>
    </w:p>
    <w:p w:rsidR="00000000" w:rsidDel="00000000" w:rsidP="00000000" w:rsidRDefault="00000000" w:rsidRPr="00000000" w14:paraId="00000004">
      <w:pPr>
        <w:spacing w:line="48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-U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PBqAE0C4hMLaZgGmjolOdJ4YOA==">CgMxLjA4AHIhMUtZWTVOSS12ZW50MC1oamNUMFFjOGIzal81WXUyUlpq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