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6702189" cy="536501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02189" cy="53650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48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Online Resource 12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– Relationship between the studied sites and infrastructures by color in three lines of descriptive analysis. A) Number of polygons of green infrastructure by study sites; B) Number of types of gray infrastructures by study site; C) Number of types of green infrastructures by study sites; D) Number of polygons of gray infrastructure by study sites. The highlighted boxes indicate the existence of either relationship or not between the urban sprawl models.</w:t>
      </w:r>
      <w:r w:rsidDel="00000000" w:rsidR="00000000" w:rsidRPr="00000000">
        <w:rPr>
          <w:rtl w:val="0"/>
        </w:rPr>
      </w:r>
    </w:p>
    <w:sectPr>
      <w:pgSz w:h="11906" w:w="16838" w:orient="landscape"/>
      <w:pgMar w:bottom="1000" w:top="708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LhdeyiYvqvX4LPUxgN85VsD5dA==">CgMxLjA4AHIhMUthb1ZqRzhGNUZKdFo4bUk1SWFhZnk3Nkg0MV9hcUdP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