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rPr>
          <w:szCs w:val="24"/>
        </w:rPr>
      </w:pPr>
      <w:r>
        <w:rPr>
          <w:b/>
          <w:bCs/>
          <w:szCs w:val="24"/>
        </w:rPr>
        <w:t xml:space="preserve">FIGURE S5 </w:t>
      </w:r>
      <w:r>
        <w:rPr>
          <w:szCs w:val="24"/>
        </w:rPr>
        <w:t>The comparsion of post-operative complication rate between TNT and NCRT (subgroup analysis)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-179705</wp:posOffset>
            </wp:positionH>
            <wp:positionV relativeFrom="page">
              <wp:posOffset>1567180</wp:posOffset>
            </wp:positionV>
            <wp:extent cx="5989955" cy="3465830"/>
            <wp:effectExtent l="0" t="0" r="14605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9955" cy="346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5FB"/>
    <w:rsid w:val="000040A3"/>
    <w:rsid w:val="000E04DF"/>
    <w:rsid w:val="003415FB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2204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2021-02-16T13:02:00Z</dcterms:created>
  <dc:creator>李 干斌</dc:creator>
  <cp:lastModifiedBy>李干斌</cp:lastModifiedBy>
  <dcterms:modified xsi:type="dcterms:W3CDTF">2021-03-07T04:14:06Z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