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B7810" w14:textId="77777777" w:rsidR="00777EE1" w:rsidRDefault="00777EE1" w:rsidP="00777EE1">
      <w:pPr>
        <w:suppressAutoHyphens w:val="0"/>
        <w:spacing w:line="240" w:lineRule="auto"/>
        <w:ind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42D9AA65" w14:textId="77777777" w:rsidR="00777EE1" w:rsidRDefault="00777EE1" w:rsidP="00777EE1">
      <w:pPr>
        <w:ind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336AC174" w14:textId="77777777" w:rsidR="00777EE1" w:rsidRDefault="00777EE1" w:rsidP="00777EE1">
      <w:pPr>
        <w:rPr>
          <w:rFonts w:ascii="Times New Roman" w:hAnsi="Times New Roman" w:cs="Times New Roman"/>
          <w:b/>
          <w:color w:val="000000" w:themeColor="text1"/>
          <w:sz w:val="22"/>
        </w:rPr>
      </w:pPr>
      <w:r w:rsidRPr="001D0FA9">
        <w:rPr>
          <w:rFonts w:ascii="Times New Roman" w:hAnsi="Times New Roman" w:cs="Times New Roman"/>
          <w:b/>
          <w:noProof/>
          <w:color w:val="000000" w:themeColor="text1"/>
          <w:sz w:val="22"/>
        </w:rPr>
        <w:drawing>
          <wp:inline distT="0" distB="0" distL="0" distR="0" wp14:anchorId="13C7803D" wp14:editId="678F5696">
            <wp:extent cx="5943600" cy="5248275"/>
            <wp:effectExtent l="0" t="0" r="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84EC2BA5-C92E-B8AE-FE3A-7E93A02503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84EC2BA5-C92E-B8AE-FE3A-7E93A02503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17" r="1551"/>
                    <a:stretch/>
                  </pic:blipFill>
                  <pic:spPr>
                    <a:xfrm>
                      <a:off x="0" y="0"/>
                      <a:ext cx="5943600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C5409" w14:textId="77777777" w:rsidR="00777EE1" w:rsidRPr="00C245E7" w:rsidRDefault="00777EE1" w:rsidP="00777EE1">
      <w:pPr>
        <w:ind w:firstLine="0"/>
        <w:jc w:val="left"/>
        <w:rPr>
          <w:rFonts w:ascii="Times New Roman" w:hAnsi="Times New Roman" w:cs="Times New Roman"/>
          <w:bCs/>
          <w:sz w:val="22"/>
        </w:rPr>
      </w:pPr>
      <w:r w:rsidRPr="007332D6">
        <w:rPr>
          <w:rFonts w:ascii="Times New Roman" w:hAnsi="Times New Roman" w:cs="Times New Roman"/>
          <w:b/>
          <w:bCs/>
          <w:sz w:val="22"/>
        </w:rPr>
        <w:t xml:space="preserve">Extended Data Fig. </w:t>
      </w:r>
      <w:r w:rsidRPr="007332D6">
        <w:rPr>
          <w:rFonts w:ascii="Times New Roman" w:hAnsi="Times New Roman" w:cs="Times New Roman"/>
          <w:b/>
          <w:color w:val="000000" w:themeColor="text1"/>
          <w:sz w:val="22"/>
        </w:rPr>
        <w:t>1</w:t>
      </w:r>
      <w:r w:rsidRPr="007332D6">
        <w:rPr>
          <w:rFonts w:ascii="Times New Roman" w:hAnsi="Times New Roman" w:cs="Times New Roman" w:hint="eastAsia"/>
          <w:b/>
          <w:color w:val="000000" w:themeColor="text1"/>
          <w:sz w:val="22"/>
        </w:rPr>
        <w:t>|</w:t>
      </w:r>
      <w:r w:rsidRPr="00C245E7">
        <w:rPr>
          <w:rFonts w:ascii="Times New Roman" w:hAnsi="Times New Roman" w:cs="Times New Roman"/>
          <w:bCs/>
          <w:color w:val="000000" w:themeColor="text1"/>
          <w:sz w:val="22"/>
        </w:rPr>
        <w:t>Ablation studies of TranSpec.</w:t>
      </w:r>
      <w:r w:rsidRPr="00C245E7">
        <w:rPr>
          <w:bCs/>
        </w:rPr>
        <w:t xml:space="preserve"> </w:t>
      </w:r>
      <w:r w:rsidRPr="00C245E7">
        <w:rPr>
          <w:rFonts w:ascii="Times New Roman" w:hAnsi="Times New Roman" w:cs="Times New Roman"/>
          <w:bCs/>
          <w:color w:val="000000" w:themeColor="text1"/>
          <w:sz w:val="22"/>
        </w:rPr>
        <w:t>Ablation experiments were performed to test the number of convolutional layers, the number of heads of multi-head attention, the activation function, and the number of decoder layers</w:t>
      </w:r>
      <w:r w:rsidRPr="00C245E7">
        <w:rPr>
          <w:rFonts w:ascii="Times New Roman" w:hAnsi="Times New Roman" w:cs="Times New Roman" w:hint="eastAsia"/>
          <w:bCs/>
          <w:color w:val="000000" w:themeColor="text1"/>
          <w:sz w:val="22"/>
        </w:rPr>
        <w:t>,</w:t>
      </w:r>
      <w:r w:rsidRPr="00C245E7">
        <w:rPr>
          <w:rFonts w:ascii="Times New Roman" w:hAnsi="Times New Roman" w:cs="Times New Roman"/>
          <w:bCs/>
          <w:color w:val="000000" w:themeColor="text1"/>
          <w:sz w:val="22"/>
        </w:rPr>
        <w:t xml:space="preserve"> The model has the best performance with parameter values of N=6, Nhead=8, use ReLU, Num layer=2.</w:t>
      </w:r>
    </w:p>
    <w:p w14:paraId="1F80AF65" w14:textId="77777777" w:rsidR="00777EE1" w:rsidRPr="0064123C" w:rsidRDefault="00777EE1" w:rsidP="00777EE1">
      <w:pPr>
        <w:ind w:firstLine="0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PlainTable1"/>
        <w:tblpPr w:leftFromText="180" w:rightFromText="180" w:vertAnchor="page" w:horzAnchor="margin" w:tblpXSpec="center" w:tblpY="1591"/>
        <w:tblW w:w="8403" w:type="dxa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1619"/>
        <w:gridCol w:w="1770"/>
        <w:gridCol w:w="1617"/>
        <w:gridCol w:w="1780"/>
      </w:tblGrid>
      <w:tr w:rsidR="00777EE1" w:rsidRPr="004F48BB" w14:paraId="6B1E6A43" w14:textId="77777777" w:rsidTr="002B7E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vMerge w:val="restart"/>
            <w:shd w:val="clear" w:color="auto" w:fill="D9D7C2"/>
            <w:noWrap/>
            <w:vAlign w:val="center"/>
            <w:hideMark/>
          </w:tcPr>
          <w:p w14:paraId="26D56C2B" w14:textId="77777777" w:rsidR="00777EE1" w:rsidRPr="004F48BB" w:rsidRDefault="00777EE1" w:rsidP="002B7E8D">
            <w:pPr>
              <w:suppressAutoHyphens w:val="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lastRenderedPageBreak/>
              <w:t xml:space="preserve">Functional 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g</w:t>
            </w: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roups</w:t>
            </w:r>
          </w:p>
        </w:tc>
        <w:tc>
          <w:tcPr>
            <w:tcW w:w="6786" w:type="dxa"/>
            <w:gridSpan w:val="4"/>
            <w:shd w:val="clear" w:color="auto" w:fill="D9D7C2"/>
            <w:vAlign w:val="center"/>
          </w:tcPr>
          <w:p w14:paraId="64A3631E" w14:textId="77777777" w:rsidR="00777EE1" w:rsidRPr="004F48BB" w:rsidRDefault="00777EE1" w:rsidP="002B7E8D">
            <w:pPr>
              <w:suppressAutoHyphens w:val="0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N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o. and proportion of the molecules that contains the functional groups</w:t>
            </w:r>
          </w:p>
        </w:tc>
      </w:tr>
      <w:tr w:rsidR="00777EE1" w:rsidRPr="004F48BB" w14:paraId="5B01EC4F" w14:textId="77777777" w:rsidTr="002B7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vMerge/>
            <w:shd w:val="clear" w:color="auto" w:fill="D9D7C2"/>
            <w:noWrap/>
            <w:vAlign w:val="center"/>
          </w:tcPr>
          <w:p w14:paraId="08DF698E" w14:textId="77777777" w:rsidR="00777EE1" w:rsidRPr="004F48BB" w:rsidRDefault="00777EE1" w:rsidP="002B7E8D">
            <w:pPr>
              <w:suppressAutoHyphens w:val="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</w:p>
        </w:tc>
        <w:tc>
          <w:tcPr>
            <w:tcW w:w="1619" w:type="dxa"/>
            <w:shd w:val="clear" w:color="auto" w:fill="D9D7C2"/>
            <w:vAlign w:val="center"/>
          </w:tcPr>
          <w:p w14:paraId="7DE11E8F" w14:textId="77777777" w:rsidR="00777EE1" w:rsidRDefault="00777EE1" w:rsidP="002B7E8D">
            <w:pPr>
              <w:suppressAutoHyphens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No. of the molecules that include the groups in QM9S</w:t>
            </w:r>
          </w:p>
        </w:tc>
        <w:tc>
          <w:tcPr>
            <w:tcW w:w="1770" w:type="dxa"/>
            <w:shd w:val="clear" w:color="auto" w:fill="D9D7C2"/>
            <w:vAlign w:val="center"/>
          </w:tcPr>
          <w:p w14:paraId="405E5A12" w14:textId="77777777" w:rsidR="00777EE1" w:rsidRPr="00076B97" w:rsidRDefault="00777EE1" w:rsidP="002B7E8D">
            <w:pPr>
              <w:suppressAutoHyphens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076B97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 xml:space="preserve">Proportion 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of the molecules that include the groups in QM9S</w:t>
            </w: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 xml:space="preserve"> (%)</w:t>
            </w:r>
          </w:p>
        </w:tc>
        <w:tc>
          <w:tcPr>
            <w:tcW w:w="1617" w:type="dxa"/>
            <w:shd w:val="clear" w:color="auto" w:fill="D9D7C2"/>
            <w:vAlign w:val="center"/>
          </w:tcPr>
          <w:p w14:paraId="7EB243C5" w14:textId="77777777" w:rsidR="00777EE1" w:rsidRPr="00AB00D8" w:rsidRDefault="00777EE1" w:rsidP="002B7E8D">
            <w:pPr>
              <w:suppressAutoHyphens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No. of the molecules that include the groups in NIST</w:t>
            </w:r>
          </w:p>
        </w:tc>
        <w:tc>
          <w:tcPr>
            <w:tcW w:w="1780" w:type="dxa"/>
            <w:shd w:val="clear" w:color="auto" w:fill="D9D7C2"/>
            <w:vAlign w:val="center"/>
          </w:tcPr>
          <w:p w14:paraId="17DED79A" w14:textId="77777777" w:rsidR="00777EE1" w:rsidRPr="00076B97" w:rsidRDefault="00777EE1" w:rsidP="002B7E8D">
            <w:pPr>
              <w:suppressAutoHyphens w:val="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076B97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 xml:space="preserve">Proportion </w:t>
            </w:r>
            <w:r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of the molecules that include the groups in  NIST</w:t>
            </w: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 xml:space="preserve">  (%)</w:t>
            </w:r>
          </w:p>
        </w:tc>
      </w:tr>
      <w:tr w:rsidR="00777EE1" w:rsidRPr="00AB00D8" w14:paraId="43154962" w14:textId="77777777" w:rsidTr="002B7E8D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noWrap/>
            <w:hideMark/>
          </w:tcPr>
          <w:p w14:paraId="73D389D5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alkane</w:t>
            </w:r>
          </w:p>
        </w:tc>
        <w:tc>
          <w:tcPr>
            <w:tcW w:w="1619" w:type="dxa"/>
            <w:vAlign w:val="center"/>
          </w:tcPr>
          <w:p w14:paraId="155BA93E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121823</w:t>
            </w:r>
          </w:p>
        </w:tc>
        <w:tc>
          <w:tcPr>
            <w:tcW w:w="1770" w:type="dxa"/>
            <w:vAlign w:val="bottom"/>
          </w:tcPr>
          <w:p w14:paraId="7878628C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95.57</w:t>
            </w:r>
          </w:p>
        </w:tc>
        <w:tc>
          <w:tcPr>
            <w:tcW w:w="1617" w:type="dxa"/>
            <w:vAlign w:val="center"/>
          </w:tcPr>
          <w:p w14:paraId="3D698973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4755</w:t>
            </w:r>
          </w:p>
        </w:tc>
        <w:tc>
          <w:tcPr>
            <w:tcW w:w="1780" w:type="dxa"/>
            <w:vAlign w:val="bottom"/>
          </w:tcPr>
          <w:p w14:paraId="14CACC88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72.88</w:t>
            </w:r>
          </w:p>
        </w:tc>
      </w:tr>
      <w:tr w:rsidR="00777EE1" w:rsidRPr="00AB00D8" w14:paraId="2587E0D3" w14:textId="77777777" w:rsidTr="002B7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shd w:val="clear" w:color="auto" w:fill="EDEBDF"/>
            <w:noWrap/>
            <w:hideMark/>
          </w:tcPr>
          <w:p w14:paraId="22AD157C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alkene</w:t>
            </w:r>
          </w:p>
        </w:tc>
        <w:tc>
          <w:tcPr>
            <w:tcW w:w="1619" w:type="dxa"/>
            <w:shd w:val="clear" w:color="auto" w:fill="EDEBDF"/>
            <w:vAlign w:val="center"/>
          </w:tcPr>
          <w:p w14:paraId="651E0A90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16234</w:t>
            </w:r>
          </w:p>
        </w:tc>
        <w:tc>
          <w:tcPr>
            <w:tcW w:w="1770" w:type="dxa"/>
            <w:shd w:val="clear" w:color="auto" w:fill="EDEBDF"/>
            <w:vAlign w:val="bottom"/>
          </w:tcPr>
          <w:p w14:paraId="4C883252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12.74</w:t>
            </w:r>
          </w:p>
        </w:tc>
        <w:tc>
          <w:tcPr>
            <w:tcW w:w="1617" w:type="dxa"/>
            <w:shd w:val="clear" w:color="auto" w:fill="EDEBDF"/>
            <w:vAlign w:val="center"/>
          </w:tcPr>
          <w:p w14:paraId="1FFF3EDF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839</w:t>
            </w:r>
          </w:p>
        </w:tc>
        <w:tc>
          <w:tcPr>
            <w:tcW w:w="1780" w:type="dxa"/>
            <w:shd w:val="clear" w:color="auto" w:fill="EDEBDF"/>
            <w:vAlign w:val="bottom"/>
          </w:tcPr>
          <w:p w14:paraId="1E1BA4A4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12.86</w:t>
            </w:r>
          </w:p>
        </w:tc>
      </w:tr>
      <w:tr w:rsidR="00777EE1" w:rsidRPr="00AB00D8" w14:paraId="21DD0266" w14:textId="77777777" w:rsidTr="002B7E8D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noWrap/>
            <w:hideMark/>
          </w:tcPr>
          <w:p w14:paraId="68C8CFCC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alkyne</w:t>
            </w:r>
          </w:p>
        </w:tc>
        <w:tc>
          <w:tcPr>
            <w:tcW w:w="1619" w:type="dxa"/>
            <w:vAlign w:val="center"/>
          </w:tcPr>
          <w:p w14:paraId="7AD8BA72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15623</w:t>
            </w:r>
          </w:p>
        </w:tc>
        <w:tc>
          <w:tcPr>
            <w:tcW w:w="1770" w:type="dxa"/>
            <w:vAlign w:val="bottom"/>
          </w:tcPr>
          <w:p w14:paraId="6775927C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12.26</w:t>
            </w:r>
          </w:p>
        </w:tc>
        <w:tc>
          <w:tcPr>
            <w:tcW w:w="1617" w:type="dxa"/>
            <w:vAlign w:val="center"/>
          </w:tcPr>
          <w:p w14:paraId="24818E9E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118</w:t>
            </w:r>
          </w:p>
        </w:tc>
        <w:tc>
          <w:tcPr>
            <w:tcW w:w="1780" w:type="dxa"/>
            <w:vAlign w:val="bottom"/>
          </w:tcPr>
          <w:p w14:paraId="194908A3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1.81</w:t>
            </w:r>
          </w:p>
        </w:tc>
      </w:tr>
      <w:tr w:rsidR="00777EE1" w:rsidRPr="00AB00D8" w14:paraId="3E9EA48F" w14:textId="77777777" w:rsidTr="002B7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shd w:val="clear" w:color="auto" w:fill="EDEBDF"/>
            <w:noWrap/>
            <w:hideMark/>
          </w:tcPr>
          <w:p w14:paraId="36B1CAD6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aromatics</w:t>
            </w:r>
          </w:p>
        </w:tc>
        <w:tc>
          <w:tcPr>
            <w:tcW w:w="1619" w:type="dxa"/>
            <w:shd w:val="clear" w:color="auto" w:fill="EDEBDF"/>
            <w:vAlign w:val="center"/>
          </w:tcPr>
          <w:p w14:paraId="5DBF4E07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21509</w:t>
            </w:r>
          </w:p>
        </w:tc>
        <w:tc>
          <w:tcPr>
            <w:tcW w:w="1770" w:type="dxa"/>
            <w:shd w:val="clear" w:color="auto" w:fill="EDEBDF"/>
            <w:vAlign w:val="bottom"/>
          </w:tcPr>
          <w:p w14:paraId="0F215E07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16.87</w:t>
            </w:r>
          </w:p>
        </w:tc>
        <w:tc>
          <w:tcPr>
            <w:tcW w:w="1617" w:type="dxa"/>
            <w:shd w:val="clear" w:color="auto" w:fill="EDEBDF"/>
            <w:vAlign w:val="center"/>
          </w:tcPr>
          <w:p w14:paraId="0E20F336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3475</w:t>
            </w:r>
          </w:p>
        </w:tc>
        <w:tc>
          <w:tcPr>
            <w:tcW w:w="1780" w:type="dxa"/>
            <w:shd w:val="clear" w:color="auto" w:fill="EDEBDF"/>
            <w:vAlign w:val="bottom"/>
          </w:tcPr>
          <w:p w14:paraId="211F08BB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53.26</w:t>
            </w:r>
          </w:p>
        </w:tc>
      </w:tr>
      <w:tr w:rsidR="00777EE1" w:rsidRPr="00AB00D8" w14:paraId="656D81DB" w14:textId="77777777" w:rsidTr="002B7E8D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noWrap/>
          </w:tcPr>
          <w:p w14:paraId="671BC562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alcohols</w:t>
            </w:r>
          </w:p>
        </w:tc>
        <w:tc>
          <w:tcPr>
            <w:tcW w:w="1619" w:type="dxa"/>
            <w:vAlign w:val="center"/>
          </w:tcPr>
          <w:p w14:paraId="2F702CB9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40958</w:t>
            </w:r>
          </w:p>
        </w:tc>
        <w:tc>
          <w:tcPr>
            <w:tcW w:w="1770" w:type="dxa"/>
            <w:vAlign w:val="bottom"/>
          </w:tcPr>
          <w:p w14:paraId="7D70932A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32.13</w:t>
            </w:r>
          </w:p>
        </w:tc>
        <w:tc>
          <w:tcPr>
            <w:tcW w:w="1617" w:type="dxa"/>
            <w:vAlign w:val="center"/>
          </w:tcPr>
          <w:p w14:paraId="62CAA9EB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1324</w:t>
            </w:r>
          </w:p>
        </w:tc>
        <w:tc>
          <w:tcPr>
            <w:tcW w:w="1780" w:type="dxa"/>
            <w:vAlign w:val="bottom"/>
          </w:tcPr>
          <w:p w14:paraId="13E5795C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20.29</w:t>
            </w:r>
          </w:p>
        </w:tc>
      </w:tr>
      <w:tr w:rsidR="00777EE1" w:rsidRPr="00AB00D8" w14:paraId="4B16527F" w14:textId="77777777" w:rsidTr="002B7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shd w:val="clear" w:color="auto" w:fill="EDEBDF"/>
            <w:noWrap/>
          </w:tcPr>
          <w:p w14:paraId="351B9AAE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aldehydes</w:t>
            </w:r>
          </w:p>
        </w:tc>
        <w:tc>
          <w:tcPr>
            <w:tcW w:w="1619" w:type="dxa"/>
            <w:shd w:val="clear" w:color="auto" w:fill="EDEBDF"/>
            <w:vAlign w:val="center"/>
          </w:tcPr>
          <w:p w14:paraId="7F09E32B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13407</w:t>
            </w:r>
          </w:p>
        </w:tc>
        <w:tc>
          <w:tcPr>
            <w:tcW w:w="1770" w:type="dxa"/>
            <w:shd w:val="clear" w:color="auto" w:fill="EDEBDF"/>
            <w:vAlign w:val="bottom"/>
          </w:tcPr>
          <w:p w14:paraId="395CE048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10.52</w:t>
            </w:r>
          </w:p>
        </w:tc>
        <w:tc>
          <w:tcPr>
            <w:tcW w:w="1617" w:type="dxa"/>
            <w:shd w:val="clear" w:color="auto" w:fill="EDEBDF"/>
            <w:vAlign w:val="center"/>
          </w:tcPr>
          <w:p w14:paraId="3B150725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162</w:t>
            </w:r>
          </w:p>
        </w:tc>
        <w:tc>
          <w:tcPr>
            <w:tcW w:w="1780" w:type="dxa"/>
            <w:shd w:val="clear" w:color="auto" w:fill="EDEBDF"/>
            <w:vAlign w:val="bottom"/>
          </w:tcPr>
          <w:p w14:paraId="30BFD9E1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2.48</w:t>
            </w:r>
          </w:p>
        </w:tc>
      </w:tr>
      <w:tr w:rsidR="00777EE1" w:rsidRPr="00AB00D8" w14:paraId="15862375" w14:textId="77777777" w:rsidTr="002B7E8D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noWrap/>
          </w:tcPr>
          <w:p w14:paraId="3267B019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ketones</w:t>
            </w:r>
          </w:p>
        </w:tc>
        <w:tc>
          <w:tcPr>
            <w:tcW w:w="1619" w:type="dxa"/>
            <w:vAlign w:val="center"/>
          </w:tcPr>
          <w:p w14:paraId="4EDB8061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14572</w:t>
            </w:r>
          </w:p>
        </w:tc>
        <w:tc>
          <w:tcPr>
            <w:tcW w:w="1770" w:type="dxa"/>
            <w:vAlign w:val="bottom"/>
          </w:tcPr>
          <w:p w14:paraId="55D8E626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11.43</w:t>
            </w:r>
          </w:p>
        </w:tc>
        <w:tc>
          <w:tcPr>
            <w:tcW w:w="1617" w:type="dxa"/>
            <w:vAlign w:val="center"/>
          </w:tcPr>
          <w:p w14:paraId="7D0222A2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566</w:t>
            </w:r>
          </w:p>
        </w:tc>
        <w:tc>
          <w:tcPr>
            <w:tcW w:w="1780" w:type="dxa"/>
            <w:vAlign w:val="bottom"/>
          </w:tcPr>
          <w:p w14:paraId="55F79118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8.68</w:t>
            </w:r>
          </w:p>
        </w:tc>
      </w:tr>
      <w:tr w:rsidR="00777EE1" w:rsidRPr="00AB00D8" w14:paraId="1915351E" w14:textId="77777777" w:rsidTr="002B7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shd w:val="clear" w:color="auto" w:fill="EDEBDF"/>
            <w:noWrap/>
          </w:tcPr>
          <w:p w14:paraId="560AFBE5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esters</w:t>
            </w:r>
          </w:p>
        </w:tc>
        <w:tc>
          <w:tcPr>
            <w:tcW w:w="1619" w:type="dxa"/>
            <w:shd w:val="clear" w:color="auto" w:fill="EDEBDF"/>
            <w:vAlign w:val="center"/>
          </w:tcPr>
          <w:p w14:paraId="7E6E6976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4515</w:t>
            </w:r>
          </w:p>
        </w:tc>
        <w:tc>
          <w:tcPr>
            <w:tcW w:w="1770" w:type="dxa"/>
            <w:shd w:val="clear" w:color="auto" w:fill="EDEBDF"/>
            <w:vAlign w:val="bottom"/>
          </w:tcPr>
          <w:p w14:paraId="6CD0DBEF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3.54</w:t>
            </w:r>
          </w:p>
        </w:tc>
        <w:tc>
          <w:tcPr>
            <w:tcW w:w="1617" w:type="dxa"/>
            <w:shd w:val="clear" w:color="auto" w:fill="EDEBDF"/>
            <w:vAlign w:val="center"/>
          </w:tcPr>
          <w:p w14:paraId="23925AA2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638</w:t>
            </w:r>
          </w:p>
        </w:tc>
        <w:tc>
          <w:tcPr>
            <w:tcW w:w="1780" w:type="dxa"/>
            <w:shd w:val="clear" w:color="auto" w:fill="EDEBDF"/>
            <w:vAlign w:val="bottom"/>
          </w:tcPr>
          <w:p w14:paraId="40ABC79A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9.78</w:t>
            </w:r>
          </w:p>
        </w:tc>
      </w:tr>
      <w:tr w:rsidR="00777EE1" w:rsidRPr="00AB00D8" w14:paraId="7A7D2A21" w14:textId="77777777" w:rsidTr="002B7E8D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noWrap/>
          </w:tcPr>
          <w:p w14:paraId="5DA36F07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ether</w:t>
            </w:r>
          </w:p>
        </w:tc>
        <w:tc>
          <w:tcPr>
            <w:tcW w:w="1619" w:type="dxa"/>
            <w:vAlign w:val="center"/>
          </w:tcPr>
          <w:p w14:paraId="61E7430C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56453</w:t>
            </w:r>
          </w:p>
        </w:tc>
        <w:tc>
          <w:tcPr>
            <w:tcW w:w="1770" w:type="dxa"/>
            <w:vAlign w:val="bottom"/>
          </w:tcPr>
          <w:p w14:paraId="00040598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44.29</w:t>
            </w:r>
          </w:p>
        </w:tc>
        <w:tc>
          <w:tcPr>
            <w:tcW w:w="1617" w:type="dxa"/>
            <w:vAlign w:val="center"/>
          </w:tcPr>
          <w:p w14:paraId="355750B7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1557</w:t>
            </w:r>
          </w:p>
        </w:tc>
        <w:tc>
          <w:tcPr>
            <w:tcW w:w="1780" w:type="dxa"/>
            <w:vAlign w:val="bottom"/>
          </w:tcPr>
          <w:p w14:paraId="71C054AB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23.87</w:t>
            </w:r>
          </w:p>
        </w:tc>
      </w:tr>
      <w:tr w:rsidR="00777EE1" w:rsidRPr="00AB00D8" w14:paraId="0A683844" w14:textId="77777777" w:rsidTr="002B7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shd w:val="clear" w:color="auto" w:fill="EDEBDF"/>
            <w:noWrap/>
          </w:tcPr>
          <w:p w14:paraId="2EC61BEA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amides</w:t>
            </w:r>
          </w:p>
        </w:tc>
        <w:tc>
          <w:tcPr>
            <w:tcW w:w="1619" w:type="dxa"/>
            <w:shd w:val="clear" w:color="auto" w:fill="EDEBDF"/>
            <w:vAlign w:val="center"/>
          </w:tcPr>
          <w:p w14:paraId="0129B774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8704</w:t>
            </w:r>
          </w:p>
        </w:tc>
        <w:tc>
          <w:tcPr>
            <w:tcW w:w="1770" w:type="dxa"/>
            <w:shd w:val="clear" w:color="auto" w:fill="EDEBDF"/>
            <w:vAlign w:val="bottom"/>
          </w:tcPr>
          <w:p w14:paraId="386F8FA5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6.83</w:t>
            </w:r>
          </w:p>
        </w:tc>
        <w:tc>
          <w:tcPr>
            <w:tcW w:w="1617" w:type="dxa"/>
            <w:shd w:val="clear" w:color="auto" w:fill="EDEBDF"/>
            <w:vAlign w:val="center"/>
          </w:tcPr>
          <w:p w14:paraId="2AE670C1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343</w:t>
            </w:r>
          </w:p>
        </w:tc>
        <w:tc>
          <w:tcPr>
            <w:tcW w:w="1780" w:type="dxa"/>
            <w:shd w:val="clear" w:color="auto" w:fill="EDEBDF"/>
            <w:vAlign w:val="bottom"/>
          </w:tcPr>
          <w:p w14:paraId="658069D0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5.26</w:t>
            </w:r>
          </w:p>
        </w:tc>
      </w:tr>
      <w:tr w:rsidR="00777EE1" w:rsidRPr="00AB00D8" w14:paraId="5FF4B8F4" w14:textId="77777777" w:rsidTr="002B7E8D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noWrap/>
          </w:tcPr>
          <w:p w14:paraId="5B434B2A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nitriles</w:t>
            </w:r>
          </w:p>
        </w:tc>
        <w:tc>
          <w:tcPr>
            <w:tcW w:w="1619" w:type="dxa"/>
            <w:vAlign w:val="center"/>
          </w:tcPr>
          <w:p w14:paraId="3FA76885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15776</w:t>
            </w:r>
          </w:p>
        </w:tc>
        <w:tc>
          <w:tcPr>
            <w:tcW w:w="1770" w:type="dxa"/>
            <w:vAlign w:val="bottom"/>
          </w:tcPr>
          <w:p w14:paraId="14617D20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12.38</w:t>
            </w:r>
          </w:p>
        </w:tc>
        <w:tc>
          <w:tcPr>
            <w:tcW w:w="1617" w:type="dxa"/>
            <w:vAlign w:val="center"/>
          </w:tcPr>
          <w:p w14:paraId="7B0A010C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280</w:t>
            </w:r>
          </w:p>
        </w:tc>
        <w:tc>
          <w:tcPr>
            <w:tcW w:w="1780" w:type="dxa"/>
            <w:vAlign w:val="bottom"/>
          </w:tcPr>
          <w:p w14:paraId="49D7340D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4.29</w:t>
            </w:r>
          </w:p>
        </w:tc>
      </w:tr>
      <w:tr w:rsidR="00777EE1" w:rsidRPr="00AB00D8" w14:paraId="2E11579C" w14:textId="77777777" w:rsidTr="002B7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7" w:type="dxa"/>
            <w:shd w:val="clear" w:color="auto" w:fill="EDEBDF"/>
            <w:noWrap/>
          </w:tcPr>
          <w:p w14:paraId="4A684780" w14:textId="77777777" w:rsidR="00777EE1" w:rsidRPr="004F48BB" w:rsidRDefault="00777EE1" w:rsidP="002B7E8D">
            <w:pPr>
              <w:suppressAutoHyphens w:val="0"/>
              <w:spacing w:beforeLines="50" w:before="120"/>
              <w:ind w:firstLine="0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4F48BB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amine</w:t>
            </w:r>
          </w:p>
        </w:tc>
        <w:tc>
          <w:tcPr>
            <w:tcW w:w="1619" w:type="dxa"/>
            <w:shd w:val="clear" w:color="auto" w:fill="EDEBDF"/>
          </w:tcPr>
          <w:p w14:paraId="1D8BD1B1" w14:textId="77777777" w:rsidR="00777EE1" w:rsidRPr="00AB00D8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38594</w:t>
            </w:r>
          </w:p>
        </w:tc>
        <w:tc>
          <w:tcPr>
            <w:tcW w:w="1770" w:type="dxa"/>
            <w:shd w:val="clear" w:color="auto" w:fill="EDEBDF"/>
          </w:tcPr>
          <w:p w14:paraId="17F84520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5B4FC6">
              <w:rPr>
                <w:rFonts w:ascii="Arial" w:eastAsia="SimSun" w:hAnsi="Arial" w:cs="Arial" w:hint="eastAsia"/>
                <w:color w:val="000000"/>
                <w:kern w:val="0"/>
                <w:sz w:val="18"/>
                <w:szCs w:val="26"/>
              </w:rPr>
              <w:t>30.28</w:t>
            </w:r>
          </w:p>
        </w:tc>
        <w:tc>
          <w:tcPr>
            <w:tcW w:w="1617" w:type="dxa"/>
            <w:shd w:val="clear" w:color="auto" w:fill="EDEBDF"/>
            <w:vAlign w:val="center"/>
          </w:tcPr>
          <w:p w14:paraId="2A809D97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782</w:t>
            </w:r>
          </w:p>
        </w:tc>
        <w:tc>
          <w:tcPr>
            <w:tcW w:w="1780" w:type="dxa"/>
            <w:shd w:val="clear" w:color="auto" w:fill="EDEBDF"/>
            <w:vAlign w:val="bottom"/>
          </w:tcPr>
          <w:p w14:paraId="232A6FD7" w14:textId="77777777" w:rsidR="00777EE1" w:rsidRDefault="00777EE1" w:rsidP="002B7E8D">
            <w:pPr>
              <w:suppressAutoHyphens w:val="0"/>
              <w:spacing w:beforeLines="50" w:before="120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</w:pPr>
            <w:r w:rsidRPr="00AB00D8">
              <w:rPr>
                <w:rFonts w:ascii="Arial" w:eastAsia="SimSun" w:hAnsi="Arial" w:cs="Arial"/>
                <w:color w:val="000000"/>
                <w:kern w:val="0"/>
                <w:sz w:val="18"/>
                <w:szCs w:val="26"/>
              </w:rPr>
              <w:t>11.99</w:t>
            </w:r>
          </w:p>
        </w:tc>
      </w:tr>
    </w:tbl>
    <w:p w14:paraId="6A5AC09B" w14:textId="77777777" w:rsidR="00777EE1" w:rsidRDefault="00777EE1" w:rsidP="00777EE1">
      <w:pPr>
        <w:ind w:firstLine="0"/>
        <w:rPr>
          <w:rFonts w:ascii="Times New Roman" w:hAnsi="Times New Roman" w:cs="Times New Roman"/>
          <w:b/>
          <w:bCs/>
          <w:sz w:val="22"/>
        </w:rPr>
      </w:pPr>
    </w:p>
    <w:p w14:paraId="54366851" w14:textId="360F6330" w:rsidR="00110104" w:rsidRPr="00777EE1" w:rsidRDefault="00777EE1" w:rsidP="00777EE1">
      <w:pPr>
        <w:ind w:firstLine="0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Extended Data Fig. 2</w:t>
      </w:r>
      <w:r w:rsidRPr="00BE6417">
        <w:rPr>
          <w:rFonts w:ascii="Times New Roman" w:hAnsi="Times New Roman" w:cs="Times New Roman" w:hint="eastAsia"/>
          <w:b/>
          <w:bCs/>
          <w:sz w:val="22"/>
        </w:rPr>
        <w:t xml:space="preserve">| </w:t>
      </w:r>
      <w:r w:rsidRPr="00C245E7">
        <w:rPr>
          <w:rFonts w:ascii="Times New Roman" w:hAnsi="Times New Roman" w:cs="Times New Roman"/>
          <w:color w:val="000000" w:themeColor="text1"/>
          <w:sz w:val="22"/>
        </w:rPr>
        <w:t>The numbers and proportions of the molecules that contains the 12 most common functional groups in QM9S and NIST datasets.</w:t>
      </w:r>
    </w:p>
    <w:sectPr w:rsidR="00110104" w:rsidRPr="00777EE1">
      <w:footerReference w:type="even" r:id="rId5"/>
      <w:footerReference w:type="default" r:id="rId6"/>
      <w:pgSz w:w="12240" w:h="15839"/>
      <w:pgMar w:top="1440" w:right="1440" w:bottom="1440" w:left="1440" w:header="0" w:footer="72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1614394"/>
      <w:docPartObj>
        <w:docPartGallery w:val="Page Numbers (Bottom of Page)"/>
        <w:docPartUnique/>
      </w:docPartObj>
    </w:sdtPr>
    <w:sdtContent>
      <w:p w14:paraId="00F99BB4" w14:textId="77777777" w:rsidR="00000000" w:rsidRDefault="00000000" w:rsidP="000C207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2D6E864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98584016"/>
      <w:docPartObj>
        <w:docPartGallery w:val="Page Numbers (Bottom of Page)"/>
        <w:docPartUnique/>
      </w:docPartObj>
    </w:sdtPr>
    <w:sdtContent>
      <w:p w14:paraId="09B1B41C" w14:textId="77777777" w:rsidR="00000000" w:rsidRDefault="00000000" w:rsidP="000C207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01574760" w14:textId="77777777" w:rsidR="00000000" w:rsidRDefault="00000000">
    <w:pPr>
      <w:pStyle w:val="Footer"/>
      <w:jc w:val="right"/>
    </w:pPr>
    <w:r>
      <w:fldChar w:fldCharType="begin"/>
    </w:r>
    <w:r>
      <w:fldChar w:fldCharType="end"/>
    </w:r>
    <w:sdt>
      <w:sdtPr>
        <w:id w:val="1592551183"/>
        <w:showingPlcHdr/>
      </w:sdtPr>
      <w:sdtContent>
        <w:r>
          <w:t xml:space="preserve">     </w:t>
        </w:r>
      </w:sdtContent>
    </w:sdt>
  </w:p>
  <w:p w14:paraId="0C59E6E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EE1"/>
    <w:rsid w:val="00110104"/>
    <w:rsid w:val="0021090F"/>
    <w:rsid w:val="00220E4E"/>
    <w:rsid w:val="003A76DF"/>
    <w:rsid w:val="00777EE1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34D1E"/>
  <w15:chartTrackingRefBased/>
  <w15:docId w15:val="{93D6D0FB-871C-4A9D-8515-1A0125C06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EE1"/>
    <w:pPr>
      <w:suppressAutoHyphens/>
      <w:spacing w:after="0" w:line="360" w:lineRule="auto"/>
      <w:ind w:firstLine="181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777E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7EE1"/>
    <w:rPr>
      <w:rFonts w:eastAsiaTheme="minorEastAsia"/>
      <w:sz w:val="21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77EE1"/>
  </w:style>
  <w:style w:type="table" w:styleId="PlainTable1">
    <w:name w:val="Plain Table 1"/>
    <w:basedOn w:val="TableNormal"/>
    <w:uiPriority w:val="41"/>
    <w:rsid w:val="00777EE1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1001</Characters>
  <Application>Microsoft Office Word</Application>
  <DocSecurity>0</DocSecurity>
  <Lines>8</Lines>
  <Paragraphs>2</Paragraphs>
  <ScaleCrop>false</ScaleCrop>
  <Company>Springer Nature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2023-12-14T07:11:00Z</dcterms:created>
  <dcterms:modified xsi:type="dcterms:W3CDTF">2023-12-14T07:11:00Z</dcterms:modified>
</cp:coreProperties>
</file>