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AE09" w14:textId="77777777" w:rsidR="006A3B34" w:rsidRPr="003D0BD1" w:rsidRDefault="006A3B34" w:rsidP="006A3B34">
      <w:pPr>
        <w:jc w:val="center"/>
        <w:rPr>
          <w:b/>
          <w:bCs/>
          <w:sz w:val="32"/>
          <w:szCs w:val="32"/>
          <w:lang w:val="en-US"/>
        </w:rPr>
      </w:pPr>
      <w:bookmarkStart w:id="0" w:name="_Hlk103944923"/>
      <w:r w:rsidRPr="003D0BD1">
        <w:rPr>
          <w:b/>
          <w:bCs/>
          <w:sz w:val="32"/>
          <w:szCs w:val="32"/>
          <w:lang w:val="en-US"/>
        </w:rPr>
        <w:t>Fibroblast activation protein and disease severity, progression and survival in idiopathic pulmonary fibrosis</w:t>
      </w:r>
    </w:p>
    <w:p w14:paraId="6D5873D2" w14:textId="20377C28" w:rsidR="006A3B34" w:rsidRPr="003D0BD1" w:rsidRDefault="006A3B34" w:rsidP="006A3B34">
      <w:pPr>
        <w:rPr>
          <w:sz w:val="20"/>
          <w:szCs w:val="20"/>
          <w:lang w:val="en-US"/>
        </w:rPr>
      </w:pPr>
      <w:bookmarkStart w:id="1" w:name="_Hlk103945425"/>
      <w:bookmarkEnd w:id="0"/>
      <w:r w:rsidRPr="003D0BD1">
        <w:rPr>
          <w:sz w:val="20"/>
          <w:szCs w:val="20"/>
          <w:lang w:val="en-US"/>
        </w:rPr>
        <w:t>Thomas Skovhus Prior, Nils Hoyer, Jesper Rømhild Davidsen, Saher Burhan Shaker,</w:t>
      </w:r>
      <w:r w:rsidRPr="003D0BD1">
        <w:rPr>
          <w:lang w:val="en-US"/>
        </w:rPr>
        <w:t xml:space="preserve"> </w:t>
      </w:r>
      <w:bookmarkStart w:id="2" w:name="_Hlk132200879"/>
      <w:r w:rsidRPr="003D0BD1">
        <w:rPr>
          <w:sz w:val="20"/>
          <w:szCs w:val="20"/>
          <w:lang w:val="en-US"/>
        </w:rPr>
        <w:t>Malthe Pallesgaard Hundahl, Søren Lomholt</w:t>
      </w:r>
      <w:bookmarkEnd w:id="2"/>
      <w:r w:rsidRPr="003D0BD1">
        <w:rPr>
          <w:sz w:val="20"/>
          <w:szCs w:val="20"/>
          <w:lang w:val="en-US"/>
        </w:rPr>
        <w:t>, Bent Winding Deleuran, Elisabeth Bendstrup, Tue Wenzel Kragstrup</w:t>
      </w:r>
    </w:p>
    <w:bookmarkEnd w:id="1"/>
    <w:p w14:paraId="50FF0307" w14:textId="6F22C7B0" w:rsidR="00DA5506" w:rsidRPr="008D00E0" w:rsidRDefault="00A47A80">
      <w:pPr>
        <w:rPr>
          <w:b/>
          <w:bCs/>
          <w:sz w:val="24"/>
          <w:szCs w:val="24"/>
          <w:lang w:val="en-US"/>
        </w:rPr>
      </w:pPr>
      <w:r w:rsidRPr="008D00E0">
        <w:rPr>
          <w:b/>
          <w:bCs/>
          <w:sz w:val="24"/>
          <w:szCs w:val="24"/>
          <w:lang w:val="en-US"/>
        </w:rPr>
        <w:t>ONLINE DATA SUPPLEMENT</w:t>
      </w:r>
    </w:p>
    <w:p w14:paraId="0C48E504" w14:textId="77777777" w:rsidR="00515B8E" w:rsidRDefault="00DA5506">
      <w:pPr>
        <w:rPr>
          <w:b/>
          <w:bCs/>
          <w:lang w:val="en-US"/>
        </w:rPr>
      </w:pPr>
      <w:r w:rsidRPr="008D00E0">
        <w:rPr>
          <w:b/>
          <w:bCs/>
          <w:lang w:val="en-US"/>
        </w:rPr>
        <w:br w:type="page"/>
      </w:r>
      <w:r w:rsidR="00515B8E">
        <w:rPr>
          <w:b/>
          <w:bCs/>
          <w:lang w:val="en-US"/>
        </w:rPr>
        <w:lastRenderedPageBreak/>
        <w:t>Figure S1</w:t>
      </w:r>
    </w:p>
    <w:p w14:paraId="78C405C6" w14:textId="79CF51A4" w:rsidR="00515B8E" w:rsidRDefault="00515B8E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5CBDF0F" wp14:editId="217BEEA6">
            <wp:extent cx="6115050" cy="4448175"/>
            <wp:effectExtent l="0" t="0" r="0" b="9525"/>
            <wp:docPr id="162802437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9F520" w14:textId="2D611A76" w:rsidR="00515B8E" w:rsidRPr="00515B8E" w:rsidRDefault="00515B8E">
      <w:pPr>
        <w:rPr>
          <w:rFonts w:ascii="Calibri" w:eastAsia="Calibri" w:hAnsi="Calibri"/>
          <w:lang w:val="en-US" w:eastAsia="zh-CN"/>
        </w:rPr>
      </w:pPr>
      <w:r w:rsidRPr="00515B8E">
        <w:rPr>
          <w:lang w:val="en-US"/>
        </w:rPr>
        <w:t>Fibroblast activati</w:t>
      </w:r>
      <w:r>
        <w:rPr>
          <w:lang w:val="en-US"/>
        </w:rPr>
        <w:t>on</w:t>
      </w:r>
      <w:r w:rsidRPr="00515B8E">
        <w:rPr>
          <w:lang w:val="en-US"/>
        </w:rPr>
        <w:t xml:space="preserve"> protein</w:t>
      </w:r>
      <w:r>
        <w:rPr>
          <w:lang w:val="en-US"/>
        </w:rPr>
        <w:t xml:space="preserve"> in patients with idiopathic pulmonary fibrosis (IPF) and healthy controls. </w:t>
      </w:r>
      <w:r w:rsidRPr="00515B8E">
        <w:rPr>
          <w:lang w:val="en-US"/>
        </w:rPr>
        <w:t>The midlines in the boxes are the median values and the boundaries are the 25th and 75th percentiles</w:t>
      </w:r>
      <w:r>
        <w:rPr>
          <w:lang w:val="en-US"/>
        </w:rPr>
        <w:t>.</w:t>
      </w:r>
      <w:r w:rsidRPr="00515B8E">
        <w:rPr>
          <w:lang w:val="en-US"/>
        </w:rPr>
        <w:br w:type="page"/>
      </w:r>
    </w:p>
    <w:p w14:paraId="713AA230" w14:textId="18D80379" w:rsidR="006A3B34" w:rsidRPr="00681D89" w:rsidRDefault="006A3B34" w:rsidP="006A3B34">
      <w:pPr>
        <w:pStyle w:val="Brdtekst"/>
        <w:jc w:val="both"/>
        <w:rPr>
          <w:rFonts w:asciiTheme="minorHAnsi" w:hAnsiTheme="minorHAnsi" w:cstheme="minorHAnsi"/>
          <w:b/>
          <w:bCs/>
          <w:lang w:val="en-US"/>
        </w:rPr>
      </w:pPr>
      <w:r w:rsidRPr="00681D89">
        <w:rPr>
          <w:rFonts w:asciiTheme="minorHAnsi" w:hAnsiTheme="minorHAnsi" w:cstheme="minorHAnsi"/>
          <w:b/>
          <w:bCs/>
          <w:lang w:val="en-US"/>
        </w:rPr>
        <w:lastRenderedPageBreak/>
        <w:t xml:space="preserve">Figure </w:t>
      </w:r>
      <w:r>
        <w:rPr>
          <w:rFonts w:asciiTheme="minorHAnsi" w:hAnsiTheme="minorHAnsi" w:cstheme="minorHAnsi"/>
          <w:b/>
          <w:bCs/>
          <w:lang w:val="en-US"/>
        </w:rPr>
        <w:t>S</w:t>
      </w:r>
      <w:r w:rsidR="00515B8E">
        <w:rPr>
          <w:rFonts w:asciiTheme="minorHAnsi" w:hAnsiTheme="minorHAnsi" w:cstheme="minorHAnsi"/>
          <w:b/>
          <w:bCs/>
          <w:lang w:val="en-US"/>
        </w:rPr>
        <w:t>2</w:t>
      </w:r>
    </w:p>
    <w:p w14:paraId="716D1108" w14:textId="77777777" w:rsidR="006A3B34" w:rsidRPr="003D0BD1" w:rsidRDefault="006A3B34" w:rsidP="006A3B34">
      <w:pPr>
        <w:pStyle w:val="Brdtekst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62526E2A" wp14:editId="0F5926A4">
            <wp:extent cx="5814340" cy="4231081"/>
            <wp:effectExtent l="0" t="0" r="0" b="0"/>
            <wp:docPr id="147601129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67" cy="423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5B05" w14:textId="77777777" w:rsidR="006A3B34" w:rsidRDefault="006A3B34" w:rsidP="006A3B34">
      <w:pPr>
        <w:pStyle w:val="Brdtekst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Progression-free s</w:t>
      </w:r>
      <w:r w:rsidRPr="00DA7A5F">
        <w:rPr>
          <w:rFonts w:asciiTheme="minorHAnsi" w:hAnsiTheme="minorHAnsi" w:cstheme="minorHAnsi"/>
          <w:lang w:val="en-US"/>
        </w:rPr>
        <w:t xml:space="preserve">urvival in patients dichotomized below or above mean </w:t>
      </w:r>
      <w:proofErr w:type="spellStart"/>
      <w:r>
        <w:rPr>
          <w:rFonts w:asciiTheme="minorHAnsi" w:hAnsiTheme="minorHAnsi" w:cstheme="minorHAnsi"/>
          <w:lang w:val="en-US"/>
        </w:rPr>
        <w:t>s</w:t>
      </w:r>
      <w:r w:rsidRPr="00DA7A5F">
        <w:rPr>
          <w:rFonts w:asciiTheme="minorHAnsi" w:hAnsiTheme="minorHAnsi" w:cstheme="minorHAnsi"/>
          <w:lang w:val="en-US"/>
        </w:rPr>
        <w:t>FAP</w:t>
      </w:r>
      <w:proofErr w:type="spellEnd"/>
      <w:r w:rsidRPr="00DA7A5F">
        <w:rPr>
          <w:rFonts w:asciiTheme="minorHAnsi" w:hAnsiTheme="minorHAnsi" w:cstheme="minorHAnsi"/>
          <w:lang w:val="en-US"/>
        </w:rPr>
        <w:t xml:space="preserve"> + 2 SD for healthy controls.</w:t>
      </w:r>
    </w:p>
    <w:p w14:paraId="5A7AA747" w14:textId="4D376CB6" w:rsidR="00DA5506" w:rsidRPr="008D00E0" w:rsidRDefault="00DA5506">
      <w:pPr>
        <w:rPr>
          <w:b/>
          <w:bCs/>
          <w:lang w:val="en-US"/>
        </w:rPr>
      </w:pPr>
    </w:p>
    <w:sectPr w:rsidR="00DA5506" w:rsidRPr="008D00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78"/>
    <w:rsid w:val="000957B6"/>
    <w:rsid w:val="000A4630"/>
    <w:rsid w:val="000F7370"/>
    <w:rsid w:val="0010696C"/>
    <w:rsid w:val="00127D64"/>
    <w:rsid w:val="00152C6F"/>
    <w:rsid w:val="001776B1"/>
    <w:rsid w:val="001C6A75"/>
    <w:rsid w:val="001C6B6B"/>
    <w:rsid w:val="001D3D8B"/>
    <w:rsid w:val="001D466F"/>
    <w:rsid w:val="001E0865"/>
    <w:rsid w:val="001E6100"/>
    <w:rsid w:val="001F702E"/>
    <w:rsid w:val="0027018C"/>
    <w:rsid w:val="00273DE8"/>
    <w:rsid w:val="002971CA"/>
    <w:rsid w:val="002B42B5"/>
    <w:rsid w:val="002D21FB"/>
    <w:rsid w:val="003050D6"/>
    <w:rsid w:val="0031439D"/>
    <w:rsid w:val="0032446B"/>
    <w:rsid w:val="00355CF0"/>
    <w:rsid w:val="00377015"/>
    <w:rsid w:val="0038365D"/>
    <w:rsid w:val="003A0365"/>
    <w:rsid w:val="003A666F"/>
    <w:rsid w:val="003A680E"/>
    <w:rsid w:val="003B7087"/>
    <w:rsid w:val="003D0AC9"/>
    <w:rsid w:val="003D1920"/>
    <w:rsid w:val="003D5515"/>
    <w:rsid w:val="003F3C34"/>
    <w:rsid w:val="004716FC"/>
    <w:rsid w:val="0049362D"/>
    <w:rsid w:val="004C5B39"/>
    <w:rsid w:val="004E201E"/>
    <w:rsid w:val="00515456"/>
    <w:rsid w:val="00515B8E"/>
    <w:rsid w:val="00574544"/>
    <w:rsid w:val="00580E70"/>
    <w:rsid w:val="005954D2"/>
    <w:rsid w:val="005A28DC"/>
    <w:rsid w:val="005D1509"/>
    <w:rsid w:val="005D1CCE"/>
    <w:rsid w:val="005E784A"/>
    <w:rsid w:val="005E7C70"/>
    <w:rsid w:val="005F24B7"/>
    <w:rsid w:val="0060489F"/>
    <w:rsid w:val="00614AB3"/>
    <w:rsid w:val="0062518E"/>
    <w:rsid w:val="00637425"/>
    <w:rsid w:val="00642776"/>
    <w:rsid w:val="00642E93"/>
    <w:rsid w:val="00651307"/>
    <w:rsid w:val="006968A5"/>
    <w:rsid w:val="006A3B34"/>
    <w:rsid w:val="006C0C65"/>
    <w:rsid w:val="006C129D"/>
    <w:rsid w:val="006C3F85"/>
    <w:rsid w:val="006D0A17"/>
    <w:rsid w:val="006F155E"/>
    <w:rsid w:val="006F5557"/>
    <w:rsid w:val="007352A1"/>
    <w:rsid w:val="00745AB2"/>
    <w:rsid w:val="00760B41"/>
    <w:rsid w:val="00776094"/>
    <w:rsid w:val="00776B46"/>
    <w:rsid w:val="007A4EC2"/>
    <w:rsid w:val="007B0297"/>
    <w:rsid w:val="007B3ADF"/>
    <w:rsid w:val="007D6E3B"/>
    <w:rsid w:val="007F0F37"/>
    <w:rsid w:val="00801603"/>
    <w:rsid w:val="0084557A"/>
    <w:rsid w:val="00864D78"/>
    <w:rsid w:val="00877585"/>
    <w:rsid w:val="008A079F"/>
    <w:rsid w:val="008D00E0"/>
    <w:rsid w:val="008F21F8"/>
    <w:rsid w:val="0091311A"/>
    <w:rsid w:val="00944027"/>
    <w:rsid w:val="00982627"/>
    <w:rsid w:val="00A01518"/>
    <w:rsid w:val="00A47A80"/>
    <w:rsid w:val="00A54208"/>
    <w:rsid w:val="00A5518A"/>
    <w:rsid w:val="00A6049F"/>
    <w:rsid w:val="00AA446C"/>
    <w:rsid w:val="00AC0D81"/>
    <w:rsid w:val="00B22B1A"/>
    <w:rsid w:val="00B22DC8"/>
    <w:rsid w:val="00B2517D"/>
    <w:rsid w:val="00B31546"/>
    <w:rsid w:val="00B42EFC"/>
    <w:rsid w:val="00B862A8"/>
    <w:rsid w:val="00BA5B71"/>
    <w:rsid w:val="00BD7D6F"/>
    <w:rsid w:val="00BE3676"/>
    <w:rsid w:val="00BF4108"/>
    <w:rsid w:val="00C23CAC"/>
    <w:rsid w:val="00C40166"/>
    <w:rsid w:val="00C62528"/>
    <w:rsid w:val="00C6768E"/>
    <w:rsid w:val="00C71D52"/>
    <w:rsid w:val="00CA686C"/>
    <w:rsid w:val="00CC70CC"/>
    <w:rsid w:val="00CD4E46"/>
    <w:rsid w:val="00CF3E6F"/>
    <w:rsid w:val="00CF668C"/>
    <w:rsid w:val="00D213F1"/>
    <w:rsid w:val="00D41CBA"/>
    <w:rsid w:val="00D92C8B"/>
    <w:rsid w:val="00DA5506"/>
    <w:rsid w:val="00DD33D5"/>
    <w:rsid w:val="00DD3CB7"/>
    <w:rsid w:val="00E02161"/>
    <w:rsid w:val="00E12276"/>
    <w:rsid w:val="00E12968"/>
    <w:rsid w:val="00E4027E"/>
    <w:rsid w:val="00E6750D"/>
    <w:rsid w:val="00EA0991"/>
    <w:rsid w:val="00EA4686"/>
    <w:rsid w:val="00EB20D8"/>
    <w:rsid w:val="00EC37A7"/>
    <w:rsid w:val="00EE4407"/>
    <w:rsid w:val="00EE546F"/>
    <w:rsid w:val="00F01F6B"/>
    <w:rsid w:val="00F4545D"/>
    <w:rsid w:val="00F56BC0"/>
    <w:rsid w:val="00FA5891"/>
    <w:rsid w:val="00FC2512"/>
    <w:rsid w:val="00FE4BAF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6527"/>
  <w15:chartTrackingRefBased/>
  <w15:docId w15:val="{F5C081D6-0F51-4248-B6D6-09BF730F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64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64D78"/>
    <w:rPr>
      <w:rFonts w:ascii="Segoe UI" w:hAnsi="Segoe UI" w:cs="Segoe UI"/>
      <w:sz w:val="18"/>
      <w:szCs w:val="18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qFormat/>
    <w:rsid w:val="00864D7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64D7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64D78"/>
    <w:rPr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64D7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64D78"/>
    <w:rPr>
      <w:b/>
      <w:bCs/>
      <w:sz w:val="20"/>
      <w:szCs w:val="20"/>
      <w:lang w:val="en-GB"/>
    </w:rPr>
  </w:style>
  <w:style w:type="paragraph" w:styleId="Listeafsnit">
    <w:name w:val="List Paragraph"/>
    <w:basedOn w:val="Normal"/>
    <w:uiPriority w:val="34"/>
    <w:qFormat/>
    <w:rsid w:val="00CF66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table" w:styleId="Tabel-Gitter">
    <w:name w:val="Table Grid"/>
    <w:basedOn w:val="Tabel-Normal"/>
    <w:uiPriority w:val="39"/>
    <w:rsid w:val="00FE4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kstTegn">
    <w:name w:val="Brødtekst Tegn"/>
    <w:link w:val="Brdtekst"/>
    <w:qFormat/>
    <w:rsid w:val="006A3B34"/>
    <w:rPr>
      <w:rFonts w:ascii="Calibri" w:eastAsia="Calibri" w:hAnsi="Calibri"/>
      <w:lang w:eastAsia="zh-CN"/>
    </w:rPr>
  </w:style>
  <w:style w:type="paragraph" w:styleId="Brdtekst">
    <w:name w:val="Body Text"/>
    <w:basedOn w:val="Normal"/>
    <w:link w:val="BrdtekstTegn"/>
    <w:rsid w:val="006A3B34"/>
    <w:pPr>
      <w:suppressAutoHyphens/>
      <w:spacing w:after="140" w:line="276" w:lineRule="auto"/>
    </w:pPr>
    <w:rPr>
      <w:rFonts w:ascii="Calibri" w:eastAsia="Calibri" w:hAnsi="Calibri"/>
      <w:lang w:val="da-DK" w:eastAsia="zh-CN"/>
    </w:rPr>
  </w:style>
  <w:style w:type="character" w:customStyle="1" w:styleId="BrdtekstTegn1">
    <w:name w:val="Brødtekst Tegn1"/>
    <w:basedOn w:val="Standardskrifttypeiafsnit"/>
    <w:uiPriority w:val="99"/>
    <w:semiHidden/>
    <w:rsid w:val="006A3B3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00D79-ADE6-40DE-AE54-CB548466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Prior</dc:creator>
  <cp:keywords/>
  <dc:description/>
  <cp:lastModifiedBy>Thomas Prior</cp:lastModifiedBy>
  <cp:revision>2</cp:revision>
  <dcterms:created xsi:type="dcterms:W3CDTF">2023-12-05T09:51:00Z</dcterms:created>
  <dcterms:modified xsi:type="dcterms:W3CDTF">2023-12-05T09:51:00Z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http://www.zotero.org/styles/american-journal-of-respiratory-and-critical-care-medicine</vt:lpwstr>
  </property>
  <property fmtid="{D5CDD505-2E9C-101B-9397-08002B2CF9AE}" pid="3" name="Mendeley Recent Style Name 0_1">
    <vt:lpwstr>American Journal of Respiratory and Critical Care Medicine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http://www.zotero.org/styles/chest</vt:lpwstr>
  </property>
  <property fmtid="{D5CDD505-2E9C-101B-9397-08002B2CF9AE}" pid="9" name="Mendeley Recent Style Name 3_1">
    <vt:lpwstr>Chest</vt:lpwstr>
  </property>
  <property fmtid="{D5CDD505-2E9C-101B-9397-08002B2CF9AE}" pid="10" name="Mendeley Recent Style Id 4_1">
    <vt:lpwstr>http://www.zotero.org/styles/european-respiratory-journal</vt:lpwstr>
  </property>
  <property fmtid="{D5CDD505-2E9C-101B-9397-08002B2CF9AE}" pid="11" name="Mendeley Recent Style Name 4_1">
    <vt:lpwstr>European Respiratory Journal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http://www.zotero.org/styles/respiratory-research</vt:lpwstr>
  </property>
  <property fmtid="{D5CDD505-2E9C-101B-9397-08002B2CF9AE}" pid="17" name="Mendeley Recent Style Name 7_1">
    <vt:lpwstr>Respiratory Research</vt:lpwstr>
  </property>
  <property fmtid="{D5CDD505-2E9C-101B-9397-08002B2CF9AE}" pid="18" name="Mendeley Recent Style Id 8_1">
    <vt:lpwstr>http://www.zotero.org/styles/thorax</vt:lpwstr>
  </property>
  <property fmtid="{D5CDD505-2E9C-101B-9397-08002B2CF9AE}" pid="19" name="Mendeley Recent Style Name 8_1">
    <vt:lpwstr>Thorax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1b16294d-f8f8-3d77-b98a-3c724d0824c8</vt:lpwstr>
  </property>
  <property fmtid="{D5CDD505-2E9C-101B-9397-08002B2CF9AE}" pid="24" name="Mendeley Citation Style_1">
    <vt:lpwstr>http://www.zotero.org/styles/thorax</vt:lpwstr>
  </property>
</Properties>
</file>