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521" w:rsidRPr="00206CBA" w:rsidRDefault="00C03521" w:rsidP="00C03521">
      <w:pPr>
        <w:wordWrap/>
        <w:spacing w:line="480" w:lineRule="auto"/>
        <w:rPr>
          <w:rFonts w:ascii="Times New Roman" w:hAnsi="Times New Roman"/>
          <w:b/>
          <w:bCs/>
          <w:kern w:val="0"/>
          <w:sz w:val="24"/>
          <w:szCs w:val="24"/>
        </w:rPr>
      </w:pPr>
      <w:r w:rsidRPr="00206CBA">
        <w:rPr>
          <w:rFonts w:ascii="Times New Roman" w:hAnsi="Times New Roman"/>
          <w:b/>
          <w:bCs/>
          <w:kern w:val="0"/>
          <w:sz w:val="24"/>
          <w:szCs w:val="24"/>
        </w:rPr>
        <w:t>Interferon-gamma signaling promotes cartilage regeneration after injury</w:t>
      </w:r>
    </w:p>
    <w:p w:rsidR="00C03521" w:rsidRPr="00206CBA" w:rsidRDefault="00C03521" w:rsidP="00C03521">
      <w:pPr>
        <w:wordWrap/>
        <w:spacing w:line="480" w:lineRule="auto"/>
        <w:rPr>
          <w:rFonts w:ascii="Times New Roman" w:hAnsi="Times New Roman"/>
          <w:sz w:val="24"/>
          <w:szCs w:val="24"/>
        </w:rPr>
      </w:pPr>
    </w:p>
    <w:p w:rsidR="00C03521" w:rsidRPr="00206CBA" w:rsidRDefault="00C03521" w:rsidP="00C03521">
      <w:pPr>
        <w:wordWrap/>
        <w:spacing w:line="480" w:lineRule="auto"/>
        <w:rPr>
          <w:rFonts w:ascii="Times New Roman" w:hAnsi="Times New Roman"/>
          <w:sz w:val="24"/>
          <w:szCs w:val="24"/>
          <w:vertAlign w:val="superscript"/>
        </w:rPr>
      </w:pPr>
      <w:proofErr w:type="spellStart"/>
      <w:r w:rsidRPr="00206CBA">
        <w:rPr>
          <w:rFonts w:ascii="Times New Roman" w:hAnsi="Times New Roman"/>
          <w:sz w:val="24"/>
          <w:szCs w:val="24"/>
        </w:rPr>
        <w:t>J</w:t>
      </w:r>
      <w:r w:rsidRPr="00206CBA">
        <w:rPr>
          <w:rFonts w:ascii="Times New Roman" w:hAnsi="Times New Roman" w:hint="eastAsia"/>
          <w:sz w:val="24"/>
          <w:szCs w:val="24"/>
        </w:rPr>
        <w:t>u-</w:t>
      </w:r>
      <w:r w:rsidRPr="00206CBA">
        <w:rPr>
          <w:rFonts w:ascii="Times New Roman" w:hAnsi="Times New Roman"/>
          <w:sz w:val="24"/>
          <w:szCs w:val="24"/>
        </w:rPr>
        <w:t>Ryoung</w:t>
      </w:r>
      <w:proofErr w:type="spellEnd"/>
      <w:r w:rsidRPr="00206CBA">
        <w:rPr>
          <w:rFonts w:ascii="Times New Roman" w:hAnsi="Times New Roman"/>
          <w:sz w:val="24"/>
          <w:szCs w:val="24"/>
        </w:rPr>
        <w:t xml:space="preserve"> Kim, PhD</w:t>
      </w:r>
      <w:r w:rsidRPr="00206CBA">
        <w:rPr>
          <w:rFonts w:ascii="Times New Roman" w:hAnsi="Times New Roman" w:hint="eastAsia"/>
          <w:sz w:val="24"/>
          <w:szCs w:val="24"/>
          <w:vertAlign w:val="superscript"/>
        </w:rPr>
        <w:t>1,2</w:t>
      </w:r>
      <w:r w:rsidRPr="00206CBA">
        <w:rPr>
          <w:rFonts w:ascii="Times New Roman" w:hAnsi="Times New Roman" w:hint="eastAsia"/>
          <w:sz w:val="24"/>
          <w:szCs w:val="24"/>
        </w:rPr>
        <w:t>,</w:t>
      </w:r>
      <w:r w:rsidRPr="00206CBA">
        <w:rPr>
          <w:rFonts w:ascii="Times New Roman" w:hAnsi="Times New Roman"/>
          <w:sz w:val="24"/>
          <w:szCs w:val="24"/>
        </w:rPr>
        <w:t xml:space="preserve"> Bong-Ki Hong</w:t>
      </w:r>
      <w:r w:rsidRPr="00206CBA">
        <w:rPr>
          <w:rFonts w:ascii="Times New Roman" w:hAnsi="Times New Roman"/>
          <w:sz w:val="24"/>
          <w:szCs w:val="24"/>
          <w:vertAlign w:val="superscript"/>
        </w:rPr>
        <w:t>3,4</w:t>
      </w:r>
      <w:r w:rsidRPr="00206CBA">
        <w:rPr>
          <w:rFonts w:ascii="Times New Roman" w:hAnsi="Times New Roman"/>
          <w:sz w:val="24"/>
          <w:szCs w:val="24"/>
        </w:rPr>
        <w:t xml:space="preserve">, </w:t>
      </w:r>
      <w:proofErr w:type="spellStart"/>
      <w:r w:rsidRPr="00206CBA">
        <w:rPr>
          <w:rFonts w:ascii="Times New Roman" w:hAnsi="Times New Roman"/>
          <w:sz w:val="24"/>
          <w:szCs w:val="24"/>
        </w:rPr>
        <w:t>Thi</w:t>
      </w:r>
      <w:proofErr w:type="spellEnd"/>
      <w:r w:rsidRPr="00206CBA">
        <w:rPr>
          <w:rFonts w:ascii="Times New Roman" w:hAnsi="Times New Roman"/>
          <w:sz w:val="24"/>
          <w:szCs w:val="24"/>
        </w:rPr>
        <w:t xml:space="preserve"> Hong </w:t>
      </w:r>
      <w:proofErr w:type="spellStart"/>
      <w:r w:rsidRPr="00206CBA">
        <w:rPr>
          <w:rFonts w:ascii="Times New Roman" w:hAnsi="Times New Roman"/>
          <w:sz w:val="24"/>
          <w:szCs w:val="24"/>
        </w:rPr>
        <w:t>Nhung</w:t>
      </w:r>
      <w:proofErr w:type="spellEnd"/>
      <w:r w:rsidRPr="00206CBA">
        <w:rPr>
          <w:rFonts w:ascii="Times New Roman" w:hAnsi="Times New Roman"/>
          <w:sz w:val="24"/>
          <w:szCs w:val="24"/>
        </w:rPr>
        <w:t xml:space="preserve"> Pham</w:t>
      </w:r>
      <w:r w:rsidRPr="00206CBA">
        <w:rPr>
          <w:rFonts w:ascii="Times New Roman" w:hAnsi="Times New Roman"/>
          <w:sz w:val="24"/>
          <w:szCs w:val="24"/>
          <w:vertAlign w:val="superscript"/>
        </w:rPr>
        <w:t>1,2</w:t>
      </w:r>
      <w:r w:rsidRPr="00206CBA">
        <w:rPr>
          <w:rFonts w:ascii="Times New Roman" w:hAnsi="Times New Roman"/>
          <w:sz w:val="24"/>
          <w:szCs w:val="24"/>
        </w:rPr>
        <w:t xml:space="preserve">, </w:t>
      </w:r>
      <w:r w:rsidRPr="00206CBA">
        <w:rPr>
          <w:rFonts w:ascii="Times New Roman" w:hAnsi="Times New Roman" w:hint="eastAsia"/>
          <w:sz w:val="24"/>
          <w:szCs w:val="24"/>
        </w:rPr>
        <w:t>Wan-</w:t>
      </w:r>
      <w:proofErr w:type="spellStart"/>
      <w:r w:rsidRPr="00206CBA">
        <w:rPr>
          <w:rFonts w:ascii="Times New Roman" w:hAnsi="Times New Roman" w:hint="eastAsia"/>
          <w:sz w:val="24"/>
          <w:szCs w:val="24"/>
        </w:rPr>
        <w:t>Uk</w:t>
      </w:r>
      <w:proofErr w:type="spellEnd"/>
      <w:r w:rsidRPr="00206CBA">
        <w:rPr>
          <w:rFonts w:ascii="Times New Roman" w:hAnsi="Times New Roman"/>
          <w:sz w:val="24"/>
          <w:szCs w:val="24"/>
        </w:rPr>
        <w:t xml:space="preserve"> Kim</w:t>
      </w:r>
      <w:r w:rsidRPr="00206CBA">
        <w:rPr>
          <w:rFonts w:ascii="Times New Roman" w:hAnsi="Times New Roman"/>
          <w:sz w:val="24"/>
          <w:szCs w:val="24"/>
          <w:vertAlign w:val="superscript"/>
        </w:rPr>
        <w:t>3,4</w:t>
      </w:r>
      <w:r w:rsidRPr="00206CBA">
        <w:rPr>
          <w:rFonts w:ascii="Times New Roman" w:hAnsi="Times New Roman"/>
          <w:sz w:val="24"/>
          <w:szCs w:val="24"/>
        </w:rPr>
        <w:t>, Hyun Ah Kim, MD, PhD</w:t>
      </w:r>
      <w:r w:rsidRPr="00206CBA">
        <w:rPr>
          <w:rFonts w:ascii="Times New Roman" w:hAnsi="Times New Roman"/>
          <w:sz w:val="24"/>
          <w:szCs w:val="24"/>
          <w:vertAlign w:val="superscript"/>
        </w:rPr>
        <w:t>1,2</w:t>
      </w:r>
      <w:r w:rsidRPr="00206CBA">
        <w:rPr>
          <w:rFonts w:ascii="Times New Roman" w:hAnsi="Times New Roman"/>
          <w:bCs/>
          <w:sz w:val="24"/>
          <w:szCs w:val="24"/>
        </w:rPr>
        <w:t>*</w:t>
      </w:r>
    </w:p>
    <w:p w:rsidR="00C03521" w:rsidRPr="00206CBA" w:rsidRDefault="00C03521" w:rsidP="00C03521">
      <w:pPr>
        <w:wordWrap/>
        <w:spacing w:line="480" w:lineRule="auto"/>
        <w:rPr>
          <w:rFonts w:ascii="Times New Roman" w:hAnsi="Times New Roman"/>
          <w:sz w:val="24"/>
          <w:szCs w:val="24"/>
        </w:rPr>
      </w:pPr>
      <w:r w:rsidRPr="00206CBA">
        <w:rPr>
          <w:rFonts w:ascii="Times New Roman" w:hAnsi="Times New Roman"/>
          <w:sz w:val="24"/>
          <w:szCs w:val="24"/>
          <w:vertAlign w:val="superscript"/>
        </w:rPr>
        <w:t>1</w:t>
      </w:r>
      <w:r w:rsidRPr="00206CBA">
        <w:rPr>
          <w:rFonts w:ascii="Times New Roman" w:hAnsi="Times New Roman"/>
          <w:sz w:val="24"/>
          <w:szCs w:val="24"/>
        </w:rPr>
        <w:t xml:space="preserve">Division of Rheumatology, Department of Internal Medicine, </w:t>
      </w:r>
      <w:proofErr w:type="spellStart"/>
      <w:r w:rsidRPr="00206CBA">
        <w:rPr>
          <w:rFonts w:ascii="Times New Roman" w:hAnsi="Times New Roman"/>
          <w:sz w:val="24"/>
          <w:szCs w:val="24"/>
        </w:rPr>
        <w:t>Hallym</w:t>
      </w:r>
      <w:proofErr w:type="spellEnd"/>
      <w:r w:rsidRPr="00206CBA">
        <w:rPr>
          <w:rFonts w:ascii="Times New Roman" w:hAnsi="Times New Roman"/>
          <w:sz w:val="24"/>
          <w:szCs w:val="24"/>
        </w:rPr>
        <w:t xml:space="preserve"> University Sacred Heart Hospital, </w:t>
      </w:r>
      <w:proofErr w:type="spellStart"/>
      <w:r w:rsidRPr="00206CBA">
        <w:rPr>
          <w:rFonts w:ascii="Times New Roman" w:hAnsi="Times New Roman"/>
          <w:sz w:val="24"/>
          <w:szCs w:val="24"/>
        </w:rPr>
        <w:t>Kyunggi</w:t>
      </w:r>
      <w:proofErr w:type="spellEnd"/>
      <w:r w:rsidRPr="00206CBA">
        <w:rPr>
          <w:rFonts w:ascii="Times New Roman" w:hAnsi="Times New Roman"/>
          <w:sz w:val="24"/>
          <w:szCs w:val="24"/>
        </w:rPr>
        <w:t xml:space="preserve">, 14068, Korea, </w:t>
      </w:r>
      <w:r w:rsidRPr="00206CBA">
        <w:rPr>
          <w:rFonts w:ascii="Times New Roman" w:hAnsi="Times New Roman" w:hint="eastAsia"/>
          <w:sz w:val="24"/>
          <w:szCs w:val="24"/>
          <w:vertAlign w:val="superscript"/>
        </w:rPr>
        <w:t>2</w:t>
      </w:r>
      <w:r w:rsidRPr="00206CBA">
        <w:rPr>
          <w:rFonts w:ascii="Times New Roman" w:hAnsi="Times New Roman"/>
          <w:sz w:val="24"/>
          <w:szCs w:val="24"/>
        </w:rPr>
        <w:t xml:space="preserve">Institute for Skeletal Aging, </w:t>
      </w:r>
      <w:proofErr w:type="spellStart"/>
      <w:r w:rsidRPr="00206CBA">
        <w:rPr>
          <w:rFonts w:ascii="Times New Roman" w:hAnsi="Times New Roman"/>
          <w:sz w:val="24"/>
          <w:szCs w:val="24"/>
        </w:rPr>
        <w:t>Hallym</w:t>
      </w:r>
      <w:proofErr w:type="spellEnd"/>
      <w:r w:rsidRPr="00206CBA">
        <w:rPr>
          <w:rFonts w:ascii="Times New Roman" w:hAnsi="Times New Roman"/>
          <w:sz w:val="24"/>
          <w:szCs w:val="24"/>
        </w:rPr>
        <w:t xml:space="preserve"> University, </w:t>
      </w:r>
      <w:proofErr w:type="spellStart"/>
      <w:r w:rsidRPr="00206CBA">
        <w:rPr>
          <w:rFonts w:ascii="Times New Roman" w:hAnsi="Times New Roman"/>
          <w:sz w:val="24"/>
          <w:szCs w:val="24"/>
        </w:rPr>
        <w:t>Gangwon</w:t>
      </w:r>
      <w:proofErr w:type="spellEnd"/>
      <w:r w:rsidRPr="00206CBA">
        <w:rPr>
          <w:rFonts w:ascii="Times New Roman" w:hAnsi="Times New Roman"/>
          <w:sz w:val="24"/>
          <w:szCs w:val="24"/>
        </w:rPr>
        <w:t xml:space="preserve">-do 24252, Korea, </w:t>
      </w:r>
      <w:r w:rsidRPr="00206CBA">
        <w:rPr>
          <w:rFonts w:ascii="Times New Roman" w:hAnsi="Times New Roman"/>
          <w:sz w:val="24"/>
          <w:szCs w:val="24"/>
          <w:vertAlign w:val="superscript"/>
        </w:rPr>
        <w:t>3</w:t>
      </w:r>
      <w:r w:rsidRPr="00206CBA">
        <w:rPr>
          <w:rFonts w:ascii="Times New Roman" w:hAnsi="Times New Roman"/>
          <w:sz w:val="24"/>
          <w:szCs w:val="24"/>
        </w:rPr>
        <w:t xml:space="preserve">Division of Rheumatology, Department of Internal Medicine, School of Medicine, The Catholic University of Korea, Seoul 06591, Korea, </w:t>
      </w:r>
      <w:r w:rsidRPr="00206CBA">
        <w:rPr>
          <w:rFonts w:ascii="Times New Roman" w:hAnsi="Times New Roman"/>
          <w:sz w:val="24"/>
          <w:szCs w:val="24"/>
          <w:vertAlign w:val="superscript"/>
        </w:rPr>
        <w:t>4</w:t>
      </w:r>
      <w:r w:rsidRPr="00206CBA">
        <w:rPr>
          <w:rFonts w:ascii="Times New Roman" w:hAnsi="Times New Roman"/>
          <w:sz w:val="24"/>
          <w:szCs w:val="24"/>
        </w:rPr>
        <w:t xml:space="preserve">Center for </w:t>
      </w:r>
      <w:proofErr w:type="spellStart"/>
      <w:r w:rsidRPr="00206CBA">
        <w:rPr>
          <w:rFonts w:ascii="Times New Roman" w:hAnsi="Times New Roman"/>
          <w:sz w:val="24"/>
          <w:szCs w:val="24"/>
        </w:rPr>
        <w:t>Intergrative</w:t>
      </w:r>
      <w:proofErr w:type="spellEnd"/>
      <w:r w:rsidRPr="00206CBA">
        <w:rPr>
          <w:rFonts w:ascii="Times New Roman" w:hAnsi="Times New Roman"/>
          <w:sz w:val="24"/>
          <w:szCs w:val="24"/>
        </w:rPr>
        <w:t xml:space="preserve"> Rheumatoid </w:t>
      </w:r>
      <w:proofErr w:type="spellStart"/>
      <w:r w:rsidRPr="00206CBA">
        <w:rPr>
          <w:rFonts w:ascii="Times New Roman" w:hAnsi="Times New Roman"/>
          <w:sz w:val="24"/>
          <w:szCs w:val="24"/>
        </w:rPr>
        <w:t>Transcriptomics</w:t>
      </w:r>
      <w:proofErr w:type="spellEnd"/>
      <w:r w:rsidRPr="00206CBA">
        <w:rPr>
          <w:rFonts w:ascii="Times New Roman" w:hAnsi="Times New Roman"/>
          <w:sz w:val="24"/>
          <w:szCs w:val="24"/>
        </w:rPr>
        <w:t xml:space="preserve"> and Dynamics, School of Medicine, The Catholic University of Korea, Seoul 06591, Korea</w:t>
      </w:r>
    </w:p>
    <w:p w:rsidR="00C03521" w:rsidRPr="00206CBA" w:rsidRDefault="00C03521" w:rsidP="00C03521">
      <w:pPr>
        <w:wordWrap/>
        <w:spacing w:line="480" w:lineRule="auto"/>
        <w:rPr>
          <w:rFonts w:ascii="Times New Roman" w:hAnsi="Times New Roman"/>
          <w:sz w:val="24"/>
          <w:szCs w:val="24"/>
        </w:rPr>
      </w:pPr>
    </w:p>
    <w:p w:rsidR="00C03521" w:rsidRPr="00206CBA" w:rsidRDefault="00C03521" w:rsidP="00C03521">
      <w:pPr>
        <w:wordWrap/>
        <w:spacing w:line="480" w:lineRule="auto"/>
        <w:rPr>
          <w:rFonts w:ascii="Times New Roman" w:hAnsi="Times New Roman"/>
          <w:b/>
          <w:bCs/>
          <w:sz w:val="24"/>
          <w:szCs w:val="24"/>
        </w:rPr>
      </w:pPr>
      <w:r w:rsidRPr="00206CBA">
        <w:rPr>
          <w:rFonts w:ascii="Times New Roman" w:hAnsi="Times New Roman"/>
          <w:b/>
          <w:bCs/>
          <w:sz w:val="24"/>
          <w:szCs w:val="24"/>
        </w:rPr>
        <w:t xml:space="preserve">*Correspondence to: </w:t>
      </w:r>
    </w:p>
    <w:p w:rsidR="00C03521" w:rsidRPr="00206CBA" w:rsidRDefault="00C03521" w:rsidP="00C03521">
      <w:pPr>
        <w:wordWrap/>
        <w:spacing w:line="480" w:lineRule="auto"/>
        <w:rPr>
          <w:rFonts w:ascii="Times New Roman" w:hAnsi="Times New Roman"/>
          <w:sz w:val="24"/>
          <w:szCs w:val="24"/>
        </w:rPr>
      </w:pPr>
      <w:r w:rsidRPr="00206CBA">
        <w:rPr>
          <w:rFonts w:ascii="Times New Roman" w:hAnsi="Times New Roman"/>
          <w:sz w:val="24"/>
          <w:szCs w:val="24"/>
        </w:rPr>
        <w:t>Name: Hyun Ah Kim</w:t>
      </w:r>
    </w:p>
    <w:p w:rsidR="00C03521" w:rsidRPr="00206CBA" w:rsidRDefault="00C03521" w:rsidP="00C03521">
      <w:pPr>
        <w:wordWrap/>
        <w:spacing w:line="480" w:lineRule="auto"/>
        <w:rPr>
          <w:rFonts w:ascii="Times New Roman" w:hAnsi="Times New Roman"/>
          <w:sz w:val="24"/>
          <w:szCs w:val="24"/>
        </w:rPr>
      </w:pPr>
      <w:r w:rsidRPr="00206CBA">
        <w:rPr>
          <w:rFonts w:ascii="Times New Roman" w:hAnsi="Times New Roman"/>
          <w:sz w:val="24"/>
          <w:szCs w:val="24"/>
        </w:rPr>
        <w:t xml:space="preserve">Address: Division of Rheumatology, Department of Internal medicine, </w:t>
      </w:r>
      <w:proofErr w:type="spellStart"/>
      <w:r w:rsidRPr="00206CBA">
        <w:rPr>
          <w:rFonts w:ascii="Times New Roman" w:hAnsi="Times New Roman"/>
          <w:sz w:val="24"/>
          <w:szCs w:val="24"/>
        </w:rPr>
        <w:t>Hallym</w:t>
      </w:r>
      <w:proofErr w:type="spellEnd"/>
      <w:r w:rsidRPr="00206CBA">
        <w:rPr>
          <w:rFonts w:ascii="Times New Roman" w:hAnsi="Times New Roman"/>
          <w:sz w:val="24"/>
          <w:szCs w:val="24"/>
        </w:rPr>
        <w:t xml:space="preserve"> University Sacred Heart Hospital, 896, </w:t>
      </w:r>
      <w:proofErr w:type="spellStart"/>
      <w:r w:rsidRPr="00206CBA">
        <w:rPr>
          <w:rFonts w:ascii="Times New Roman" w:hAnsi="Times New Roman"/>
          <w:sz w:val="24"/>
          <w:szCs w:val="24"/>
        </w:rPr>
        <w:t>Pyungchon</w:t>
      </w:r>
      <w:proofErr w:type="spellEnd"/>
      <w:r w:rsidRPr="00206CBA">
        <w:rPr>
          <w:rFonts w:ascii="Times New Roman" w:hAnsi="Times New Roman"/>
          <w:sz w:val="24"/>
          <w:szCs w:val="24"/>
        </w:rPr>
        <w:t xml:space="preserve">, Anyang, </w:t>
      </w:r>
      <w:proofErr w:type="spellStart"/>
      <w:r w:rsidRPr="00206CBA">
        <w:rPr>
          <w:rFonts w:ascii="Times New Roman" w:hAnsi="Times New Roman"/>
          <w:sz w:val="24"/>
          <w:szCs w:val="24"/>
        </w:rPr>
        <w:t>Kyunggi</w:t>
      </w:r>
      <w:proofErr w:type="spellEnd"/>
      <w:r w:rsidRPr="00206CBA">
        <w:rPr>
          <w:rFonts w:ascii="Times New Roman" w:hAnsi="Times New Roman"/>
          <w:sz w:val="24"/>
          <w:szCs w:val="24"/>
        </w:rPr>
        <w:t>, 14068, Korea</w:t>
      </w:r>
    </w:p>
    <w:p w:rsidR="00C03521" w:rsidRPr="00206CBA" w:rsidRDefault="00C03521" w:rsidP="00C03521">
      <w:pPr>
        <w:wordWrap/>
        <w:spacing w:line="480" w:lineRule="auto"/>
        <w:rPr>
          <w:rFonts w:ascii="Times New Roman" w:hAnsi="Times New Roman"/>
          <w:sz w:val="24"/>
          <w:szCs w:val="24"/>
        </w:rPr>
      </w:pPr>
      <w:r w:rsidRPr="00206CBA">
        <w:rPr>
          <w:rFonts w:ascii="Times New Roman" w:hAnsi="Times New Roman"/>
          <w:sz w:val="24"/>
          <w:szCs w:val="24"/>
        </w:rPr>
        <w:t>Phone: 82-31-380-1826</w:t>
      </w:r>
    </w:p>
    <w:p w:rsidR="00C03521" w:rsidRPr="00206CBA" w:rsidRDefault="00C03521" w:rsidP="00C03521">
      <w:pPr>
        <w:wordWrap/>
        <w:spacing w:line="480" w:lineRule="auto"/>
        <w:rPr>
          <w:rFonts w:ascii="Times New Roman" w:hAnsi="Times New Roman"/>
          <w:sz w:val="24"/>
          <w:szCs w:val="24"/>
        </w:rPr>
      </w:pPr>
      <w:r w:rsidRPr="00206CBA">
        <w:rPr>
          <w:rFonts w:ascii="Times New Roman" w:hAnsi="Times New Roman"/>
          <w:sz w:val="24"/>
          <w:szCs w:val="24"/>
        </w:rPr>
        <w:t>Fax: 82-31-381-8812</w:t>
      </w:r>
    </w:p>
    <w:p w:rsidR="00C03521" w:rsidRPr="00206CBA" w:rsidRDefault="00C03521" w:rsidP="00C03521">
      <w:pPr>
        <w:wordWrap/>
        <w:spacing w:line="480" w:lineRule="auto"/>
        <w:rPr>
          <w:rStyle w:val="ab"/>
          <w:rFonts w:ascii="Times New Roman" w:hAnsi="Times New Roman"/>
          <w:color w:val="auto"/>
          <w:sz w:val="24"/>
          <w:szCs w:val="24"/>
        </w:rPr>
      </w:pPr>
      <w:r w:rsidRPr="00206CBA">
        <w:rPr>
          <w:rFonts w:ascii="Times New Roman" w:hAnsi="Times New Roman"/>
          <w:sz w:val="24"/>
          <w:szCs w:val="24"/>
        </w:rPr>
        <w:t xml:space="preserve">E-mail: </w:t>
      </w:r>
      <w:hyperlink r:id="rId6" w:history="1">
        <w:r w:rsidRPr="00206CBA">
          <w:rPr>
            <w:rStyle w:val="ab"/>
            <w:rFonts w:ascii="Times New Roman" w:hAnsi="Times New Roman"/>
            <w:color w:val="auto"/>
            <w:sz w:val="24"/>
            <w:szCs w:val="24"/>
          </w:rPr>
          <w:t>kimha@hallym.ac.kr</w:t>
        </w:r>
      </w:hyperlink>
    </w:p>
    <w:p w:rsidR="00C03521" w:rsidRDefault="00AF639D" w:rsidP="00C03521">
      <w:pPr>
        <w:wordWrap/>
        <w:spacing w:line="480" w:lineRule="auto"/>
        <w:rPr>
          <w:rStyle w:val="ab"/>
          <w:rFonts w:ascii="Times New Roman" w:hAnsi="Times New Roman"/>
          <w:color w:val="auto"/>
          <w:sz w:val="24"/>
          <w:szCs w:val="24"/>
        </w:rPr>
      </w:pPr>
      <w:hyperlink r:id="rId7" w:history="1">
        <w:r w:rsidR="00C03521" w:rsidRPr="00206CBA">
          <w:rPr>
            <w:rStyle w:val="ab"/>
            <w:rFonts w:ascii="Times New Roman" w:hAnsi="Times New Roman" w:hint="eastAsia"/>
            <w:color w:val="auto"/>
            <w:sz w:val="24"/>
            <w:szCs w:val="24"/>
          </w:rPr>
          <w:t>h</w:t>
        </w:r>
        <w:r w:rsidR="00C03521" w:rsidRPr="00206CBA">
          <w:rPr>
            <w:rStyle w:val="ab"/>
            <w:rFonts w:ascii="Times New Roman" w:hAnsi="Times New Roman"/>
            <w:color w:val="auto"/>
            <w:sz w:val="24"/>
            <w:szCs w:val="24"/>
          </w:rPr>
          <w:t>ttps://orcid.org/0000-0002-9318-7446</w:t>
        </w:r>
      </w:hyperlink>
    </w:p>
    <w:p w:rsidR="00AA7C09" w:rsidRPr="00206CBA" w:rsidRDefault="00AA7C09" w:rsidP="00C03521">
      <w:pPr>
        <w:wordWrap/>
        <w:spacing w:line="480" w:lineRule="auto"/>
        <w:rPr>
          <w:rFonts w:ascii="Times New Roman" w:hAnsi="Times New Roman"/>
          <w:sz w:val="24"/>
          <w:szCs w:val="24"/>
        </w:rPr>
      </w:pPr>
      <w:bookmarkStart w:id="0" w:name="_GoBack"/>
      <w:bookmarkEnd w:id="0"/>
    </w:p>
    <w:p w:rsidR="00ED756E" w:rsidRDefault="00880180">
      <w:pPr>
        <w:rPr>
          <w:rFonts w:ascii="Times New Roman" w:hAnsi="Times New Roman" w:cs="Times New Roman"/>
          <w:b/>
          <w:bCs/>
          <w:sz w:val="24"/>
          <w:szCs w:val="24"/>
        </w:rPr>
      </w:pPr>
      <w:r>
        <w:rPr>
          <w:rFonts w:ascii="Times New Roman" w:hAnsi="Times New Roman" w:cs="Times New Roman"/>
          <w:b/>
          <w:bCs/>
          <w:sz w:val="24"/>
          <w:szCs w:val="24"/>
        </w:rPr>
        <w:lastRenderedPageBreak/>
        <w:t>Materials and Methods</w:t>
      </w:r>
    </w:p>
    <w:p w:rsidR="00ED756E" w:rsidRDefault="00880180">
      <w:pPr>
        <w:wordWrap/>
        <w:spacing w:after="0" w:line="480" w:lineRule="auto"/>
        <w:jc w:val="left"/>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able S1. Primer sequences for mouse genes analyzed by qRT-PCR</w:t>
      </w:r>
    </w:p>
    <w:tbl>
      <w:tblPr>
        <w:tblStyle w:val="a7"/>
        <w:tblW w:w="0" w:type="auto"/>
        <w:jc w:val="center"/>
        <w:tblLook w:val="04A0" w:firstRow="1" w:lastRow="0" w:firstColumn="1" w:lastColumn="0" w:noHBand="0" w:noVBand="1"/>
      </w:tblPr>
      <w:tblGrid>
        <w:gridCol w:w="1413"/>
        <w:gridCol w:w="6520"/>
      </w:tblGrid>
      <w:tr w:rsidR="00ED756E">
        <w:trPr>
          <w:trHeight w:val="420"/>
          <w:jc w:val="center"/>
        </w:trPr>
        <w:tc>
          <w:tcPr>
            <w:tcW w:w="1413" w:type="dxa"/>
            <w:shd w:val="clear" w:color="auto" w:fill="D9D9D9" w:themeFill="background1" w:themeFillShade="D9"/>
          </w:tcPr>
          <w:p w:rsidR="00ED756E" w:rsidRDefault="00880180">
            <w:pPr>
              <w:wordWrap/>
              <w:spacing w:line="480" w:lineRule="auto"/>
              <w:jc w:val="center"/>
              <w:rPr>
                <w:rFonts w:ascii="Times New Roman" w:hAnsi="Times New Roman" w:cs="Times New Roman"/>
                <w:b/>
                <w:bCs/>
                <w:sz w:val="22"/>
              </w:rPr>
            </w:pPr>
            <w:r>
              <w:rPr>
                <w:rFonts w:ascii="Times New Roman" w:hAnsi="Times New Roman" w:cs="Times New Roman"/>
                <w:b/>
                <w:bCs/>
                <w:sz w:val="22"/>
              </w:rPr>
              <w:t>Gene</w:t>
            </w:r>
          </w:p>
        </w:tc>
        <w:tc>
          <w:tcPr>
            <w:tcW w:w="6520" w:type="dxa"/>
            <w:shd w:val="clear" w:color="auto" w:fill="D9D9D9" w:themeFill="background1" w:themeFillShade="D9"/>
          </w:tcPr>
          <w:p w:rsidR="00ED756E" w:rsidRDefault="00880180">
            <w:pPr>
              <w:wordWrap/>
              <w:spacing w:line="480" w:lineRule="auto"/>
              <w:jc w:val="center"/>
              <w:rPr>
                <w:rFonts w:ascii="Times New Roman" w:hAnsi="Times New Roman" w:cs="Times New Roman"/>
                <w:b/>
                <w:bCs/>
                <w:sz w:val="22"/>
              </w:rPr>
            </w:pPr>
            <w:r>
              <w:rPr>
                <w:rFonts w:ascii="Times New Roman" w:hAnsi="Times New Roman" w:cs="Times New Roman"/>
                <w:b/>
                <w:bCs/>
                <w:sz w:val="22"/>
              </w:rPr>
              <w:t>Primer sequence (5’-3’)</w:t>
            </w:r>
          </w:p>
        </w:tc>
      </w:tr>
      <w:tr w:rsidR="00ED756E">
        <w:trPr>
          <w:trHeight w:val="428"/>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GAPDH</w:t>
            </w:r>
          </w:p>
        </w:tc>
        <w:tc>
          <w:tcPr>
            <w:tcW w:w="6520" w:type="dxa"/>
          </w:tcPr>
          <w:p w:rsidR="00ED756E" w:rsidRDefault="00880180">
            <w:pPr>
              <w:wordWrap/>
              <w:spacing w:line="480" w:lineRule="auto"/>
              <w:jc w:val="left"/>
              <w:rPr>
                <w:rFonts w:ascii="Times New Roman" w:eastAsia="맑은 고딕" w:hAnsi="Times New Roman" w:cs="Times New Roman"/>
                <w:sz w:val="22"/>
              </w:rPr>
            </w:pPr>
            <w:r>
              <w:rPr>
                <w:rFonts w:ascii="Times New Roman" w:hAnsi="Times New Roman" w:cs="Times New Roman"/>
                <w:sz w:val="22"/>
              </w:rPr>
              <w:t xml:space="preserve">Forward- </w:t>
            </w:r>
            <w:r>
              <w:rPr>
                <w:rFonts w:ascii="Times New Roman" w:eastAsia="맑은 고딕" w:hAnsi="Times New Roman" w:cs="Times New Roman"/>
                <w:sz w:val="22"/>
              </w:rPr>
              <w:t xml:space="preserve">CAT GGC CTT CCG TGT TCC </w:t>
            </w:r>
          </w:p>
        </w:tc>
      </w:tr>
      <w:tr w:rsidR="00ED756E">
        <w:trPr>
          <w:trHeight w:val="422"/>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eastAsia="맑은 고딕" w:hAnsi="Times New Roman" w:cs="Times New Roman"/>
                <w:sz w:val="22"/>
              </w:rPr>
            </w:pPr>
            <w:r>
              <w:rPr>
                <w:rFonts w:ascii="Times New Roman" w:hAnsi="Times New Roman" w:cs="Times New Roman"/>
                <w:sz w:val="22"/>
              </w:rPr>
              <w:t xml:space="preserve">Reverse- </w:t>
            </w:r>
            <w:r>
              <w:rPr>
                <w:rFonts w:ascii="Times New Roman" w:eastAsia="맑은 고딕" w:hAnsi="Times New Roman" w:cs="Times New Roman"/>
                <w:sz w:val="22"/>
              </w:rPr>
              <w:t>GCG GCA CGT CAG ATC CA</w:t>
            </w:r>
          </w:p>
        </w:tc>
      </w:tr>
      <w:tr w:rsidR="00ED756E">
        <w:trPr>
          <w:trHeight w:val="510"/>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Aggrecan</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 GGA CAG GCT GGC TGA AGA</w:t>
            </w:r>
          </w:p>
        </w:tc>
      </w:tr>
      <w:tr w:rsidR="00ED756E">
        <w:trPr>
          <w:trHeight w:val="510"/>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GAG ACC CCT GGG AAG GAA</w:t>
            </w:r>
          </w:p>
        </w:tc>
      </w:tr>
      <w:tr w:rsidR="00ED756E">
        <w:trPr>
          <w:trHeight w:val="510"/>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ol2a1</w:t>
            </w:r>
          </w:p>
        </w:tc>
        <w:tc>
          <w:tcPr>
            <w:tcW w:w="6520" w:type="dxa"/>
          </w:tcPr>
          <w:p w:rsidR="00ED756E" w:rsidRDefault="00880180">
            <w:pPr>
              <w:widowControl/>
              <w:wordWrap/>
              <w:autoSpaceDE/>
              <w:autoSpaceDN/>
              <w:jc w:val="left"/>
              <w:rPr>
                <w:rFonts w:ascii="Arial" w:eastAsia="맑은 고딕" w:hAnsi="Arial" w:cs="Arial"/>
                <w:szCs w:val="20"/>
              </w:rPr>
            </w:pPr>
            <w:r>
              <w:rPr>
                <w:rFonts w:ascii="Times New Roman" w:hAnsi="Times New Roman" w:cs="Times New Roman"/>
                <w:sz w:val="22"/>
              </w:rPr>
              <w:t>Forward-</w:t>
            </w:r>
            <w:r>
              <w:rPr>
                <w:rFonts w:ascii="Arial" w:eastAsia="맑은 고딕" w:hAnsi="Arial" w:cs="Arial"/>
                <w:szCs w:val="20"/>
              </w:rPr>
              <w:t xml:space="preserve"> </w:t>
            </w:r>
            <w:r>
              <w:rPr>
                <w:rFonts w:ascii="Times New Roman" w:eastAsia="맑은 고딕" w:hAnsi="Times New Roman" w:cs="Times New Roman"/>
                <w:sz w:val="22"/>
              </w:rPr>
              <w:t>GTG TGT GTG ACA CTG GGA ATG TC</w:t>
            </w:r>
          </w:p>
        </w:tc>
      </w:tr>
      <w:tr w:rsidR="00ED756E">
        <w:trPr>
          <w:trHeight w:val="510"/>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idowControl/>
              <w:wordWrap/>
              <w:autoSpaceDE/>
              <w:autoSpaceDN/>
              <w:jc w:val="left"/>
              <w:rPr>
                <w:rFonts w:ascii="Arial" w:eastAsia="맑은 고딕" w:hAnsi="Arial" w:cs="Arial"/>
                <w:szCs w:val="20"/>
              </w:rPr>
            </w:pPr>
            <w:r>
              <w:rPr>
                <w:rFonts w:ascii="Times New Roman" w:hAnsi="Times New Roman" w:cs="Times New Roman"/>
                <w:sz w:val="22"/>
              </w:rPr>
              <w:t>Reverse-</w:t>
            </w:r>
            <w:r>
              <w:rPr>
                <w:rFonts w:ascii="Arial" w:eastAsia="맑은 고딕" w:hAnsi="Arial" w:cs="Arial"/>
                <w:szCs w:val="20"/>
              </w:rPr>
              <w:t xml:space="preserve"> </w:t>
            </w:r>
            <w:r>
              <w:rPr>
                <w:rFonts w:ascii="Times New Roman" w:eastAsia="맑은 고딕" w:hAnsi="Times New Roman" w:cs="Times New Roman"/>
                <w:sz w:val="22"/>
              </w:rPr>
              <w:t>GGT TGA GGC AGT CTG GGT CTT</w:t>
            </w:r>
            <w:r>
              <w:rPr>
                <w:rFonts w:ascii="Arial" w:eastAsia="맑은 고딕" w:hAnsi="Arial" w:cs="Arial"/>
                <w:szCs w:val="20"/>
              </w:rPr>
              <w:t xml:space="preserve"> </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Sox9</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 xml:space="preserve">Forward- </w:t>
            </w:r>
            <w:r>
              <w:rPr>
                <w:rFonts w:ascii="Times New Roman" w:eastAsia="맑은 고딕" w:hAnsi="Times New Roman" w:cs="Times New Roman"/>
                <w:sz w:val="22"/>
              </w:rPr>
              <w:t>CGG CTC CAG CAA GAA CAA G</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 xml:space="preserve">Reverse- </w:t>
            </w:r>
            <w:r>
              <w:rPr>
                <w:rFonts w:ascii="Times New Roman" w:eastAsia="맑은 고딕" w:hAnsi="Times New Roman" w:cs="Times New Roman"/>
                <w:sz w:val="22"/>
              </w:rPr>
              <w:t>GCG CCC ACA CCA TGA AG</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IFNGR1</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 TGT AGC CTC ACC GCC TAT CAC</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GAT CCC ACG AGG CCA CTG T</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IFNG</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w:t>
            </w:r>
            <w:r>
              <w:rPr>
                <w:rFonts w:ascii="Times New Roman" w:eastAsia="맑은 고딕" w:hAnsi="Times New Roman" w:cs="Times New Roman"/>
                <w:sz w:val="22"/>
              </w:rPr>
              <w:t xml:space="preserve"> </w:t>
            </w:r>
            <w:r>
              <w:rPr>
                <w:rFonts w:ascii="Times New Roman" w:hAnsi="Times New Roman" w:cs="Times New Roman"/>
                <w:sz w:val="22"/>
              </w:rPr>
              <w:t>TTG GCT TTG CAG CTC TTC CT</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w:t>
            </w:r>
            <w:r>
              <w:rPr>
                <w:rFonts w:ascii="Times New Roman" w:eastAsia="맑은 고딕" w:hAnsi="Times New Roman" w:cs="Times New Roman"/>
                <w:sz w:val="22"/>
              </w:rPr>
              <w:t xml:space="preserve"> </w:t>
            </w:r>
            <w:r>
              <w:rPr>
                <w:rFonts w:ascii="Times New Roman" w:hAnsi="Times New Roman" w:cs="Times New Roman"/>
                <w:sz w:val="22"/>
              </w:rPr>
              <w:t>TGA CTG TGC CGT GGC AGT A</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Ccl6</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 CCA GTG GTG GGT GCA TCA A</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GGG TTC CCC TCC TGC TGA TA</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Slc11a1</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 CAG CTG TCA TGC AGG AGT TTG</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TGC ACG AAG TGA TGG CTT TG</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Ifitm3</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Forward-GCC CCC AAA CTA CGA AAG AAT</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Reverse-GCG GTG CCC CCA TCT C</w:t>
            </w:r>
          </w:p>
        </w:tc>
      </w:tr>
      <w:tr w:rsidR="00ED756E">
        <w:trPr>
          <w:trHeight w:val="602"/>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Mrc1</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Forward-CCC AAG GGC TCT TCT AAA GCA</w:t>
            </w:r>
          </w:p>
        </w:tc>
      </w:tr>
      <w:tr w:rsidR="00ED756E">
        <w:trPr>
          <w:trHeight w:val="602"/>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Reverse-CGC CGG CAC CTA TCA CA</w:t>
            </w:r>
          </w:p>
        </w:tc>
      </w:tr>
      <w:tr w:rsidR="00ED756E">
        <w:trPr>
          <w:trHeight w:val="602"/>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Bst2</w:t>
            </w:r>
          </w:p>
        </w:tc>
        <w:tc>
          <w:tcPr>
            <w:tcW w:w="6520" w:type="dxa"/>
          </w:tcPr>
          <w:p w:rsidR="00ED756E" w:rsidRDefault="00880180">
            <w:pPr>
              <w:wordWrap/>
              <w:spacing w:line="480" w:lineRule="auto"/>
              <w:jc w:val="left"/>
              <w:rPr>
                <w:rFonts w:ascii="Times New Roman" w:eastAsia="맑은 고딕" w:hAnsi="Times New Roman" w:cs="Times New Roman"/>
                <w:sz w:val="22"/>
              </w:rPr>
            </w:pPr>
            <w:r>
              <w:rPr>
                <w:rFonts w:ascii="Times New Roman" w:hAnsi="Times New Roman" w:cs="Times New Roman"/>
                <w:sz w:val="22"/>
              </w:rPr>
              <w:t>Forward- TGG CGC CCT CTT TCT ATC AC</w:t>
            </w:r>
          </w:p>
        </w:tc>
      </w:tr>
      <w:tr w:rsidR="00ED756E">
        <w:trPr>
          <w:trHeight w:val="278"/>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eastAsia="맑은 고딕" w:hAnsi="Times New Roman" w:cs="Times New Roman"/>
                <w:sz w:val="22"/>
              </w:rPr>
            </w:pPr>
            <w:r>
              <w:rPr>
                <w:rFonts w:ascii="Times New Roman" w:hAnsi="Times New Roman" w:cs="Times New Roman"/>
                <w:sz w:val="22"/>
              </w:rPr>
              <w:t>Reverse- CCC CCC CAT CTC ATC CA</w:t>
            </w:r>
          </w:p>
        </w:tc>
      </w:tr>
      <w:tr w:rsidR="00ED756E">
        <w:trPr>
          <w:trHeight w:val="428"/>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lastRenderedPageBreak/>
              <w:t>Ifitm6</w:t>
            </w:r>
          </w:p>
        </w:tc>
        <w:tc>
          <w:tcPr>
            <w:tcW w:w="6520" w:type="dxa"/>
          </w:tcPr>
          <w:p w:rsidR="00ED756E" w:rsidRDefault="00880180">
            <w:pPr>
              <w:wordWrap/>
              <w:spacing w:line="480" w:lineRule="auto"/>
              <w:jc w:val="left"/>
              <w:rPr>
                <w:rFonts w:ascii="Times New Roman" w:eastAsia="맑은 고딕" w:hAnsi="Times New Roman" w:cs="Times New Roman"/>
                <w:sz w:val="22"/>
              </w:rPr>
            </w:pPr>
            <w:r>
              <w:rPr>
                <w:rFonts w:ascii="Times New Roman" w:hAnsi="Times New Roman" w:cs="Times New Roman"/>
                <w:sz w:val="22"/>
              </w:rPr>
              <w:t>Forward- GGC TGC TGC CTG GGT TT</w:t>
            </w:r>
          </w:p>
        </w:tc>
      </w:tr>
      <w:tr w:rsidR="00ED756E">
        <w:trPr>
          <w:trHeight w:val="422"/>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eastAsia="맑은 고딕" w:hAnsi="Times New Roman" w:cs="Times New Roman"/>
                <w:sz w:val="22"/>
              </w:rPr>
            </w:pPr>
            <w:r>
              <w:rPr>
                <w:rFonts w:ascii="Times New Roman" w:hAnsi="Times New Roman" w:cs="Times New Roman"/>
                <w:sz w:val="22"/>
              </w:rPr>
              <w:t>Reverse- TCT TCC GGT CCC TGG ACT T</w:t>
            </w:r>
            <w:r>
              <w:rPr>
                <w:rFonts w:ascii="Times New Roman" w:eastAsia="맑은 고딕" w:hAnsi="Times New Roman" w:cs="Times New Roman"/>
                <w:sz w:val="22"/>
              </w:rPr>
              <w:t xml:space="preserve"> </w:t>
            </w:r>
          </w:p>
        </w:tc>
      </w:tr>
      <w:tr w:rsidR="00ED756E">
        <w:trPr>
          <w:trHeight w:val="510"/>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Isg15</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 AAG AAG CAG ATT GCC CAG AA</w:t>
            </w:r>
            <w:r>
              <w:rPr>
                <w:rFonts w:ascii="Times New Roman" w:eastAsia="맑은 고딕" w:hAnsi="Times New Roman" w:cs="Times New Roman"/>
                <w:sz w:val="22"/>
              </w:rPr>
              <w:t xml:space="preserve"> </w:t>
            </w:r>
          </w:p>
        </w:tc>
      </w:tr>
      <w:tr w:rsidR="00ED756E">
        <w:trPr>
          <w:trHeight w:val="510"/>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TCG CTG CAG TTC TGT ACC AC</w:t>
            </w:r>
          </w:p>
        </w:tc>
      </w:tr>
      <w:tr w:rsidR="00ED756E">
        <w:trPr>
          <w:trHeight w:val="510"/>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MyoD88</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Forward-TCG ATG CCT TCA TCT GCT ATT G</w:t>
            </w:r>
          </w:p>
        </w:tc>
      </w:tr>
      <w:tr w:rsidR="00ED756E">
        <w:trPr>
          <w:trHeight w:val="510"/>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CGG ATC ATC TCC TGC ACA AA</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Stat1</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Forward-CTC TGG AAT GAT GGG TGC ATT</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Reverse-TTG AGC AGA GCG CGT TCT C</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Capg</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Forward-GCC TCA AGT ACC GGG AAG GT</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Reverse-GCG CCC GAG GTT GTC TT</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Trex1</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 ACT GCA GTG GGT GGA CGA A</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Reverse-TGC CGT ACA TGG GCT TGA C</w:t>
            </w:r>
          </w:p>
        </w:tc>
      </w:tr>
      <w:tr w:rsidR="00ED756E">
        <w:trPr>
          <w:trHeight w:val="199"/>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Ifitm1</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Forward-GCA GCA AGA GGT GGT TGT ACT G</w:t>
            </w:r>
          </w:p>
        </w:tc>
      </w:tr>
      <w:tr w:rsidR="00ED756E">
        <w:trPr>
          <w:trHeight w:val="199"/>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TGG TGG CTG TCG CAG AAG T</w:t>
            </w:r>
          </w:p>
        </w:tc>
      </w:tr>
      <w:tr w:rsidR="00ED756E">
        <w:trPr>
          <w:trHeight w:val="170"/>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Irf7</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 AAA TGC TGG GCT CCA AAC C</w:t>
            </w:r>
          </w:p>
        </w:tc>
      </w:tr>
      <w:tr w:rsidR="00ED756E">
        <w:trPr>
          <w:trHeight w:val="170"/>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GAG GTC CCC GGC ATC AC</w:t>
            </w:r>
          </w:p>
        </w:tc>
      </w:tr>
      <w:tr w:rsidR="00ED756E">
        <w:trPr>
          <w:trHeight w:val="170"/>
          <w:jc w:val="center"/>
        </w:trPr>
        <w:tc>
          <w:tcPr>
            <w:tcW w:w="1413" w:type="dxa"/>
            <w:vMerge w:val="restart"/>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hint="eastAsia"/>
                <w:sz w:val="22"/>
              </w:rPr>
              <w:t>V</w:t>
            </w:r>
            <w:r>
              <w:rPr>
                <w:rFonts w:ascii="Times New Roman" w:hAnsi="Times New Roman" w:cs="Times New Roman"/>
                <w:sz w:val="22"/>
              </w:rPr>
              <w:t>im</w:t>
            </w: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Forward-GAG AGA GGA AGC CGA AAG CA</w:t>
            </w:r>
          </w:p>
        </w:tc>
      </w:tr>
      <w:tr w:rsidR="00ED756E">
        <w:trPr>
          <w:trHeight w:val="170"/>
          <w:jc w:val="center"/>
        </w:trPr>
        <w:tc>
          <w:tcPr>
            <w:tcW w:w="1413" w:type="dxa"/>
            <w:vMerge/>
          </w:tcPr>
          <w:p w:rsidR="00ED756E" w:rsidRDefault="00ED756E">
            <w:pPr>
              <w:wordWrap/>
              <w:spacing w:line="480" w:lineRule="auto"/>
              <w:jc w:val="left"/>
              <w:rPr>
                <w:rFonts w:ascii="Times New Roman" w:hAnsi="Times New Roman" w:cs="Times New Roman"/>
                <w:sz w:val="22"/>
              </w:rPr>
            </w:pPr>
          </w:p>
        </w:tc>
        <w:tc>
          <w:tcPr>
            <w:tcW w:w="6520" w:type="dxa"/>
          </w:tcPr>
          <w:p w:rsidR="00ED756E" w:rsidRDefault="00880180">
            <w:pPr>
              <w:wordWrap/>
              <w:spacing w:line="480" w:lineRule="auto"/>
              <w:jc w:val="left"/>
              <w:rPr>
                <w:rFonts w:ascii="Times New Roman" w:hAnsi="Times New Roman" w:cs="Times New Roman"/>
                <w:sz w:val="22"/>
              </w:rPr>
            </w:pPr>
            <w:r>
              <w:rPr>
                <w:rFonts w:ascii="Times New Roman" w:hAnsi="Times New Roman" w:cs="Times New Roman"/>
                <w:sz w:val="22"/>
              </w:rPr>
              <w:t>Reverse- GCC AGA GAA GCA TTG TCA ACA TC</w:t>
            </w:r>
          </w:p>
        </w:tc>
      </w:tr>
    </w:tbl>
    <w:p w:rsidR="00ED756E" w:rsidRDefault="00ED756E">
      <w:pPr>
        <w:pStyle w:val="EndNoteBibliography"/>
        <w:spacing w:after="0"/>
        <w:ind w:left="720" w:hanging="720"/>
        <w:rPr>
          <w:rFonts w:ascii="Times New Roman" w:hAnsi="Times New Roman" w:cs="Times New Roman"/>
          <w:sz w:val="22"/>
        </w:rPr>
      </w:pPr>
    </w:p>
    <w:p w:rsidR="00ED756E" w:rsidRDefault="00880180">
      <w:pPr>
        <w:spacing w:line="480" w:lineRule="auto"/>
        <w:rPr>
          <w:rFonts w:ascii="Times New Roman" w:hAnsi="Times New Roman"/>
          <w:sz w:val="24"/>
          <w:szCs w:val="24"/>
        </w:rPr>
      </w:pPr>
      <w:r>
        <w:rPr>
          <w:rFonts w:ascii="Times New Roman" w:hAnsi="Times New Roman" w:hint="eastAsia"/>
          <w:noProof/>
          <w:sz w:val="24"/>
          <w:szCs w:val="24"/>
        </w:rPr>
        <w:lastRenderedPageBreak/>
        <w:drawing>
          <wp:inline distT="0" distB="0" distL="0" distR="0">
            <wp:extent cx="4925692" cy="2386774"/>
            <wp:effectExtent l="0" t="0" r="0" b="0"/>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4925692" cy="2386774"/>
                    </a:xfrm>
                    <a:prstGeom prst="rect">
                      <a:avLst/>
                    </a:prstGeom>
                  </pic:spPr>
                </pic:pic>
              </a:graphicData>
            </a:graphic>
          </wp:inline>
        </w:drawing>
      </w:r>
    </w:p>
    <w:p w:rsidR="00ED756E" w:rsidRDefault="00880180">
      <w:pPr>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upplementary figure 1. Experimental design for the induction of cartilage injury by full-thickness cartilage injury in young and adult mice. A, Three-week -old (young) or ten-week old (adult) male C57BL/6 mice were subjected to FTCI and assessment of cartilage regeneration was performed at 3, 7, 14, and 56 days post FTCI using a histological scoring system, proteoglycan staining, and chondrogenic marker staining and gene expression analysis.</w:t>
      </w: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ED756E">
      <w:pPr>
        <w:pStyle w:val="EndNoteBibliography"/>
        <w:spacing w:after="0" w:line="480" w:lineRule="auto"/>
        <w:ind w:left="720" w:hanging="720"/>
        <w:rPr>
          <w:rFonts w:ascii="Times New Roman" w:hAnsi="Times New Roman" w:cs="Times New Roman"/>
          <w:sz w:val="24"/>
          <w:szCs w:val="24"/>
        </w:rPr>
      </w:pPr>
    </w:p>
    <w:p w:rsidR="00ED756E" w:rsidRDefault="00880180">
      <w:pPr>
        <w:pStyle w:val="EndNoteBibliography"/>
        <w:spacing w:after="0"/>
        <w:ind w:leftChars="100" w:left="200"/>
        <w:rPr>
          <w:rFonts w:ascii="Times New Roman" w:hAnsi="Times New Roman" w:cs="Times New Roman"/>
          <w:sz w:val="24"/>
          <w:szCs w:val="24"/>
        </w:rPr>
      </w:pPr>
      <w:r>
        <w:rPr>
          <w:rFonts w:ascii="Times New Roman" w:hAnsi="Times New Roman" w:cs="Times New Roman" w:hint="eastAsia"/>
          <w:sz w:val="24"/>
          <w:szCs w:val="24"/>
        </w:rPr>
        <w:lastRenderedPageBreak/>
        <w:drawing>
          <wp:inline distT="0" distB="0" distL="0" distR="0">
            <wp:extent cx="5454588" cy="2109327"/>
            <wp:effectExtent l="0" t="0" r="0" b="0"/>
            <wp:docPr id="1026" name="shape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5454588" cy="2109327"/>
                    </a:xfrm>
                    <a:prstGeom prst="rect">
                      <a:avLst/>
                    </a:prstGeom>
                  </pic:spPr>
                </pic:pic>
              </a:graphicData>
            </a:graphic>
          </wp:inline>
        </w:drawing>
      </w:r>
    </w:p>
    <w:p w:rsidR="00ED756E" w:rsidRDefault="00ED756E">
      <w:pPr>
        <w:pStyle w:val="EndNoteBibliography"/>
        <w:spacing w:after="0"/>
        <w:rPr>
          <w:rFonts w:ascii="Times New Roman" w:hAnsi="Times New Roman" w:cs="Times New Roman"/>
          <w:sz w:val="24"/>
          <w:szCs w:val="24"/>
        </w:rPr>
      </w:pPr>
    </w:p>
    <w:p w:rsidR="00ED756E" w:rsidRDefault="00880180">
      <w:pPr>
        <w:wordWrap/>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upplementary figure 2. Expression of sox9 (A</w:t>
      </w:r>
      <w:r>
        <w:rPr>
          <w:rFonts w:ascii="Times New Roman" w:hAnsi="Times New Roman" w:hint="eastAsia"/>
          <w:sz w:val="24"/>
          <w:szCs w:val="24"/>
        </w:rPr>
        <w:t>)</w:t>
      </w:r>
      <w:r>
        <w:rPr>
          <w:rFonts w:ascii="Times New Roman" w:hAnsi="Times New Roman"/>
          <w:sz w:val="24"/>
          <w:szCs w:val="24"/>
        </w:rPr>
        <w:t xml:space="preserve"> and aggrecan (B) mRNA in the cartilage from young and adult mice </w:t>
      </w:r>
      <w:r>
        <w:rPr>
          <w:rFonts w:ascii="Times New Roman" w:hAnsi="Times New Roman" w:hint="eastAsia"/>
          <w:sz w:val="24"/>
          <w:szCs w:val="24"/>
        </w:rPr>
        <w:t xml:space="preserve">after </w:t>
      </w:r>
      <w:r>
        <w:rPr>
          <w:rFonts w:ascii="Times New Roman" w:hAnsi="Times New Roman"/>
          <w:sz w:val="24"/>
          <w:szCs w:val="24"/>
        </w:rPr>
        <w:t xml:space="preserve">FTCI, as determined by real-time qRT-PCR. RNA was isolated from the cartilage following FTCI or from uninjured mice at each time point. For each group, cartilages were pooled from 2 sets of 10 mice before RNA extraction. Data are normalized to the expression of glyceraldehyde-3-phosphate dehydrogenase (GAPDH) mRNA and shown as means ± SEMs </w:t>
      </w:r>
      <w:r>
        <w:rPr>
          <w:rFonts w:ascii="Times New Roman" w:hAnsi="Times New Roman" w:hint="eastAsia"/>
          <w:sz w:val="24"/>
          <w:szCs w:val="24"/>
        </w:rPr>
        <w:t>of duplicate</w:t>
      </w:r>
      <w:r>
        <w:rPr>
          <w:rFonts w:ascii="Times New Roman" w:hAnsi="Times New Roman"/>
          <w:sz w:val="24"/>
          <w:szCs w:val="24"/>
        </w:rPr>
        <w:t xml:space="preserve"> experiments from each set. **P &lt; 0.01, ***P &lt; 0.001, ****P &lt; 0.0001 vs. sham control group by one-way ANOVA with Tukey’s multiple comparisons test.</w:t>
      </w:r>
    </w:p>
    <w:p w:rsidR="00ED756E" w:rsidRDefault="00ED756E">
      <w:pPr>
        <w:wordWrap/>
        <w:spacing w:line="480" w:lineRule="auto"/>
        <w:rPr>
          <w:rFonts w:ascii="Times New Roman" w:hAnsi="Times New Roman"/>
          <w:sz w:val="24"/>
          <w:szCs w:val="24"/>
        </w:rPr>
      </w:pPr>
    </w:p>
    <w:p w:rsidR="00ED756E" w:rsidRDefault="00ED756E">
      <w:pPr>
        <w:wordWrap/>
        <w:spacing w:line="480" w:lineRule="auto"/>
        <w:rPr>
          <w:rFonts w:ascii="Times New Roman" w:hAnsi="Times New Roman"/>
          <w:sz w:val="24"/>
          <w:szCs w:val="24"/>
        </w:rPr>
      </w:pPr>
    </w:p>
    <w:p w:rsidR="00ED756E" w:rsidRDefault="00ED756E">
      <w:pPr>
        <w:wordWrap/>
        <w:spacing w:line="480" w:lineRule="auto"/>
        <w:rPr>
          <w:rFonts w:ascii="Times New Roman" w:hAnsi="Times New Roman"/>
          <w:sz w:val="24"/>
          <w:szCs w:val="24"/>
        </w:rPr>
      </w:pPr>
    </w:p>
    <w:p w:rsidR="00ED756E" w:rsidRDefault="00ED756E">
      <w:pPr>
        <w:wordWrap/>
        <w:spacing w:line="480" w:lineRule="auto"/>
        <w:rPr>
          <w:rFonts w:ascii="Times New Roman" w:hAnsi="Times New Roman"/>
          <w:sz w:val="24"/>
          <w:szCs w:val="24"/>
        </w:rPr>
      </w:pPr>
    </w:p>
    <w:p w:rsidR="00ED756E" w:rsidRDefault="00ED756E">
      <w:pPr>
        <w:wordWrap/>
        <w:spacing w:line="480" w:lineRule="auto"/>
        <w:rPr>
          <w:rFonts w:ascii="Times New Roman" w:hAnsi="Times New Roman"/>
          <w:sz w:val="24"/>
          <w:szCs w:val="24"/>
        </w:rPr>
      </w:pPr>
    </w:p>
    <w:p w:rsidR="00ED756E" w:rsidRDefault="00ED756E">
      <w:pPr>
        <w:wordWrap/>
        <w:spacing w:line="480" w:lineRule="auto"/>
        <w:rPr>
          <w:rFonts w:ascii="Times New Roman" w:hAnsi="Times New Roman"/>
          <w:sz w:val="24"/>
          <w:szCs w:val="24"/>
        </w:rPr>
      </w:pPr>
    </w:p>
    <w:p w:rsidR="00ED756E" w:rsidRDefault="00ED756E">
      <w:pPr>
        <w:wordWrap/>
        <w:spacing w:line="480" w:lineRule="auto"/>
        <w:rPr>
          <w:rFonts w:ascii="Times New Roman" w:hAnsi="Times New Roman"/>
          <w:sz w:val="24"/>
          <w:szCs w:val="24"/>
        </w:rPr>
      </w:pPr>
    </w:p>
    <w:p w:rsidR="00ED756E" w:rsidRDefault="00880180">
      <w:pPr>
        <w:wordWrap/>
        <w:spacing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652767" cy="6081569"/>
            <wp:effectExtent l="0" t="0" r="0" b="0"/>
            <wp:docPr id="1027" name="shap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a:xfrm>
                      <a:off x="0" y="0"/>
                      <a:ext cx="5652767" cy="6081569"/>
                    </a:xfrm>
                    <a:prstGeom prst="rect">
                      <a:avLst/>
                    </a:prstGeom>
                  </pic:spPr>
                </pic:pic>
              </a:graphicData>
            </a:graphic>
          </wp:inline>
        </w:drawing>
      </w:r>
    </w:p>
    <w:p w:rsidR="00ED756E" w:rsidRDefault="00880180">
      <w:pPr>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upplementary figure 3. RT-qPCR validation of the expression of IFN-</w:t>
      </w:r>
      <w:r>
        <w:rPr>
          <w:rFonts w:ascii="Times New Roman" w:hAnsi="Times New Roman"/>
          <w:sz w:val="24"/>
          <w:szCs w:val="24"/>
          <w:lang w:val="el-GR"/>
        </w:rPr>
        <w:t>γ</w:t>
      </w:r>
      <w:r>
        <w:rPr>
          <w:rFonts w:ascii="Times New Roman" w:hAnsi="Times New Roman"/>
          <w:sz w:val="24"/>
          <w:szCs w:val="24"/>
        </w:rPr>
        <w:t xml:space="preserve"> signaling pathway related genes from the RNA-seq data. For the validation, new RNA samples were extracted from a different set of cartilages at 3 days following FTCI or from sham mice. The medial or lateral tibial and femoral cartilages were pooled from at least 10 mice before RNA extraction and mRNA levels were analyzed by qRT-PCR. </w:t>
      </w:r>
      <w:r>
        <w:rPr>
          <w:rFonts w:ascii="Times New Roman" w:hAnsi="Times New Roman"/>
          <w:b/>
          <w:bCs/>
          <w:sz w:val="24"/>
          <w:szCs w:val="24"/>
        </w:rPr>
        <w:t>A</w:t>
      </w:r>
      <w:r>
        <w:rPr>
          <w:rFonts w:ascii="Times New Roman" w:hAnsi="Times New Roman"/>
          <w:sz w:val="24"/>
          <w:szCs w:val="24"/>
        </w:rPr>
        <w:t>, Expression levels of IFN-</w:t>
      </w:r>
      <w:r>
        <w:rPr>
          <w:rFonts w:ascii="Times New Roman" w:hAnsi="Times New Roman"/>
          <w:sz w:val="24"/>
          <w:szCs w:val="24"/>
          <w:lang w:val="el-GR"/>
        </w:rPr>
        <w:t>γ</w:t>
      </w:r>
      <w:r>
        <w:rPr>
          <w:rFonts w:ascii="Times New Roman" w:hAnsi="Times New Roman"/>
          <w:sz w:val="24"/>
          <w:szCs w:val="24"/>
        </w:rPr>
        <w:t xml:space="preserve"> signaling pathway-associated genes. </w:t>
      </w:r>
      <w:r>
        <w:rPr>
          <w:rFonts w:ascii="Times New Roman" w:hAnsi="Times New Roman"/>
          <w:b/>
          <w:bCs/>
          <w:sz w:val="24"/>
          <w:szCs w:val="24"/>
        </w:rPr>
        <w:t>B</w:t>
      </w:r>
      <w:r>
        <w:rPr>
          <w:rFonts w:ascii="Times New Roman" w:hAnsi="Times New Roman"/>
          <w:sz w:val="24"/>
          <w:szCs w:val="24"/>
        </w:rPr>
        <w:t>, Expression levels of mRNA IFN-</w:t>
      </w:r>
      <w:r>
        <w:rPr>
          <w:rFonts w:ascii="Times New Roman" w:hAnsi="Times New Roman"/>
          <w:sz w:val="24"/>
          <w:szCs w:val="24"/>
          <w:lang w:val="el-GR"/>
        </w:rPr>
        <w:t>γ</w:t>
      </w:r>
      <w:r>
        <w:rPr>
          <w:rFonts w:ascii="Times New Roman" w:hAnsi="Times New Roman"/>
          <w:sz w:val="24"/>
          <w:szCs w:val="24"/>
        </w:rPr>
        <w:t>R1 and IFN-</w:t>
      </w:r>
      <w:r>
        <w:rPr>
          <w:rFonts w:ascii="Times New Roman" w:hAnsi="Times New Roman"/>
          <w:sz w:val="24"/>
          <w:szCs w:val="24"/>
          <w:lang w:val="el-GR"/>
        </w:rPr>
        <w:t>γ</w:t>
      </w:r>
      <w:r>
        <w:rPr>
          <w:rFonts w:ascii="Times New Roman" w:hAnsi="Times New Roman"/>
          <w:sz w:val="24"/>
          <w:szCs w:val="24"/>
        </w:rPr>
        <w:t xml:space="preserve"> m</w:t>
      </w:r>
      <w:r>
        <w:rPr>
          <w:rFonts w:ascii="Times New Roman" w:hAnsi="Times New Roman" w:hint="eastAsia"/>
          <w:sz w:val="24"/>
          <w:szCs w:val="24"/>
        </w:rPr>
        <w:t xml:space="preserve">RNA </w:t>
      </w:r>
      <w:r>
        <w:rPr>
          <w:rFonts w:ascii="Times New Roman" w:hAnsi="Times New Roman"/>
          <w:sz w:val="24"/>
          <w:szCs w:val="24"/>
        </w:rPr>
        <w:t xml:space="preserve">in young </w:t>
      </w:r>
      <w:r>
        <w:rPr>
          <w:rFonts w:ascii="Times New Roman" w:hAnsi="Times New Roman"/>
          <w:sz w:val="24"/>
          <w:szCs w:val="24"/>
        </w:rPr>
        <w:lastRenderedPageBreak/>
        <w:t xml:space="preserve">and adult mice (n=10 for each group). Data are normalized to the expression of GAPDH mRNA and shown as means ± SEMs </w:t>
      </w:r>
      <w:r>
        <w:rPr>
          <w:rFonts w:ascii="Times New Roman" w:hAnsi="Times New Roman" w:hint="eastAsia"/>
          <w:sz w:val="24"/>
          <w:szCs w:val="24"/>
        </w:rPr>
        <w:t>of duplicate</w:t>
      </w:r>
      <w:r>
        <w:rPr>
          <w:rFonts w:ascii="Times New Roman" w:hAnsi="Times New Roman"/>
          <w:sz w:val="24"/>
          <w:szCs w:val="24"/>
        </w:rPr>
        <w:t xml:space="preserve"> experiments. *P &lt; 0.05, **P &lt; 0.01, ***P &lt; 0.001, ****P &lt; 0.0001 vs. sham control group. Statistical analyses were conducted using one-way ANOVA with Tukey’s multiple comparisons test (A, all gens except for </w:t>
      </w:r>
      <w:r>
        <w:rPr>
          <w:rFonts w:ascii="Times New Roman" w:hAnsi="Times New Roman"/>
          <w:i/>
          <w:iCs/>
          <w:sz w:val="24"/>
          <w:szCs w:val="24"/>
        </w:rPr>
        <w:t xml:space="preserve">Vim </w:t>
      </w:r>
      <w:r>
        <w:rPr>
          <w:rFonts w:ascii="Times New Roman" w:hAnsi="Times New Roman"/>
          <w:sz w:val="24"/>
          <w:szCs w:val="24"/>
        </w:rPr>
        <w:t xml:space="preserve">and B) and Kruskal–Wallis test with Dunn’s multiple comparisons test (A, for </w:t>
      </w:r>
      <w:r>
        <w:rPr>
          <w:rFonts w:ascii="Times New Roman" w:hAnsi="Times New Roman"/>
          <w:i/>
          <w:iCs/>
          <w:sz w:val="24"/>
          <w:szCs w:val="24"/>
        </w:rPr>
        <w:t>Vim</w:t>
      </w:r>
      <w:r>
        <w:rPr>
          <w:rFonts w:ascii="Times New Roman" w:hAnsi="Times New Roman"/>
          <w:sz w:val="24"/>
          <w:szCs w:val="24"/>
        </w:rPr>
        <w:t xml:space="preserve"> ).</w:t>
      </w: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880180">
      <w:pPr>
        <w:spacing w:line="480" w:lineRule="auto"/>
        <w:rPr>
          <w:rFonts w:ascii="Times New Roman" w:hAnsi="Times New Roman"/>
          <w:sz w:val="24"/>
          <w:szCs w:val="24"/>
        </w:rPr>
      </w:pPr>
      <w:r>
        <w:rPr>
          <w:rFonts w:ascii="Times New Roman" w:hAnsi="Times New Roman" w:hint="eastAsia"/>
          <w:noProof/>
          <w:sz w:val="24"/>
          <w:szCs w:val="24"/>
        </w:rPr>
        <w:lastRenderedPageBreak/>
        <w:drawing>
          <wp:inline distT="0" distB="0" distL="0" distR="0">
            <wp:extent cx="5652660" cy="6250062"/>
            <wp:effectExtent l="0" t="0" r="0" b="0"/>
            <wp:docPr id="1028" name="shape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a:xfrm>
                      <a:off x="0" y="0"/>
                      <a:ext cx="5652660" cy="6250062"/>
                    </a:xfrm>
                    <a:prstGeom prst="rect">
                      <a:avLst/>
                    </a:prstGeom>
                  </pic:spPr>
                </pic:pic>
              </a:graphicData>
            </a:graphic>
          </wp:inline>
        </w:drawing>
      </w:r>
    </w:p>
    <w:p w:rsidR="00ED756E" w:rsidRDefault="00880180">
      <w:pPr>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 xml:space="preserve">upplementary figure 4. Generation of cartilage-specific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 xml:space="preserve">R1 knockout mice and characterization of the newborn littermates at 3-week-old </w:t>
      </w:r>
      <w:r>
        <w:rPr>
          <w:rFonts w:ascii="Times New Roman" w:hAnsi="Times New Roman"/>
          <w:b/>
          <w:bCs/>
          <w:sz w:val="24"/>
          <w:szCs w:val="24"/>
        </w:rPr>
        <w:t>A</w:t>
      </w:r>
      <w:r>
        <w:rPr>
          <w:rFonts w:ascii="Times New Roman" w:hAnsi="Times New Roman"/>
          <w:sz w:val="24"/>
          <w:szCs w:val="24"/>
        </w:rPr>
        <w:t xml:space="preserve">, Breeding scheme used to generate Col2a1- specific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 xml:space="preserve">R1 knockout mice. </w:t>
      </w:r>
      <w:r>
        <w:rPr>
          <w:rFonts w:ascii="Times New Roman" w:hAnsi="Times New Roman"/>
          <w:b/>
          <w:bCs/>
          <w:sz w:val="24"/>
          <w:szCs w:val="24"/>
        </w:rPr>
        <w:t>B</w:t>
      </w:r>
      <w:r>
        <w:rPr>
          <w:rFonts w:ascii="Times New Roman" w:hAnsi="Times New Roman"/>
          <w:sz w:val="24"/>
          <w:szCs w:val="24"/>
        </w:rPr>
        <w:t xml:space="preserve">, Quantitative analysis of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 xml:space="preserve">R1 transcript from pooled medial or lateral tibial and femoral cartilage of WT (n=10)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(n=10) mice by qRT-PCR. </w:t>
      </w:r>
      <w:r>
        <w:rPr>
          <w:rFonts w:ascii="Times New Roman" w:hAnsi="Times New Roman"/>
          <w:b/>
          <w:bCs/>
          <w:sz w:val="24"/>
          <w:szCs w:val="24"/>
        </w:rPr>
        <w:t>C</w:t>
      </w:r>
      <w:r>
        <w:rPr>
          <w:rFonts w:ascii="Times New Roman" w:hAnsi="Times New Roman"/>
          <w:sz w:val="24"/>
          <w:szCs w:val="24"/>
        </w:rPr>
        <w:t>, Representative image of immunofluorescence staining for IFN-</w:t>
      </w:r>
      <w:r>
        <w:rPr>
          <w:rFonts w:ascii="Times New Roman" w:hAnsi="Times New Roman"/>
          <w:sz w:val="24"/>
          <w:szCs w:val="24"/>
          <w:lang w:val="el-GR"/>
        </w:rPr>
        <w:t>γ</w:t>
      </w:r>
      <w:r>
        <w:rPr>
          <w:rFonts w:ascii="Times New Roman" w:hAnsi="Times New Roman"/>
          <w:sz w:val="24"/>
          <w:szCs w:val="24"/>
        </w:rPr>
        <w:t xml:space="preserve">R1 in WT </w:t>
      </w:r>
      <w:r>
        <w:rPr>
          <w:rFonts w:ascii="Times New Roman" w:hAnsi="Times New Roman"/>
          <w:sz w:val="24"/>
          <w:szCs w:val="24"/>
        </w:rPr>
        <w:lastRenderedPageBreak/>
        <w:t xml:space="preserve">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knee section. Scale bars=50 μm. Note the decrease in IFN-</w:t>
      </w:r>
      <w:r>
        <w:rPr>
          <w:rFonts w:ascii="Times New Roman" w:hAnsi="Times New Roman"/>
          <w:sz w:val="24"/>
          <w:szCs w:val="24"/>
          <w:lang w:val="el-GR"/>
        </w:rPr>
        <w:t>γ</w:t>
      </w:r>
      <w:r>
        <w:rPr>
          <w:rFonts w:ascii="Times New Roman" w:hAnsi="Times New Roman"/>
          <w:sz w:val="24"/>
          <w:szCs w:val="24"/>
        </w:rPr>
        <w:t xml:space="preserve">R1 expression in the articular cartilage, but not in subchondral bone from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 xml:space="preserve">-/- </w:t>
      </w:r>
      <w:r>
        <w:rPr>
          <w:rFonts w:ascii="Times New Roman" w:hAnsi="Times New Roman"/>
          <w:sz w:val="24"/>
          <w:szCs w:val="24"/>
        </w:rPr>
        <w:t xml:space="preserve">mice. </w:t>
      </w:r>
      <w:r>
        <w:rPr>
          <w:rFonts w:ascii="Times New Roman" w:hAnsi="Times New Roman"/>
          <w:b/>
          <w:bCs/>
          <w:sz w:val="24"/>
          <w:szCs w:val="24"/>
        </w:rPr>
        <w:t>D</w:t>
      </w:r>
      <w:r>
        <w:rPr>
          <w:rFonts w:ascii="Times New Roman" w:hAnsi="Times New Roman"/>
          <w:sz w:val="24"/>
          <w:szCs w:val="24"/>
        </w:rPr>
        <w:t xml:space="preserve">, (Left) Body weight of WT (n=17 for male and n=19 for female)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(n=21 for male and n=18 for female) mice. (Right) </w:t>
      </w:r>
      <w:r>
        <w:rPr>
          <w:rFonts w:ascii="Times New Roman" w:hAnsi="Times New Roman" w:hint="eastAsia"/>
          <w:sz w:val="24"/>
          <w:szCs w:val="24"/>
        </w:rPr>
        <w:t>B</w:t>
      </w:r>
      <w:r>
        <w:rPr>
          <w:rFonts w:ascii="Times New Roman" w:hAnsi="Times New Roman"/>
          <w:sz w:val="24"/>
          <w:szCs w:val="24"/>
        </w:rPr>
        <w:t xml:space="preserve">ody length of WT (n=13 for male and n=18 for female)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(n=19 for male and n=13 for female). No difference was observed between genotypes or sex. </w:t>
      </w:r>
      <w:r>
        <w:rPr>
          <w:rFonts w:ascii="Times New Roman" w:hAnsi="Times New Roman"/>
          <w:b/>
          <w:bCs/>
          <w:sz w:val="24"/>
          <w:szCs w:val="24"/>
        </w:rPr>
        <w:t>E</w:t>
      </w:r>
      <w:r>
        <w:rPr>
          <w:rFonts w:ascii="Times New Roman" w:hAnsi="Times New Roman"/>
          <w:sz w:val="24"/>
          <w:szCs w:val="24"/>
        </w:rPr>
        <w:t xml:space="preserve">, Quantification of the articular cartilage thickness </w:t>
      </w:r>
      <w:r>
        <w:rPr>
          <w:rFonts w:ascii="Times New Roman" w:hAnsi="Times New Roman" w:hint="eastAsia"/>
          <w:sz w:val="24"/>
          <w:szCs w:val="24"/>
        </w:rPr>
        <w:t xml:space="preserve">of </w:t>
      </w:r>
      <w:r>
        <w:rPr>
          <w:rFonts w:ascii="Times New Roman" w:hAnsi="Times New Roman"/>
          <w:sz w:val="24"/>
          <w:szCs w:val="24"/>
        </w:rPr>
        <w:t>the trochlear groove</w:t>
      </w:r>
      <w:r>
        <w:rPr>
          <w:rFonts w:ascii="Times New Roman" w:hAnsi="Times New Roman" w:hint="eastAsia"/>
          <w:sz w:val="24"/>
          <w:szCs w:val="24"/>
        </w:rPr>
        <w:t xml:space="preserve"> </w:t>
      </w:r>
      <w:r>
        <w:rPr>
          <w:rFonts w:ascii="Times New Roman" w:hAnsi="Times New Roman"/>
          <w:sz w:val="24"/>
          <w:szCs w:val="24"/>
        </w:rPr>
        <w:t xml:space="preserve">from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(n=7~8). Measurements from the subchondral bone to the articular cartilage surface were done at 3 points and averaged.</w:t>
      </w:r>
      <w:r>
        <w:rPr>
          <w:rFonts w:ascii="Times New Roman" w:hAnsi="Times New Roman"/>
          <w:kern w:val="0"/>
          <w:sz w:val="24"/>
          <w:szCs w:val="24"/>
        </w:rPr>
        <w:t xml:space="preserve"> Slight decrease in cartilage thickness was exhibited in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w:t>
      </w:r>
      <w:r>
        <w:rPr>
          <w:rFonts w:ascii="Times New Roman" w:hAnsi="Times New Roman"/>
          <w:kern w:val="0"/>
          <w:sz w:val="24"/>
          <w:szCs w:val="24"/>
        </w:rPr>
        <w:t xml:space="preserve">mice. </w:t>
      </w:r>
      <w:r>
        <w:rPr>
          <w:rFonts w:ascii="Times New Roman" w:hAnsi="Times New Roman"/>
          <w:b/>
          <w:bCs/>
          <w:kern w:val="0"/>
          <w:sz w:val="24"/>
          <w:szCs w:val="24"/>
        </w:rPr>
        <w:t>F</w:t>
      </w:r>
      <w:r>
        <w:rPr>
          <w:rFonts w:ascii="Times New Roman" w:hAnsi="Times New Roman"/>
          <w:kern w:val="0"/>
          <w:sz w:val="24"/>
          <w:szCs w:val="24"/>
        </w:rPr>
        <w:t xml:space="preserve">, </w:t>
      </w:r>
      <w:r>
        <w:rPr>
          <w:rFonts w:ascii="Times New Roman" w:hAnsi="Times New Roman"/>
          <w:sz w:val="24"/>
          <w:szCs w:val="24"/>
        </w:rPr>
        <w:t xml:space="preserve">mRNA </w:t>
      </w:r>
      <w:r>
        <w:rPr>
          <w:rFonts w:ascii="Times New Roman" w:hAnsi="Times New Roman" w:hint="eastAsia"/>
          <w:sz w:val="24"/>
          <w:szCs w:val="24"/>
        </w:rPr>
        <w:t xml:space="preserve">expression </w:t>
      </w:r>
      <w:r>
        <w:rPr>
          <w:rFonts w:ascii="Times New Roman" w:hAnsi="Times New Roman"/>
          <w:sz w:val="24"/>
          <w:szCs w:val="24"/>
        </w:rPr>
        <w:t xml:space="preserve">of aggrecan, Col2a1 and Sox9 </w:t>
      </w:r>
      <w:bookmarkStart w:id="1" w:name="OLE_LINK2"/>
      <w:r>
        <w:rPr>
          <w:rFonts w:ascii="Times New Roman" w:hAnsi="Times New Roman"/>
          <w:sz w:val="24"/>
          <w:szCs w:val="24"/>
        </w:rPr>
        <w:t>from pooled medial or lateral tibial and femoral cartilage</w:t>
      </w:r>
      <w:bookmarkEnd w:id="1"/>
      <w:r>
        <w:rPr>
          <w:rFonts w:ascii="Times New Roman" w:hAnsi="Times New Roman"/>
          <w:sz w:val="24"/>
          <w:szCs w:val="24"/>
        </w:rPr>
        <w:t xml:space="preserve"> in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(n=10 for each group). </w:t>
      </w:r>
      <w:r>
        <w:rPr>
          <w:rFonts w:ascii="Times New Roman" w:hAnsi="Times New Roman"/>
          <w:b/>
          <w:bCs/>
          <w:sz w:val="24"/>
          <w:szCs w:val="24"/>
        </w:rPr>
        <w:t>G, H</w:t>
      </w:r>
      <w:r>
        <w:rPr>
          <w:rFonts w:ascii="Times New Roman" w:hAnsi="Times New Roman"/>
          <w:sz w:val="24"/>
          <w:szCs w:val="24"/>
        </w:rPr>
        <w:t xml:space="preserve">, Representative image of immunofluorescence staining for aggrecan (G) and Col2a1 (H) in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knee section. Scale bars=50 μm. Transcript data are normalized to the expression of GAPDH mRNA and shown as means ± SEMs </w:t>
      </w:r>
      <w:r>
        <w:rPr>
          <w:rFonts w:ascii="Times New Roman" w:hAnsi="Times New Roman" w:hint="eastAsia"/>
          <w:sz w:val="24"/>
          <w:szCs w:val="24"/>
        </w:rPr>
        <w:t>of duplicate</w:t>
      </w:r>
      <w:r>
        <w:rPr>
          <w:rFonts w:ascii="Times New Roman" w:hAnsi="Times New Roman"/>
          <w:sz w:val="24"/>
          <w:szCs w:val="24"/>
        </w:rPr>
        <w:t xml:space="preserve"> experiments. **P &lt; 0.01, ***P &lt; 0.001 vs. compared with WT control group according to unpaired two-tailed </w:t>
      </w:r>
      <w:r>
        <w:rPr>
          <w:rFonts w:ascii="Times New Roman" w:hAnsi="Times New Roman"/>
          <w:i/>
          <w:iCs/>
          <w:sz w:val="24"/>
          <w:szCs w:val="24"/>
        </w:rPr>
        <w:t>t</w:t>
      </w:r>
      <w:r>
        <w:rPr>
          <w:rFonts w:ascii="Times New Roman" w:hAnsi="Times New Roman"/>
          <w:sz w:val="24"/>
          <w:szCs w:val="24"/>
        </w:rPr>
        <w:t>-tests.</w:t>
      </w: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880180">
      <w:pPr>
        <w:spacing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656746" cy="4170206"/>
            <wp:effectExtent l="0" t="0" r="0" b="0"/>
            <wp:docPr id="1029" name="shape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5656746" cy="4170206"/>
                    </a:xfrm>
                    <a:prstGeom prst="rect">
                      <a:avLst/>
                    </a:prstGeom>
                  </pic:spPr>
                </pic:pic>
              </a:graphicData>
            </a:graphic>
          </wp:inline>
        </w:drawing>
      </w:r>
    </w:p>
    <w:p w:rsidR="00ED756E" w:rsidRDefault="00880180">
      <w:pPr>
        <w:wordWrap/>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upplementary figure 5. Genetic ablation of INF-</w:t>
      </w:r>
      <w:r>
        <w:rPr>
          <w:rFonts w:ascii="Times New Roman" w:hAnsi="Times New Roman"/>
          <w:sz w:val="24"/>
          <w:szCs w:val="24"/>
          <w:lang w:val="el-GR"/>
        </w:rPr>
        <w:t>γ</w:t>
      </w:r>
      <w:r>
        <w:rPr>
          <w:rFonts w:ascii="Times New Roman" w:hAnsi="Times New Roman"/>
          <w:sz w:val="24"/>
          <w:szCs w:val="24"/>
        </w:rPr>
        <w:t>R1 delays cartilage regeneration after full thickness cartilage injury in 3-week-old mice</w:t>
      </w:r>
      <w:r>
        <w:rPr>
          <w:rFonts w:ascii="Times New Roman" w:hAnsi="Times New Roman"/>
          <w:b/>
          <w:bCs/>
          <w:sz w:val="24"/>
          <w:szCs w:val="24"/>
        </w:rPr>
        <w:t>.</w:t>
      </w:r>
      <w:r>
        <w:rPr>
          <w:rFonts w:ascii="Times New Roman" w:hAnsi="Times New Roman"/>
          <w:sz w:val="24"/>
          <w:szCs w:val="24"/>
        </w:rPr>
        <w:t xml:space="preserve"> (Upper panels) </w:t>
      </w:r>
      <w:r>
        <w:rPr>
          <w:rFonts w:ascii="Times New Roman" w:hAnsi="Times New Roman"/>
          <w:color w:val="000000"/>
          <w:sz w:val="24"/>
          <w:szCs w:val="24"/>
        </w:rPr>
        <w:t xml:space="preserve">Cartilage defect or regeneration was visualized </w:t>
      </w:r>
      <w:r>
        <w:rPr>
          <w:rFonts w:ascii="Times New Roman" w:hAnsi="Times New Roman"/>
          <w:sz w:val="24"/>
          <w:szCs w:val="24"/>
        </w:rPr>
        <w:t>by safranin-O/fast green staining at 56 days after injury in WT and IFN-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Boxed areas are shown at higher magnification. Complete hyaline cartilage was formed in WT mice, while IFN-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exhibited fibrocartilage formation. Representative images of immunohistochemical staining for aggrecan and Col2a1 in the regenerating cartilage from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after injury. Arrows represent cartilage injury site. Dashed lines indicate cartilage part. </w:t>
      </w:r>
      <w:r>
        <w:rPr>
          <w:rFonts w:ascii="Times New Roman" w:hAnsi="Times New Roman"/>
          <w:color w:val="000000"/>
          <w:sz w:val="24"/>
          <w:szCs w:val="24"/>
        </w:rPr>
        <w:t>Scale bars</w:t>
      </w:r>
      <w:r>
        <w:rPr>
          <w:rFonts w:ascii="Times New Roman" w:hAnsi="Times New Roman"/>
          <w:sz w:val="24"/>
          <w:szCs w:val="24"/>
        </w:rPr>
        <w:t xml:space="preserve">=50 μm. (Lower panels) Histological cartilage repair score was quantified (n=5 for each group, three sections/mouse). </w:t>
      </w:r>
      <w:bookmarkStart w:id="2" w:name="_Hlk118669722"/>
      <w:r>
        <w:rPr>
          <w:rFonts w:ascii="Times New Roman" w:hAnsi="Times New Roman"/>
          <w:sz w:val="24"/>
          <w:szCs w:val="24"/>
        </w:rPr>
        <w:t xml:space="preserve">Data are shown as means ± SEMs. </w:t>
      </w:r>
      <w:bookmarkEnd w:id="2"/>
    </w:p>
    <w:p w:rsidR="00ED756E" w:rsidRDefault="00ED756E">
      <w:pPr>
        <w:wordWrap/>
        <w:spacing w:line="480" w:lineRule="auto"/>
        <w:rPr>
          <w:rFonts w:ascii="Times New Roman" w:hAnsi="Times New Roman"/>
          <w:sz w:val="24"/>
          <w:szCs w:val="24"/>
        </w:rPr>
      </w:pPr>
    </w:p>
    <w:p w:rsidR="00ED756E" w:rsidRDefault="00880180">
      <w:pPr>
        <w:wordWrap/>
        <w:spacing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338730" cy="2898600"/>
            <wp:effectExtent l="0" t="0" r="0" b="0"/>
            <wp:docPr id="1030" name="shape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0" y="0"/>
                      <a:ext cx="5338730" cy="2898600"/>
                    </a:xfrm>
                    <a:prstGeom prst="rect">
                      <a:avLst/>
                    </a:prstGeom>
                  </pic:spPr>
                </pic:pic>
              </a:graphicData>
            </a:graphic>
          </wp:inline>
        </w:drawing>
      </w:r>
    </w:p>
    <w:p w:rsidR="00ED756E" w:rsidRDefault="00880180">
      <w:pPr>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 xml:space="preserve">upplementary figure 6. Pro-to anti-inflammatory transition of macrophage in early response following cartilage injury in young and adult mice after cartilage injury. Three-week-old (young) or ten-week-old (adult) male C57BL/6 mice were subjected to FTCI on the left knee cartilage and tissue were harvested 3 days later. The medial or lateral tibial and femoral cartilages were pooled from at least 10 mice before RNA extraction and mRNA levels were analyzed by qRT-PCR. </w:t>
      </w:r>
      <w:r>
        <w:rPr>
          <w:rFonts w:ascii="Times New Roman" w:hAnsi="Times New Roman"/>
          <w:b/>
          <w:bCs/>
          <w:sz w:val="24"/>
          <w:szCs w:val="24"/>
        </w:rPr>
        <w:t xml:space="preserve">A </w:t>
      </w:r>
      <w:r>
        <w:rPr>
          <w:rFonts w:ascii="Times New Roman" w:hAnsi="Times New Roman"/>
          <w:sz w:val="24"/>
          <w:szCs w:val="24"/>
        </w:rPr>
        <w:t>Expression levels of pro-inflammatory cytokine, TNF-</w:t>
      </w:r>
      <w:r>
        <w:rPr>
          <w:rFonts w:ascii="Times New Roman" w:hAnsi="Times New Roman" w:cs="Times New Roman"/>
          <w:sz w:val="24"/>
          <w:szCs w:val="24"/>
        </w:rPr>
        <w:t>α</w:t>
      </w:r>
      <w:r>
        <w:rPr>
          <w:rFonts w:ascii="Times New Roman" w:hAnsi="Times New Roman"/>
          <w:sz w:val="24"/>
          <w:szCs w:val="24"/>
        </w:rPr>
        <w:t xml:space="preserve"> mRNA in the cartilage from young and adult mice. </w:t>
      </w:r>
      <w:r>
        <w:rPr>
          <w:rFonts w:ascii="Times New Roman" w:hAnsi="Times New Roman"/>
          <w:b/>
          <w:bCs/>
          <w:sz w:val="24"/>
          <w:szCs w:val="24"/>
        </w:rPr>
        <w:t>B</w:t>
      </w:r>
      <w:r>
        <w:rPr>
          <w:rFonts w:ascii="Times New Roman" w:hAnsi="Times New Roman"/>
          <w:sz w:val="24"/>
          <w:szCs w:val="24"/>
        </w:rPr>
        <w:t xml:space="preserve">, Expression levels of common macrophage marker, F4/80, pro-inflammatory macrophage marker (M1), CD16 and iNOS and anti- inflammatory macrophage marker (M2), arginase-1 and CD206 were analyzed by qRT-PCR. Data are normalized to the expression of glyceraldehyde-3-phosphate dehydrogenase (GAPDH) mRNA and shown as means ± SEMs </w:t>
      </w:r>
      <w:r>
        <w:rPr>
          <w:rFonts w:ascii="Times New Roman" w:hAnsi="Times New Roman" w:hint="eastAsia"/>
          <w:sz w:val="24"/>
          <w:szCs w:val="24"/>
        </w:rPr>
        <w:t>of duplicate</w:t>
      </w:r>
      <w:r>
        <w:rPr>
          <w:rFonts w:ascii="Times New Roman" w:hAnsi="Times New Roman"/>
          <w:sz w:val="24"/>
          <w:szCs w:val="24"/>
        </w:rPr>
        <w:t xml:space="preserve"> experiments. *P &lt; 0.05, **P &lt; 0.01, ***P &lt; 0.001, ****P &lt; 0.0001 vs. sham control group. Statistical analyses were conducted using Kruskal–Wallis test with Dunn’s multiple comparisons test (A, TNF-</w:t>
      </w:r>
      <w:r>
        <w:rPr>
          <w:rFonts w:ascii="Times New Roman" w:hAnsi="Times New Roman" w:cs="Times New Roman"/>
          <w:sz w:val="24"/>
          <w:szCs w:val="24"/>
        </w:rPr>
        <w:t>α</w:t>
      </w:r>
      <w:r>
        <w:rPr>
          <w:rFonts w:ascii="Times New Roman" w:hAnsi="Times New Roman"/>
          <w:sz w:val="24"/>
          <w:szCs w:val="24"/>
        </w:rPr>
        <w:t>) (B, CD16, iNOS) and one-way ANOVA with Tukey’s multiple comparisons test (B, F4/80, Arginase-1, CD206).</w:t>
      </w:r>
    </w:p>
    <w:p w:rsidR="00ED756E" w:rsidRDefault="00880180">
      <w:pPr>
        <w:spacing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691355" cy="2353668"/>
            <wp:effectExtent l="0" t="0" r="0" b="0"/>
            <wp:docPr id="1031" name="shape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0" y="0"/>
                      <a:ext cx="5691355" cy="2353668"/>
                    </a:xfrm>
                    <a:prstGeom prst="rect">
                      <a:avLst/>
                    </a:prstGeom>
                  </pic:spPr>
                </pic:pic>
              </a:graphicData>
            </a:graphic>
          </wp:inline>
        </w:drawing>
      </w:r>
    </w:p>
    <w:p w:rsidR="00ED756E" w:rsidRDefault="00880180">
      <w:pPr>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 xml:space="preserve">upplementary figure 7. characterization of 5-week-old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 xml:space="preserve"> knockout mice. </w:t>
      </w:r>
      <w:r>
        <w:rPr>
          <w:rFonts w:ascii="Times New Roman" w:hAnsi="Times New Roman"/>
          <w:b/>
          <w:bCs/>
          <w:sz w:val="24"/>
          <w:szCs w:val="24"/>
        </w:rPr>
        <w:t>A</w:t>
      </w:r>
      <w:r>
        <w:rPr>
          <w:rFonts w:ascii="Times New Roman" w:hAnsi="Times New Roman"/>
          <w:sz w:val="24"/>
          <w:szCs w:val="24"/>
        </w:rPr>
        <w:t xml:space="preserve">, Quantification of the articular cartilage thickness of the trochlear groove from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vertAlign w:val="superscript"/>
        </w:rPr>
        <w:t>-/-</w:t>
      </w:r>
      <w:r>
        <w:rPr>
          <w:rFonts w:ascii="Times New Roman" w:hAnsi="Times New Roman"/>
          <w:sz w:val="24"/>
          <w:szCs w:val="24"/>
        </w:rPr>
        <w:t xml:space="preserve"> mice (n=6). Quantification of the articular cartilage thickness </w:t>
      </w:r>
      <w:r>
        <w:rPr>
          <w:rFonts w:ascii="Times New Roman" w:hAnsi="Times New Roman" w:hint="eastAsia"/>
          <w:sz w:val="24"/>
          <w:szCs w:val="24"/>
        </w:rPr>
        <w:t xml:space="preserve">of </w:t>
      </w:r>
      <w:r>
        <w:rPr>
          <w:rFonts w:ascii="Times New Roman" w:hAnsi="Times New Roman"/>
          <w:sz w:val="24"/>
          <w:szCs w:val="24"/>
        </w:rPr>
        <w:t>the trochlear groove</w:t>
      </w:r>
      <w:r>
        <w:rPr>
          <w:rFonts w:ascii="Times New Roman" w:hAnsi="Times New Roman" w:hint="eastAsia"/>
          <w:sz w:val="24"/>
          <w:szCs w:val="24"/>
        </w:rPr>
        <w:t xml:space="preserve"> </w:t>
      </w:r>
      <w:r>
        <w:rPr>
          <w:rFonts w:ascii="Times New Roman" w:hAnsi="Times New Roman"/>
          <w:sz w:val="24"/>
          <w:szCs w:val="24"/>
        </w:rPr>
        <w:t xml:space="preserve">from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(n=6). Measurements from the subchondral bone to the articular cartilage surface were done at 3 points and averaged.</w:t>
      </w:r>
      <w:r>
        <w:rPr>
          <w:rFonts w:ascii="Times New Roman" w:hAnsi="Times New Roman"/>
          <w:kern w:val="0"/>
          <w:sz w:val="24"/>
          <w:szCs w:val="24"/>
        </w:rPr>
        <w:t xml:space="preserve"> Significant decrease in cartilage thickness was exhibited in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vertAlign w:val="superscript"/>
        </w:rPr>
        <w:t>-/-</w:t>
      </w:r>
      <w:r>
        <w:rPr>
          <w:rFonts w:ascii="Times New Roman" w:hAnsi="Times New Roman"/>
          <w:sz w:val="24"/>
          <w:szCs w:val="24"/>
        </w:rPr>
        <w:t xml:space="preserve"> </w:t>
      </w:r>
      <w:r>
        <w:rPr>
          <w:rFonts w:ascii="Times New Roman" w:hAnsi="Times New Roman"/>
          <w:kern w:val="0"/>
          <w:sz w:val="24"/>
          <w:szCs w:val="24"/>
        </w:rPr>
        <w:t xml:space="preserve">mice. </w:t>
      </w:r>
      <w:r>
        <w:rPr>
          <w:rFonts w:ascii="Times New Roman" w:hAnsi="Times New Roman"/>
          <w:b/>
          <w:bCs/>
          <w:sz w:val="24"/>
          <w:szCs w:val="24"/>
        </w:rPr>
        <w:t>B</w:t>
      </w:r>
      <w:r>
        <w:rPr>
          <w:rFonts w:ascii="Times New Roman" w:hAnsi="Times New Roman"/>
          <w:sz w:val="24"/>
          <w:szCs w:val="24"/>
        </w:rPr>
        <w:t xml:space="preserve">, Quantitative analysis of aggrecan, Col2a1 and Sox9 transcripts from pooled medial or lateral tibial and femoral cartilage in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(n=10 for each group) by qRT-PCR. </w:t>
      </w:r>
      <w:r>
        <w:rPr>
          <w:rFonts w:ascii="Times New Roman" w:hAnsi="Times New Roman" w:hint="eastAsia"/>
          <w:sz w:val="24"/>
          <w:szCs w:val="24"/>
        </w:rPr>
        <w:t>D</w:t>
      </w:r>
      <w:r>
        <w:rPr>
          <w:rFonts w:ascii="Times New Roman" w:hAnsi="Times New Roman"/>
          <w:sz w:val="24"/>
          <w:szCs w:val="24"/>
        </w:rPr>
        <w:t xml:space="preserve">ata are normalized to the expression of GAPDH mRNA and shown as means ± SEMs </w:t>
      </w:r>
      <w:r>
        <w:rPr>
          <w:rFonts w:ascii="Times New Roman" w:hAnsi="Times New Roman" w:hint="eastAsia"/>
          <w:sz w:val="24"/>
          <w:szCs w:val="24"/>
        </w:rPr>
        <w:t>of duplicate</w:t>
      </w:r>
      <w:r>
        <w:rPr>
          <w:rFonts w:ascii="Times New Roman" w:hAnsi="Times New Roman"/>
          <w:sz w:val="24"/>
          <w:szCs w:val="24"/>
        </w:rPr>
        <w:t xml:space="preserve"> experiments. </w:t>
      </w: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880180">
      <w:pPr>
        <w:spacing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602667" cy="3116842"/>
            <wp:effectExtent l="0" t="0" r="0" b="0"/>
            <wp:docPr id="1032" name="shape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a:xfrm>
                      <a:off x="0" y="0"/>
                      <a:ext cx="5602667" cy="3116842"/>
                    </a:xfrm>
                    <a:prstGeom prst="rect">
                      <a:avLst/>
                    </a:prstGeom>
                  </pic:spPr>
                </pic:pic>
              </a:graphicData>
            </a:graphic>
          </wp:inline>
        </w:drawing>
      </w:r>
    </w:p>
    <w:p w:rsidR="00ED756E" w:rsidRDefault="00880180">
      <w:pPr>
        <w:spacing w:line="48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 xml:space="preserve">upplementary figure 8. Aged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 xml:space="preserve">R1 deficient mice exhibit severer OA-like phenotype. </w:t>
      </w:r>
      <w:r>
        <w:rPr>
          <w:rFonts w:ascii="Times New Roman" w:hAnsi="Times New Roman"/>
          <w:b/>
          <w:bCs/>
          <w:sz w:val="24"/>
          <w:szCs w:val="24"/>
        </w:rPr>
        <w:t>A</w:t>
      </w:r>
      <w:r>
        <w:rPr>
          <w:rFonts w:ascii="Times New Roman" w:hAnsi="Times New Roman"/>
          <w:sz w:val="24"/>
          <w:szCs w:val="24"/>
        </w:rPr>
        <w:t xml:space="preserve">, Representative images of safranin-O/fast green stained sections of the knee joints of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at 16-month-old. Boxed areas are shown at higher magnification in the right panel. Arrows indicate areas of cartilage degeneration including proteoglycan loss and cartilage erosion. Scale bars = 50 μm. </w:t>
      </w:r>
      <w:r>
        <w:rPr>
          <w:rFonts w:ascii="Times New Roman" w:hAnsi="Times New Roman"/>
          <w:b/>
          <w:bCs/>
          <w:sz w:val="24"/>
          <w:szCs w:val="24"/>
        </w:rPr>
        <w:t>B,</w:t>
      </w:r>
      <w:r>
        <w:rPr>
          <w:rFonts w:ascii="Times New Roman" w:hAnsi="Times New Roman"/>
          <w:sz w:val="24"/>
          <w:szCs w:val="24"/>
        </w:rPr>
        <w:t xml:space="preserve"> Quantitative analyses of the OARSI score, synovitis score, subchondral bone score, and osteophyte formation in WT and </w:t>
      </w:r>
      <w:r>
        <w:rPr>
          <w:rFonts w:ascii="Times New Roman" w:hAnsi="Times New Roman" w:hint="eastAsia"/>
          <w:sz w:val="24"/>
          <w:szCs w:val="24"/>
        </w:rPr>
        <w:t>I</w:t>
      </w:r>
      <w:r>
        <w:rPr>
          <w:rFonts w:ascii="Times New Roman" w:hAnsi="Times New Roman"/>
          <w:sz w:val="24"/>
          <w:szCs w:val="24"/>
        </w:rPr>
        <w:t>FN-</w:t>
      </w:r>
      <w:r>
        <w:rPr>
          <w:rFonts w:ascii="Times New Roman" w:hAnsi="Times New Roman"/>
          <w:sz w:val="24"/>
          <w:szCs w:val="24"/>
          <w:lang w:val="el-GR"/>
        </w:rPr>
        <w:t>γ</w:t>
      </w:r>
      <w:r>
        <w:rPr>
          <w:rFonts w:ascii="Times New Roman" w:hAnsi="Times New Roman"/>
          <w:sz w:val="24"/>
          <w:szCs w:val="24"/>
        </w:rPr>
        <w:t>R1</w:t>
      </w:r>
      <w:r>
        <w:rPr>
          <w:rFonts w:ascii="Times New Roman" w:hAnsi="Times New Roman"/>
          <w:sz w:val="24"/>
          <w:szCs w:val="24"/>
          <w:vertAlign w:val="superscript"/>
        </w:rPr>
        <w:t>-/-</w:t>
      </w:r>
      <w:r>
        <w:rPr>
          <w:rFonts w:ascii="Times New Roman" w:hAnsi="Times New Roman"/>
          <w:sz w:val="24"/>
          <w:szCs w:val="24"/>
        </w:rPr>
        <w:t xml:space="preserve"> mice. (n = 7. 6~7 sections/mouse). </w:t>
      </w: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Default="00ED756E">
      <w:pPr>
        <w:spacing w:line="480" w:lineRule="auto"/>
        <w:rPr>
          <w:rFonts w:ascii="Times New Roman" w:hAnsi="Times New Roman"/>
          <w:sz w:val="24"/>
          <w:szCs w:val="24"/>
        </w:rPr>
      </w:pPr>
    </w:p>
    <w:p w:rsidR="00ED756E" w:rsidRPr="00426654" w:rsidRDefault="00ED756E">
      <w:pPr>
        <w:spacing w:line="480" w:lineRule="auto"/>
        <w:rPr>
          <w:rFonts w:ascii="Times New Roman" w:hAnsi="Times New Roman"/>
          <w:sz w:val="24"/>
          <w:szCs w:val="24"/>
        </w:rPr>
      </w:pPr>
    </w:p>
    <w:sectPr w:rsidR="00ED756E" w:rsidRPr="00426654">
      <w:footerReference w:type="default" r:id="rId16"/>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39D" w:rsidRDefault="00AF639D">
      <w:pPr>
        <w:spacing w:after="0" w:line="240" w:lineRule="auto"/>
      </w:pPr>
      <w:r>
        <w:separator/>
      </w:r>
    </w:p>
  </w:endnote>
  <w:endnote w:type="continuationSeparator" w:id="0">
    <w:p w:rsidR="00AF639D" w:rsidRDefault="00AF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docPartObj>
        <w:docPartGallery w:val="Page Numbers (Bottom of Page)"/>
        <w:docPartUnique/>
      </w:docPartObj>
    </w:sdtPr>
    <w:sdtEndPr/>
    <w:sdtContent>
      <w:p w:rsidR="00ED756E" w:rsidRDefault="00880180">
        <w:pPr>
          <w:pStyle w:val="a4"/>
          <w:jc w:val="center"/>
        </w:pPr>
        <w:r>
          <w:fldChar w:fldCharType="begin"/>
        </w:r>
        <w:r>
          <w:instrText>PAGE   \* MERGEFORMAT</w:instrText>
        </w:r>
        <w:r>
          <w:fldChar w:fldCharType="separate"/>
        </w:r>
        <w:r w:rsidR="00AA7C09" w:rsidRPr="00AA7C09">
          <w:rPr>
            <w:noProof/>
            <w:lang w:val="ko-KR"/>
          </w:rPr>
          <w:t>13</w:t>
        </w:r>
        <w:r>
          <w:fldChar w:fldCharType="end"/>
        </w:r>
      </w:p>
    </w:sdtContent>
  </w:sdt>
  <w:p w:rsidR="00ED756E" w:rsidRDefault="00ED756E">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39D" w:rsidRDefault="00AF639D">
      <w:pPr>
        <w:spacing w:after="0" w:line="240" w:lineRule="auto"/>
      </w:pPr>
      <w:r>
        <w:separator/>
      </w:r>
    </w:p>
  </w:footnote>
  <w:footnote w:type="continuationSeparator" w:id="0">
    <w:p w:rsidR="00AF639D" w:rsidRDefault="00AF63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56E"/>
    <w:rsid w:val="000F6274"/>
    <w:rsid w:val="00426654"/>
    <w:rsid w:val="00517046"/>
    <w:rsid w:val="00713DE1"/>
    <w:rsid w:val="00880180"/>
    <w:rsid w:val="00AA7C09"/>
    <w:rsid w:val="00AF639D"/>
    <w:rsid w:val="00BB533E"/>
    <w:rsid w:val="00C03521"/>
    <w:rsid w:val="00ED756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8F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pPr>
      <w:widowControl w:val="0"/>
      <w:wordWrap w:val="0"/>
      <w:autoSpaceDE w:val="0"/>
      <w:autoSpaceDN w:val="0"/>
    </w:pPr>
  </w:style>
  <w:style w:type="paragraph" w:styleId="3">
    <w:name w:val="heading 3"/>
    <w:basedOn w:val="a"/>
    <w:link w:val="3Char"/>
    <w:uiPriority w:val="9"/>
    <w:qFormat/>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3"/>
    <w:uiPriority w:val="99"/>
  </w:style>
  <w:style w:type="paragraph" w:styleId="a4">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4"/>
    <w:uiPriority w:val="99"/>
  </w:style>
  <w:style w:type="paragraph" w:customStyle="1" w:styleId="EndNoteBibliographyTitle">
    <w:name w:val="EndNote Bibliography Title"/>
    <w:basedOn w:val="a"/>
    <w:link w:val="EndNoteBibliographyTitleChar"/>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Pr>
      <w:rFonts w:ascii="맑은 고딕" w:eastAsia="맑은 고딕" w:hAnsi="맑은 고딕"/>
      <w:noProof/>
    </w:rPr>
  </w:style>
  <w:style w:type="paragraph" w:customStyle="1" w:styleId="EndNoteBibliography">
    <w:name w:val="EndNote Bibliography"/>
    <w:basedOn w:val="a"/>
    <w:link w:val="EndNoteBibliographyChar"/>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Pr>
      <w:rFonts w:ascii="맑은 고딕" w:eastAsia="맑은 고딕" w:hAnsi="맑은 고딕"/>
      <w:noProof/>
    </w:rPr>
  </w:style>
  <w:style w:type="character" w:styleId="a5">
    <w:name w:val="Emphasis"/>
    <w:basedOn w:val="a0"/>
    <w:uiPriority w:val="20"/>
    <w:qFormat/>
    <w:rPr>
      <w:b/>
      <w:bCs/>
      <w:i w:val="0"/>
      <w:iCs w:val="0"/>
    </w:rPr>
  </w:style>
  <w:style w:type="character" w:customStyle="1" w:styleId="st1">
    <w:name w:val="st1"/>
    <w:basedOn w:val="a0"/>
  </w:style>
  <w:style w:type="paragraph" w:customStyle="1" w:styleId="SP5176147">
    <w:name w:val="SP.5.176147"/>
    <w:basedOn w:val="a"/>
    <w:next w:val="a"/>
    <w:uiPriority w:val="99"/>
    <w:pPr>
      <w:wordWrap/>
      <w:spacing w:after="0" w:line="240" w:lineRule="auto"/>
      <w:jc w:val="left"/>
    </w:pPr>
    <w:rPr>
      <w:rFonts w:ascii="Palatino Linotype" w:eastAsia="바탕" w:hAnsi="Palatino Linotype" w:cs="Times New Roman"/>
      <w:kern w:val="0"/>
      <w:sz w:val="24"/>
      <w:szCs w:val="24"/>
    </w:rPr>
  </w:style>
  <w:style w:type="character" w:customStyle="1" w:styleId="3Char">
    <w:name w:val="제목 3 Char"/>
    <w:basedOn w:val="a0"/>
    <w:link w:val="3"/>
    <w:uiPriority w:val="9"/>
    <w:rPr>
      <w:rFonts w:ascii="굴림" w:eastAsia="굴림" w:hAnsi="굴림" w:cs="굴림"/>
      <w:b/>
      <w:bCs/>
      <w:kern w:val="0"/>
      <w:sz w:val="27"/>
      <w:szCs w:val="27"/>
    </w:rPr>
  </w:style>
  <w:style w:type="paragraph" w:styleId="a6">
    <w:name w:val="Normal (Web)"/>
    <w:basedOn w:val="a"/>
    <w:uiPriority w:val="99"/>
    <w:semiHidden/>
    <w:unhideWhenUse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italic1">
    <w:name w:val="italic1"/>
    <w:basedOn w:val="a0"/>
    <w:rPr>
      <w:i/>
      <w:iCs/>
    </w:rPr>
  </w:style>
  <w:style w:type="table" w:styleId="a7">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Pr>
      <w:sz w:val="18"/>
      <w:szCs w:val="18"/>
    </w:rPr>
  </w:style>
  <w:style w:type="paragraph" w:styleId="a9">
    <w:name w:val="annotation text"/>
    <w:basedOn w:val="a"/>
    <w:link w:val="Char1"/>
    <w:uiPriority w:val="99"/>
    <w:unhideWhenUsed/>
    <w:pPr>
      <w:jc w:val="left"/>
    </w:pPr>
  </w:style>
  <w:style w:type="character" w:customStyle="1" w:styleId="Char1">
    <w:name w:val="메모 텍스트 Char"/>
    <w:basedOn w:val="a0"/>
    <w:link w:val="a9"/>
    <w:uiPriority w:val="99"/>
  </w:style>
  <w:style w:type="paragraph" w:styleId="aa">
    <w:name w:val="annotation subject"/>
    <w:basedOn w:val="a9"/>
    <w:next w:val="a9"/>
    <w:link w:val="Char2"/>
    <w:uiPriority w:val="99"/>
    <w:semiHidden/>
    <w:unhideWhenUsed/>
    <w:rPr>
      <w:b/>
      <w:bCs/>
    </w:rPr>
  </w:style>
  <w:style w:type="character" w:customStyle="1" w:styleId="Char2">
    <w:name w:val="메모 주제 Char"/>
    <w:basedOn w:val="Char1"/>
    <w:link w:val="aa"/>
    <w:uiPriority w:val="99"/>
    <w:semiHidden/>
    <w:rPr>
      <w:b/>
      <w:bCs/>
    </w:rPr>
  </w:style>
  <w:style w:type="character" w:styleId="ab">
    <w:name w:val="Hyperlink"/>
    <w:basedOn w:val="a0"/>
    <w:uiPriority w:val="99"/>
    <w:unhideWhenUsed/>
    <w:rPr>
      <w:color w:val="0000FF"/>
      <w:u w:val="single"/>
    </w:rPr>
  </w:style>
  <w:style w:type="paragraph" w:styleId="ac">
    <w:name w:val="Balloon Text"/>
    <w:basedOn w:val="a"/>
    <w:link w:val="Char3"/>
    <w:uiPriority w:val="99"/>
    <w:semiHidden/>
    <w:unhideWhenUsed/>
    <w:rsid w:val="00426654"/>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4266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rcid.org/0000-0002-9318-7446"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kimha@hallym.ac.kr"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1485</Words>
  <Characters>8465</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2023-04-14T10:12:00Z</cp:lastPrinted>
  <dcterms:created xsi:type="dcterms:W3CDTF">2023-05-17T01:24:00Z</dcterms:created>
  <dcterms:modified xsi:type="dcterms:W3CDTF">2023-11-27T06:58:00Z</dcterms:modified>
  <cp:version>1200.0100.01</cp:version>
</cp:coreProperties>
</file>