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before="240" w:after="120"/>
        <w:jc w:val="center"/>
        <w:rPr>
          <w:rFonts w:ascii="Times New Roman" w:hAnsi="Times New Roman" w:eastAsia="Calibri"/>
          <w:iCs/>
          <w:sz w:val="32"/>
          <w:szCs w:val="32"/>
          <w:lang w:eastAsia="en-US"/>
        </w:rPr>
      </w:pPr>
      <w:r>
        <w:rPr>
          <w:rFonts w:ascii="Times New Roman" w:hAnsi="Times New Roman" w:eastAsia="Calibri"/>
          <w:b/>
          <w:iCs/>
          <w:sz w:val="32"/>
          <w:szCs w:val="32"/>
          <w:lang w:eastAsia="en-US"/>
        </w:rPr>
        <w:t>Supplementary Material</w:t>
      </w:r>
    </w:p>
    <w:p>
      <w:pPr>
        <w:widowControl/>
        <w:spacing w:line="360" w:lineRule="auto"/>
        <w:jc w:val="center"/>
        <w:rPr>
          <w:rFonts w:hint="eastAsia" w:ascii="Times New Roman" w:hAnsi="Times New Roman" w:eastAsiaTheme="minorEastAsia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eastAsiaTheme="minorEastAsia"/>
          <w:b/>
          <w:bCs/>
          <w:color w:val="000000"/>
          <w:sz w:val="24"/>
          <w:szCs w:val="24"/>
        </w:rPr>
        <w:t>Mendelian randomization identifies 1400 metabolites that may be pathogenic candidates for non-alcoholic fatty liver disease</w:t>
      </w:r>
    </w:p>
    <w:p>
      <w:pPr>
        <w:adjustRightInd w:val="0"/>
        <w:snapToGrid w:val="0"/>
        <w:spacing w:line="480" w:lineRule="auto"/>
        <w:jc w:val="center"/>
        <w:rPr>
          <w:rFonts w:ascii="Times New Roman" w:hAnsi="Times New Roman" w:eastAsia="宋体"/>
          <w:sz w:val="18"/>
          <w:szCs w:val="18"/>
        </w:rPr>
      </w:pPr>
      <w:r>
        <w:rPr>
          <w:rFonts w:ascii="Times New Roman" w:hAnsi="Times New Roman" w:eastAsia="宋体"/>
          <w:sz w:val="18"/>
          <w:szCs w:val="18"/>
        </w:rPr>
        <w:t xml:space="preserve">Ziwei Guo, </w:t>
      </w:r>
      <w:r>
        <w:rPr>
          <w:rFonts w:ascii="Times New Roman" w:hAnsi="Times New Roman"/>
          <w:sz w:val="18"/>
          <w:szCs w:val="18"/>
        </w:rPr>
        <w:t>Wangyu Ye</w:t>
      </w:r>
      <w:r>
        <w:rPr>
          <w:rFonts w:ascii="Times New Roman" w:hAnsi="Times New Roman" w:eastAsia="宋体"/>
          <w:sz w:val="18"/>
          <w:szCs w:val="18"/>
        </w:rPr>
        <w:t xml:space="preserve">, </w:t>
      </w:r>
      <w:r>
        <w:rPr>
          <w:rFonts w:hint="eastAsia" w:ascii="Times New Roman" w:hAnsi="Times New Roman" w:eastAsia="宋体"/>
          <w:sz w:val="18"/>
          <w:szCs w:val="18"/>
          <w:lang w:val="en-US" w:eastAsia="zh-CN"/>
        </w:rPr>
        <w:t>Jiuchong Wang</w:t>
      </w:r>
      <w:r>
        <w:rPr>
          <w:rFonts w:ascii="Times New Roman" w:hAnsi="Times New Roman" w:eastAsia="宋体"/>
          <w:sz w:val="18"/>
          <w:szCs w:val="18"/>
          <w:vertAlign w:val="superscript"/>
        </w:rPr>
        <w:t>*</w:t>
      </w:r>
      <w:r>
        <w:rPr>
          <w:rFonts w:ascii="Times New Roman" w:hAnsi="Times New Roman" w:eastAsia="宋体"/>
          <w:sz w:val="18"/>
          <w:szCs w:val="18"/>
        </w:rPr>
        <w:t>, Wenliang Lv</w:t>
      </w:r>
      <w:r>
        <w:rPr>
          <w:rFonts w:ascii="Times New Roman" w:hAnsi="Times New Roman" w:eastAsia="宋体"/>
          <w:sz w:val="18"/>
          <w:szCs w:val="18"/>
          <w:vertAlign w:val="superscript"/>
        </w:rPr>
        <w:t>*</w:t>
      </w:r>
    </w:p>
    <w:p>
      <w:pPr>
        <w:adjustRightInd w:val="0"/>
        <w:snapToGrid w:val="0"/>
        <w:spacing w:line="480" w:lineRule="auto"/>
        <w:jc w:val="center"/>
        <w:rPr>
          <w:rFonts w:ascii="Times New Roman" w:hAnsi="Times New Roman" w:eastAsia="宋体"/>
          <w:sz w:val="18"/>
          <w:szCs w:val="18"/>
        </w:rPr>
      </w:pPr>
      <w:r>
        <w:rPr>
          <w:rFonts w:ascii="Times New Roman" w:hAnsi="Times New Roman" w:eastAsia="宋体"/>
          <w:sz w:val="18"/>
          <w:szCs w:val="18"/>
        </w:rPr>
        <w:t xml:space="preserve">Guang'anmen Hospital, China Academy of Chinese Medical Sciences, Beijing, </w:t>
      </w:r>
      <w:r>
        <w:rPr>
          <w:rFonts w:ascii="Times New Roman" w:hAnsi="Times New Roman"/>
          <w:sz w:val="18"/>
          <w:szCs w:val="18"/>
        </w:rPr>
        <w:t>100053,</w:t>
      </w:r>
      <w:r>
        <w:rPr>
          <w:rFonts w:ascii="Times New Roman" w:hAnsi="Times New Roman" w:eastAsia="宋体"/>
          <w:sz w:val="18"/>
          <w:szCs w:val="18"/>
        </w:rPr>
        <w:t>China;</w:t>
      </w:r>
    </w:p>
    <w:p>
      <w:pPr>
        <w:adjustRightInd w:val="0"/>
        <w:snapToGrid w:val="0"/>
        <w:spacing w:line="480" w:lineRule="auto"/>
        <w:rPr>
          <w:rFonts w:ascii="Times New Roman" w:hAnsi="Times New Roman" w:eastAsia="宋体"/>
          <w:sz w:val="18"/>
          <w:szCs w:val="18"/>
        </w:rPr>
      </w:pPr>
      <w:r>
        <w:rPr>
          <w:rFonts w:ascii="Times New Roman" w:hAnsi="Times New Roman" w:eastAsia="宋体"/>
          <w:sz w:val="18"/>
          <w:szCs w:val="18"/>
        </w:rPr>
        <w:t xml:space="preserve">† Ziwei Guo </w:t>
      </w:r>
      <w:r>
        <w:rPr>
          <w:rFonts w:ascii="Times New Roman" w:hAnsi="Times New Roman"/>
          <w:sz w:val="18"/>
          <w:szCs w:val="18"/>
        </w:rPr>
        <w:t>was the first author</w:t>
      </w:r>
      <w:r>
        <w:rPr>
          <w:rFonts w:ascii="Times New Roman" w:hAnsi="Times New Roman" w:eastAsia="宋体"/>
          <w:sz w:val="18"/>
          <w:szCs w:val="18"/>
        </w:rPr>
        <w:t>.</w:t>
      </w:r>
    </w:p>
    <w:p>
      <w:pPr>
        <w:adjustRightInd w:val="0"/>
        <w:snapToGrid w:val="0"/>
        <w:spacing w:line="480" w:lineRule="auto"/>
        <w:jc w:val="both"/>
        <w:rPr>
          <w:rFonts w:ascii="Times New Roman" w:hAnsi="Times New Roman" w:eastAsiaTheme="minorEastAsia"/>
          <w:color w:val="000000"/>
          <w:sz w:val="22"/>
          <w:szCs w:val="22"/>
        </w:rPr>
      </w:pPr>
      <w:r>
        <w:rPr>
          <w:rFonts w:hint="eastAsia" w:ascii="Times New Roman" w:hAnsi="Times New Roman" w:eastAsiaTheme="minorEastAsia"/>
          <w:b/>
          <w:bCs/>
          <w:color w:val="000000"/>
          <w:sz w:val="22"/>
          <w:szCs w:val="22"/>
        </w:rPr>
        <w:t>* Correspondence:</w:t>
      </w:r>
      <w:r>
        <w:rPr>
          <w:rFonts w:hint="eastAsia" w:ascii="Times New Roman" w:hAnsi="Times New Roman" w:eastAsiaTheme="minorEastAsia"/>
          <w:b/>
          <w:bCs/>
          <w:color w:val="000000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8"/>
          <w:szCs w:val="18"/>
          <w:lang w:val="en-US" w:eastAsia="zh-CN"/>
        </w:rPr>
        <w:t xml:space="preserve">Jiuchong Wang and </w:t>
      </w:r>
      <w:r>
        <w:rPr>
          <w:rFonts w:ascii="Times New Roman" w:hAnsi="Times New Roman" w:eastAsia="宋体"/>
          <w:sz w:val="18"/>
          <w:szCs w:val="18"/>
        </w:rPr>
        <w:t>Wenliang Lv</w:t>
      </w:r>
      <w:bookmarkStart w:id="0" w:name="_GoBack"/>
      <w:bookmarkEnd w:id="0"/>
    </w:p>
    <w:p>
      <w:pPr>
        <w:jc w:val="center"/>
        <w:rPr>
          <w:rFonts w:hint="eastAsia" w:ascii="Times New Roman" w:hAnsi="Times New Roman" w:eastAsiaTheme="minorEastAsia"/>
          <w:b/>
          <w:bCs/>
          <w:color w:val="000000"/>
          <w:sz w:val="24"/>
          <w:szCs w:val="24"/>
        </w:rPr>
      </w:pPr>
      <w:r>
        <w:rPr>
          <w:rFonts w:ascii="Times New Roman" w:hAnsi="Times New Roman" w:eastAsiaTheme="minorEastAsia"/>
          <w:b/>
          <w:bCs/>
          <w:color w:val="000000"/>
          <w:sz w:val="24"/>
          <w:szCs w:val="24"/>
        </w:rPr>
        <w:t>Contents</w:t>
      </w:r>
    </w:p>
    <w:p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/>
          <w:b/>
          <w:bCs/>
        </w:rPr>
        <w:t>1.</w:t>
      </w:r>
      <w:r>
        <w:rPr>
          <w:rFonts w:ascii="Times New Roman" w:hAnsi="Times New Roman"/>
        </w:rPr>
        <w:t xml:space="preserve"> Forest plots for the Mendelian randomization (MR) leave-one-out analysis (LOO) of the significant inverse variance weighted (IVW) estimates. Within each panel, the black points represent the causal estimate of the association between a specific metabolite and epilepsy after discarding each SNP in turn. Red points represent the pooled IVW estimates. Horizontal lines denote 95% confidence intervals(</w:t>
      </w:r>
      <w:r>
        <w:rPr>
          <w:rFonts w:ascii="Times New Roman" w:hAnsi="Times New Roman"/>
          <w:i/>
          <w:iCs/>
        </w:rPr>
        <w:t>CI</w:t>
      </w:r>
      <w:r>
        <w:rPr>
          <w:rFonts w:ascii="Times New Roman" w:hAnsi="Times New Roman"/>
        </w:rPr>
        <w:t xml:space="preserve">). </w:t>
      </w:r>
    </w:p>
    <w:p>
      <w:pPr>
        <w:spacing w:line="360" w:lineRule="auto"/>
        <w:jc w:val="center"/>
        <w:rPr>
          <w:rFonts w:hint="eastAsia" w:ascii="Times New Roman" w:hAnsi="Times New Roman" w:eastAsia="等线"/>
          <w:sz w:val="28"/>
          <w:szCs w:val="28"/>
          <w:lang w:eastAsia="zh-CN"/>
        </w:rPr>
      </w:pPr>
      <w:r>
        <w:rPr>
          <w:rFonts w:hint="eastAsia" w:ascii="Times New Roman" w:hAnsi="Times New Roman" w:eastAsia="等线"/>
          <w:sz w:val="28"/>
          <w:szCs w:val="28"/>
          <w:lang w:eastAsia="zh-CN"/>
        </w:rPr>
        <w:drawing>
          <wp:inline distT="0" distB="0" distL="114300" distR="114300">
            <wp:extent cx="5257165" cy="2266950"/>
            <wp:effectExtent l="0" t="0" r="635" b="6350"/>
            <wp:docPr id="1" name="图片 1" descr="留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留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xYTk5YTQ3YmQzYmQ0OGM1NDNmNmNkN2U4MGY1MDEifQ=="/>
  </w:docVars>
  <w:rsids>
    <w:rsidRoot w:val="00BA4B15"/>
    <w:rsid w:val="001957E9"/>
    <w:rsid w:val="001C7998"/>
    <w:rsid w:val="002104B5"/>
    <w:rsid w:val="00280AAF"/>
    <w:rsid w:val="003534AD"/>
    <w:rsid w:val="004438A8"/>
    <w:rsid w:val="004A6F4F"/>
    <w:rsid w:val="00680580"/>
    <w:rsid w:val="007E4693"/>
    <w:rsid w:val="007F5581"/>
    <w:rsid w:val="0083723A"/>
    <w:rsid w:val="00860DE4"/>
    <w:rsid w:val="008A034B"/>
    <w:rsid w:val="00A304D2"/>
    <w:rsid w:val="00A43DAE"/>
    <w:rsid w:val="00AB3F8B"/>
    <w:rsid w:val="00AF3BEE"/>
    <w:rsid w:val="00B4223F"/>
    <w:rsid w:val="00BA4B15"/>
    <w:rsid w:val="00FD08C7"/>
    <w:rsid w:val="26847AD3"/>
    <w:rsid w:val="29AB6313"/>
    <w:rsid w:val="33444BDA"/>
    <w:rsid w:val="37C64260"/>
    <w:rsid w:val="39EE6663"/>
    <w:rsid w:val="5C7C43C1"/>
    <w:rsid w:val="621F4391"/>
    <w:rsid w:val="6A577A5F"/>
    <w:rsid w:val="746B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table" w:customStyle="1" w:styleId="7">
    <w:name w:val="三线表"/>
    <w:basedOn w:val="4"/>
    <w:qFormat/>
    <w:uiPriority w:val="99"/>
    <w:rPr>
      <w:rFonts w:ascii="Times New Roman" w:hAnsi="Times New Roman" w:eastAsia="宋体" w:cs="Times New Roman"/>
    </w:rPr>
  </w:style>
  <w:style w:type="table" w:customStyle="1" w:styleId="8">
    <w:name w:val="样式2"/>
    <w:basedOn w:val="4"/>
    <w:qFormat/>
    <w:uiPriority w:val="99"/>
    <w:rPr>
      <w:rFonts w:ascii="Times New Roman" w:hAnsi="Times New Roman" w:eastAsia="宋体" w:cs="Times New Roman"/>
    </w:rPr>
    <w:tblPr>
      <w:tblBorders>
        <w:top w:val="single" w:color="auto" w:sz="8" w:space="0"/>
        <w:bottom w:val="single" w:color="auto" w:sz="8" w:space="0"/>
      </w:tblBorders>
    </w:tblPr>
    <w:tblStylePr w:type="firstRow"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9">
    <w:name w:val="样式3"/>
    <w:basedOn w:val="4"/>
    <w:qFormat/>
    <w:uiPriority w:val="99"/>
    <w:pPr>
      <w:jc w:val="both"/>
    </w:p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页眉 字符"/>
    <w:basedOn w:val="5"/>
    <w:link w:val="3"/>
    <w:uiPriority w:val="99"/>
    <w:rPr>
      <w:rFonts w:ascii="等线" w:hAnsi="等线" w:eastAsia="等线" w:cs="Times New Roman"/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rFonts w:ascii="等线" w:hAnsi="等线" w:eastAsia="等线" w:cs="Times New Roman"/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271</Words>
  <Characters>1549</Characters>
  <Lines>12</Lines>
  <Paragraphs>3</Paragraphs>
  <TotalTime>1</TotalTime>
  <ScaleCrop>false</ScaleCrop>
  <LinksUpToDate>false</LinksUpToDate>
  <CharactersWithSpaces>1817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2022-11-12T16:10:00Z</dcterms:created>
  <dc:creator>973841094@qq.com</dc:creator>
  <cp:lastModifiedBy>WPS_1476280915</cp:lastModifiedBy>
  <dcterms:modified xsi:type="dcterms:W3CDTF">2023-11-27T07:59:30Z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5df4891a52294ffeabfa9651a9c07d72ef3ac57c2bcfc2a5125362bdb5e75b66</vt:lpwstr>
  </property>
  <property fmtid="{D5CDD505-2E9C-101B-9397-08002B2CF9AE}" pid="3" name="KSOProductBuildVer">
    <vt:lpwstr>2052-12.1.0.15712</vt:lpwstr>
  </property>
  <property fmtid="{D5CDD505-2E9C-101B-9397-08002B2CF9AE}" pid="4" name="ICV">
    <vt:lpwstr>9E4F006E7A6E40D387EDCB7609F663E0</vt:lpwstr>
  </property>
</Properties>
</file>