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D065D" w14:textId="77777777" w:rsidR="00B04C24" w:rsidRDefault="00B04C24" w:rsidP="00B04C24">
      <w:pPr>
        <w:adjustRightInd w:val="0"/>
        <w:snapToGrid w:val="0"/>
        <w:spacing w:line="480" w:lineRule="auto"/>
        <w:jc w:val="center"/>
        <w:rPr>
          <w:rFonts w:ascii="Times New Roman" w:hAnsi="Times New Roman" w:cs="Times New Roman"/>
          <w:b/>
          <w:bCs/>
          <w:sz w:val="24"/>
          <w:szCs w:val="24"/>
        </w:rPr>
      </w:pPr>
      <w:bookmarkStart w:id="0" w:name="_Hlk97235219"/>
      <w:bookmarkStart w:id="1" w:name="OLE_LINK46"/>
      <w:bookmarkStart w:id="2" w:name="_Hlk52987440"/>
      <w:bookmarkStart w:id="3" w:name="_Hlk109152934"/>
      <w:bookmarkStart w:id="4" w:name="_Hlk114232034"/>
      <w:bookmarkStart w:id="5" w:name="_Hlk123161234"/>
      <w:r>
        <w:rPr>
          <w:rFonts w:ascii="Times New Roman" w:hAnsi="Times New Roman" w:cs="Times New Roman"/>
          <w:b/>
          <w:bCs/>
          <w:sz w:val="24"/>
          <w:szCs w:val="24"/>
        </w:rPr>
        <w:t>P</w:t>
      </w:r>
      <w:r w:rsidRPr="003508A9">
        <w:rPr>
          <w:rFonts w:ascii="Times New Roman" w:hAnsi="Times New Roman" w:cs="Times New Roman"/>
          <w:b/>
          <w:bCs/>
          <w:sz w:val="24"/>
          <w:szCs w:val="24"/>
        </w:rPr>
        <w:t xml:space="preserve">rotective effect of puerarin esters against </w:t>
      </w:r>
      <w:r w:rsidRPr="004173CF">
        <w:rPr>
          <w:rFonts w:ascii="Times New Roman" w:hAnsi="Times New Roman" w:cs="Times New Roman"/>
          <w:b/>
          <w:bCs/>
          <w:sz w:val="24"/>
          <w:szCs w:val="24"/>
        </w:rPr>
        <w:t>oxygen and glucose deprivation-reoxygenation</w:t>
      </w:r>
      <w:r w:rsidRPr="003508A9">
        <w:rPr>
          <w:rFonts w:ascii="Times New Roman" w:hAnsi="Times New Roman" w:cs="Times New Roman"/>
          <w:b/>
          <w:bCs/>
          <w:sz w:val="24"/>
          <w:szCs w:val="24"/>
        </w:rPr>
        <w:t xml:space="preserve">-induced microglial cells </w:t>
      </w:r>
      <w:r>
        <w:rPr>
          <w:rFonts w:ascii="Times New Roman" w:hAnsi="Times New Roman" w:cs="Times New Roman" w:hint="eastAsia"/>
          <w:b/>
          <w:bCs/>
          <w:sz w:val="24"/>
          <w:szCs w:val="24"/>
        </w:rPr>
        <w:t>d</w:t>
      </w:r>
      <w:r>
        <w:rPr>
          <w:rFonts w:ascii="Times New Roman" w:hAnsi="Times New Roman" w:cs="Times New Roman"/>
          <w:b/>
          <w:bCs/>
          <w:sz w:val="24"/>
          <w:szCs w:val="24"/>
        </w:rPr>
        <w:t>amage</w:t>
      </w:r>
    </w:p>
    <w:bookmarkEnd w:id="0"/>
    <w:bookmarkEnd w:id="1"/>
    <w:bookmarkEnd w:id="2"/>
    <w:bookmarkEnd w:id="3"/>
    <w:bookmarkEnd w:id="4"/>
    <w:p w14:paraId="6FAA0509" w14:textId="77777777" w:rsidR="00B04C24" w:rsidRPr="008662B0" w:rsidRDefault="00B04C24" w:rsidP="00B04C24">
      <w:pPr>
        <w:adjustRightInd w:val="0"/>
        <w:snapToGrid w:val="0"/>
        <w:spacing w:line="480" w:lineRule="auto"/>
        <w:jc w:val="center"/>
        <w:rPr>
          <w:rFonts w:ascii="Times New Roman" w:eastAsia="宋体" w:hAnsi="Times New Roman" w:cs="Times New Roman"/>
          <w:b/>
          <w:bCs/>
          <w:sz w:val="24"/>
          <w:szCs w:val="24"/>
        </w:rPr>
      </w:pPr>
      <w:r w:rsidRPr="008662B0">
        <w:rPr>
          <w:rFonts w:ascii="Times New Roman" w:eastAsia="宋体" w:hAnsi="Times New Roman" w:cs="Times New Roman"/>
          <w:b/>
          <w:bCs/>
          <w:sz w:val="24"/>
          <w:szCs w:val="24"/>
        </w:rPr>
        <w:t xml:space="preserve">Lan Mo </w:t>
      </w:r>
      <w:r>
        <w:rPr>
          <w:rFonts w:ascii="Times New Roman" w:eastAsia="宋体" w:hAnsi="Times New Roman" w:cs="Times New Roman"/>
          <w:b/>
          <w:bCs/>
          <w:sz w:val="24"/>
          <w:szCs w:val="24"/>
          <w:vertAlign w:val="superscript"/>
        </w:rPr>
        <w:t>1,2</w:t>
      </w:r>
      <w:r w:rsidRPr="008662B0">
        <w:rPr>
          <w:rFonts w:ascii="Times New Roman" w:eastAsia="宋体" w:hAnsi="Times New Roman" w:cs="Times New Roman"/>
          <w:b/>
          <w:bCs/>
          <w:sz w:val="24"/>
          <w:szCs w:val="24"/>
        </w:rPr>
        <w:t xml:space="preserve">, </w:t>
      </w:r>
      <w:bookmarkStart w:id="6" w:name="_Hlk101648233"/>
      <w:r w:rsidRPr="008662B0">
        <w:rPr>
          <w:rFonts w:ascii="Times New Roman" w:eastAsia="宋体" w:hAnsi="Times New Roman" w:cs="Times New Roman"/>
          <w:b/>
          <w:bCs/>
          <w:sz w:val="24"/>
          <w:szCs w:val="24"/>
        </w:rPr>
        <w:t>Guang-lei Zhao</w:t>
      </w:r>
      <w:bookmarkEnd w:id="6"/>
      <w:r w:rsidRPr="008662B0">
        <w:rPr>
          <w:rFonts w:ascii="Times New Roman" w:eastAsia="宋体" w:hAnsi="Times New Roman" w:cs="Times New Roman"/>
          <w:b/>
          <w:bCs/>
          <w:sz w:val="24"/>
          <w:szCs w:val="24"/>
        </w:rPr>
        <w:t xml:space="preserve"> </w:t>
      </w:r>
      <w:r>
        <w:rPr>
          <w:rFonts w:ascii="Times New Roman" w:eastAsia="宋体" w:hAnsi="Times New Roman" w:cs="Times New Roman"/>
          <w:b/>
          <w:bCs/>
          <w:sz w:val="24"/>
          <w:szCs w:val="24"/>
          <w:vertAlign w:val="superscript"/>
        </w:rPr>
        <w:t>3</w:t>
      </w:r>
      <w:r w:rsidRPr="008662B0">
        <w:rPr>
          <w:rFonts w:ascii="Times New Roman" w:eastAsia="宋体" w:hAnsi="Times New Roman" w:cs="Times New Roman"/>
          <w:b/>
          <w:bCs/>
          <w:sz w:val="24"/>
          <w:szCs w:val="24"/>
        </w:rPr>
        <w:t xml:space="preserve">, </w:t>
      </w:r>
      <w:bookmarkStart w:id="7" w:name="OLE_LINK41"/>
      <w:bookmarkStart w:id="8" w:name="OLE_LINK42"/>
      <w:bookmarkStart w:id="9" w:name="_Hlk101648373"/>
      <w:r w:rsidRPr="008662B0">
        <w:rPr>
          <w:rFonts w:ascii="Times New Roman" w:eastAsia="宋体" w:hAnsi="Times New Roman" w:cs="Times New Roman"/>
          <w:b/>
          <w:bCs/>
          <w:sz w:val="24"/>
          <w:szCs w:val="24"/>
        </w:rPr>
        <w:t>Xiao-feng Li</w:t>
      </w:r>
      <w:bookmarkEnd w:id="7"/>
      <w:bookmarkEnd w:id="8"/>
      <w:r w:rsidRPr="008662B0">
        <w:rPr>
          <w:rFonts w:ascii="Times New Roman" w:eastAsia="宋体" w:hAnsi="Times New Roman" w:cs="Times New Roman"/>
          <w:b/>
          <w:bCs/>
          <w:sz w:val="24"/>
          <w:szCs w:val="24"/>
        </w:rPr>
        <w:t xml:space="preserve"> </w:t>
      </w:r>
      <w:r>
        <w:rPr>
          <w:rFonts w:ascii="Times New Roman" w:eastAsia="宋体" w:hAnsi="Times New Roman" w:cs="Times New Roman"/>
          <w:b/>
          <w:bCs/>
          <w:sz w:val="24"/>
          <w:szCs w:val="24"/>
          <w:vertAlign w:val="superscript"/>
        </w:rPr>
        <w:t>1</w:t>
      </w:r>
      <w:r w:rsidRPr="008662B0">
        <w:rPr>
          <w:rFonts w:ascii="Times New Roman" w:eastAsia="宋体" w:hAnsi="Times New Roman" w:cs="Times New Roman"/>
          <w:b/>
          <w:bCs/>
          <w:sz w:val="24"/>
          <w:szCs w:val="24"/>
          <w:vertAlign w:val="superscript"/>
        </w:rPr>
        <w:t>,</w:t>
      </w:r>
      <w:r w:rsidRPr="008662B0">
        <w:rPr>
          <w:rFonts w:ascii="Times New Roman" w:eastAsia="宋体" w:hAnsi="Times New Roman" w:cs="Times New Roman"/>
          <w:b/>
          <w:bCs/>
          <w:sz w:val="24"/>
          <w:szCs w:val="24"/>
        </w:rPr>
        <w:t xml:space="preserve">* , Ning He </w:t>
      </w:r>
      <w:r>
        <w:rPr>
          <w:rFonts w:ascii="Times New Roman" w:eastAsia="宋体" w:hAnsi="Times New Roman" w:cs="Times New Roman"/>
          <w:b/>
          <w:bCs/>
          <w:sz w:val="24"/>
          <w:szCs w:val="24"/>
          <w:vertAlign w:val="superscript"/>
        </w:rPr>
        <w:t>4</w:t>
      </w:r>
      <w:r w:rsidRPr="008662B0">
        <w:rPr>
          <w:rFonts w:ascii="Times New Roman" w:eastAsia="宋体" w:hAnsi="Times New Roman" w:cs="Times New Roman"/>
          <w:b/>
          <w:bCs/>
          <w:sz w:val="24"/>
          <w:szCs w:val="24"/>
        </w:rPr>
        <w:t xml:space="preserve">, </w:t>
      </w:r>
      <w:bookmarkStart w:id="10" w:name="OLE_LINK39"/>
      <w:bookmarkStart w:id="11" w:name="OLE_LINK40"/>
      <w:r w:rsidRPr="008662B0">
        <w:rPr>
          <w:rFonts w:ascii="Times New Roman" w:eastAsia="宋体" w:hAnsi="Times New Roman" w:cs="Times New Roman"/>
          <w:b/>
          <w:bCs/>
          <w:sz w:val="24"/>
          <w:szCs w:val="24"/>
        </w:rPr>
        <w:t xml:space="preserve">Xing-long Xiao </w:t>
      </w:r>
      <w:r>
        <w:rPr>
          <w:rFonts w:ascii="Times New Roman" w:eastAsia="宋体" w:hAnsi="Times New Roman" w:cs="Times New Roman"/>
          <w:b/>
          <w:bCs/>
          <w:sz w:val="24"/>
          <w:szCs w:val="24"/>
          <w:vertAlign w:val="superscript"/>
        </w:rPr>
        <w:t>1</w:t>
      </w:r>
      <w:r w:rsidRPr="008662B0">
        <w:rPr>
          <w:rFonts w:ascii="Times New Roman" w:eastAsia="宋体" w:hAnsi="Times New Roman" w:cs="Times New Roman"/>
          <w:b/>
          <w:bCs/>
          <w:sz w:val="24"/>
          <w:szCs w:val="24"/>
        </w:rPr>
        <w:t xml:space="preserve">, Hai-xia Xu </w:t>
      </w:r>
      <w:r>
        <w:rPr>
          <w:rFonts w:ascii="Times New Roman" w:eastAsia="宋体" w:hAnsi="Times New Roman" w:cs="Times New Roman"/>
          <w:b/>
          <w:bCs/>
          <w:sz w:val="24"/>
          <w:szCs w:val="24"/>
          <w:vertAlign w:val="superscript"/>
        </w:rPr>
        <w:t>1</w:t>
      </w:r>
      <w:r w:rsidRPr="008662B0">
        <w:rPr>
          <w:rFonts w:ascii="Times New Roman" w:eastAsia="宋体" w:hAnsi="Times New Roman" w:cs="Times New Roman"/>
          <w:b/>
          <w:bCs/>
          <w:sz w:val="24"/>
          <w:szCs w:val="24"/>
        </w:rPr>
        <w:t>,</w:t>
      </w:r>
      <w:r>
        <w:rPr>
          <w:rFonts w:ascii="Times New Roman" w:eastAsia="宋体" w:hAnsi="Times New Roman" w:cs="Times New Roman"/>
          <w:b/>
          <w:bCs/>
          <w:sz w:val="24"/>
          <w:szCs w:val="24"/>
        </w:rPr>
        <w:t xml:space="preserve"> </w:t>
      </w:r>
      <w:r w:rsidRPr="008662B0">
        <w:rPr>
          <w:rFonts w:ascii="Times New Roman" w:eastAsia="宋体" w:hAnsi="Times New Roman" w:cs="Times New Roman"/>
          <w:b/>
          <w:bCs/>
          <w:sz w:val="24"/>
          <w:szCs w:val="24"/>
        </w:rPr>
        <w:t>Yi-gang Yu</w:t>
      </w:r>
      <w:bookmarkStart w:id="12" w:name="_Hlk52917341"/>
      <w:bookmarkEnd w:id="9"/>
      <w:bookmarkEnd w:id="10"/>
      <w:bookmarkEnd w:id="11"/>
      <w:r w:rsidRPr="008662B0">
        <w:rPr>
          <w:rFonts w:ascii="Times New Roman" w:eastAsia="宋体" w:hAnsi="Times New Roman" w:cs="Times New Roman"/>
          <w:b/>
          <w:bCs/>
          <w:sz w:val="24"/>
          <w:szCs w:val="24"/>
        </w:rPr>
        <w:t xml:space="preserve"> </w:t>
      </w:r>
      <w:bookmarkEnd w:id="12"/>
      <w:r>
        <w:rPr>
          <w:rFonts w:ascii="Times New Roman" w:eastAsia="宋体" w:hAnsi="Times New Roman" w:cs="Times New Roman"/>
          <w:b/>
          <w:bCs/>
          <w:sz w:val="24"/>
          <w:szCs w:val="24"/>
          <w:vertAlign w:val="superscript"/>
        </w:rPr>
        <w:t>1</w:t>
      </w:r>
      <w:r w:rsidRPr="008662B0">
        <w:rPr>
          <w:rFonts w:ascii="Times New Roman" w:eastAsia="宋体" w:hAnsi="Times New Roman" w:cs="Times New Roman"/>
          <w:b/>
          <w:bCs/>
          <w:sz w:val="24"/>
          <w:szCs w:val="24"/>
          <w:vertAlign w:val="superscript"/>
        </w:rPr>
        <w:t>,</w:t>
      </w:r>
      <w:r w:rsidRPr="008662B0">
        <w:rPr>
          <w:rFonts w:ascii="Times New Roman" w:eastAsia="宋体" w:hAnsi="Times New Roman" w:cs="Times New Roman"/>
          <w:b/>
          <w:bCs/>
          <w:sz w:val="24"/>
          <w:szCs w:val="24"/>
        </w:rPr>
        <w:t xml:space="preserve"> *</w:t>
      </w:r>
    </w:p>
    <w:bookmarkEnd w:id="5"/>
    <w:p w14:paraId="68900FCC" w14:textId="77777777" w:rsidR="00B04C24" w:rsidRDefault="00B04C24" w:rsidP="00B04C24">
      <w:pPr>
        <w:adjustRightInd w:val="0"/>
        <w:snapToGrid w:val="0"/>
        <w:spacing w:line="480" w:lineRule="auto"/>
        <w:rPr>
          <w:rFonts w:ascii="Times New Roman" w:eastAsia="宋体" w:hAnsi="Times New Roman" w:cs="Times New Roman"/>
          <w:sz w:val="24"/>
          <w:szCs w:val="24"/>
        </w:rPr>
      </w:pPr>
      <w:r>
        <w:rPr>
          <w:rFonts w:ascii="Times New Roman" w:eastAsia="宋体" w:hAnsi="Times New Roman" w:cs="Times New Roman"/>
          <w:sz w:val="24"/>
          <w:szCs w:val="24"/>
          <w:vertAlign w:val="superscript"/>
        </w:rPr>
        <w:t>1</w:t>
      </w:r>
      <w:r w:rsidRPr="008662B0">
        <w:rPr>
          <w:rFonts w:ascii="Times New Roman" w:eastAsia="宋体" w:hAnsi="Times New Roman" w:cs="Times New Roman"/>
          <w:sz w:val="24"/>
          <w:szCs w:val="24"/>
        </w:rPr>
        <w:t xml:space="preserve"> </w:t>
      </w:r>
      <w:bookmarkStart w:id="13" w:name="OLE_LINK30"/>
      <w:bookmarkStart w:id="14" w:name="_Hlk101648120"/>
      <w:r w:rsidRPr="008662B0">
        <w:rPr>
          <w:rFonts w:ascii="Times New Roman" w:eastAsia="宋体" w:hAnsi="Times New Roman" w:cs="Times New Roman"/>
          <w:sz w:val="24"/>
          <w:szCs w:val="24"/>
        </w:rPr>
        <w:t>School of Food Sciences and Engineering</w:t>
      </w:r>
      <w:bookmarkEnd w:id="13"/>
      <w:r w:rsidRPr="008662B0">
        <w:rPr>
          <w:rFonts w:ascii="Times New Roman" w:eastAsia="宋体" w:hAnsi="Times New Roman" w:cs="Times New Roman"/>
          <w:sz w:val="24"/>
          <w:szCs w:val="24"/>
        </w:rPr>
        <w:t>, Guangdong Province Key Laboratory for Green Processing of Natural Products and Product Safety, South China University of Technology, Guangzhou 510641, China</w:t>
      </w:r>
    </w:p>
    <w:p w14:paraId="79BAE3BE" w14:textId="77777777" w:rsidR="00B04C24" w:rsidRDefault="00B04C24" w:rsidP="00B04C24">
      <w:pPr>
        <w:adjustRightInd w:val="0"/>
        <w:snapToGrid w:val="0"/>
        <w:spacing w:line="480" w:lineRule="auto"/>
        <w:rPr>
          <w:rFonts w:ascii="Times New Roman" w:eastAsia="宋体" w:hAnsi="Times New Roman" w:cs="Times New Roman"/>
          <w:sz w:val="24"/>
          <w:szCs w:val="24"/>
        </w:rPr>
      </w:pPr>
      <w:r>
        <w:rPr>
          <w:rFonts w:ascii="Times New Roman" w:eastAsia="宋体" w:hAnsi="Times New Roman" w:cs="Times New Roman"/>
          <w:sz w:val="24"/>
          <w:szCs w:val="24"/>
          <w:vertAlign w:val="superscript"/>
        </w:rPr>
        <w:t>2</w:t>
      </w:r>
      <w:r w:rsidRPr="008662B0">
        <w:rPr>
          <w:rFonts w:ascii="Times New Roman" w:eastAsia="宋体" w:hAnsi="Times New Roman" w:cs="Times New Roman"/>
          <w:sz w:val="24"/>
          <w:szCs w:val="24"/>
        </w:rPr>
        <w:t xml:space="preserve"> </w:t>
      </w:r>
      <w:r w:rsidRPr="003030DE">
        <w:rPr>
          <w:rFonts w:ascii="Times New Roman" w:eastAsia="宋体" w:hAnsi="Times New Roman" w:cs="Times New Roman"/>
          <w:sz w:val="24"/>
          <w:szCs w:val="24"/>
        </w:rPr>
        <w:t>College of Food Science and Technology, Hunan Agricultural University, Changsha, Hunan 410128, China</w:t>
      </w:r>
    </w:p>
    <w:bookmarkEnd w:id="14"/>
    <w:p w14:paraId="11BFD9AD" w14:textId="77777777" w:rsidR="00B04C24" w:rsidRPr="008662B0" w:rsidRDefault="00B04C24" w:rsidP="00B04C24">
      <w:pPr>
        <w:adjustRightInd w:val="0"/>
        <w:snapToGrid w:val="0"/>
        <w:spacing w:line="480" w:lineRule="auto"/>
        <w:rPr>
          <w:rFonts w:ascii="Times New Roman" w:eastAsia="宋体" w:hAnsi="Times New Roman" w:cs="Times New Roman"/>
          <w:sz w:val="24"/>
          <w:szCs w:val="24"/>
        </w:rPr>
      </w:pPr>
      <w:r>
        <w:rPr>
          <w:rFonts w:ascii="Times New Roman" w:eastAsia="宋体" w:hAnsi="Times New Roman" w:cs="Times New Roman"/>
          <w:sz w:val="24"/>
          <w:szCs w:val="24"/>
          <w:vertAlign w:val="superscript"/>
        </w:rPr>
        <w:t>3</w:t>
      </w:r>
      <w:r w:rsidRPr="008662B0">
        <w:rPr>
          <w:rFonts w:ascii="Times New Roman" w:eastAsia="宋体" w:hAnsi="Times New Roman" w:cs="Times New Roman"/>
          <w:sz w:val="24"/>
          <w:szCs w:val="24"/>
        </w:rPr>
        <w:t xml:space="preserve"> </w:t>
      </w:r>
      <w:bookmarkStart w:id="15" w:name="_Hlk101648255"/>
      <w:r w:rsidRPr="008662B0">
        <w:rPr>
          <w:rFonts w:ascii="Times New Roman" w:eastAsia="宋体" w:hAnsi="Times New Roman" w:cs="Times New Roman"/>
          <w:sz w:val="24"/>
          <w:szCs w:val="24"/>
        </w:rPr>
        <w:t>State Key Laboratory of Pulp and Paper Engineering, South China University of Technology, Guangzhou 510641, China</w:t>
      </w:r>
    </w:p>
    <w:bookmarkEnd w:id="15"/>
    <w:p w14:paraId="080E79D3" w14:textId="77777777" w:rsidR="00B04C24" w:rsidRDefault="00B04C24" w:rsidP="00B04C24">
      <w:pPr>
        <w:adjustRightInd w:val="0"/>
        <w:snapToGrid w:val="0"/>
        <w:spacing w:line="480" w:lineRule="auto"/>
        <w:rPr>
          <w:rFonts w:ascii="Times New Roman" w:eastAsia="宋体" w:hAnsi="Times New Roman" w:cs="Times New Roman"/>
          <w:sz w:val="24"/>
          <w:szCs w:val="24"/>
        </w:rPr>
      </w:pPr>
      <w:r>
        <w:rPr>
          <w:rFonts w:ascii="Times New Roman" w:eastAsia="宋体" w:hAnsi="Times New Roman" w:cs="Times New Roman"/>
          <w:sz w:val="24"/>
          <w:szCs w:val="24"/>
          <w:vertAlign w:val="superscript"/>
        </w:rPr>
        <w:t>4</w:t>
      </w:r>
      <w:r w:rsidRPr="008662B0">
        <w:rPr>
          <w:rFonts w:ascii="Times New Roman" w:eastAsia="宋体" w:hAnsi="Times New Roman" w:cs="Times New Roman"/>
          <w:sz w:val="24"/>
          <w:szCs w:val="24"/>
        </w:rPr>
        <w:t xml:space="preserve"> </w:t>
      </w:r>
      <w:bookmarkStart w:id="16" w:name="_Hlk101648455"/>
      <w:r w:rsidRPr="008662B0">
        <w:rPr>
          <w:rFonts w:ascii="Times New Roman" w:eastAsia="宋体" w:hAnsi="Times New Roman" w:cs="Times New Roman"/>
          <w:sz w:val="24"/>
          <w:szCs w:val="24"/>
        </w:rPr>
        <w:t>The Laboratory of Advanced Design and Manufacturing for Precision Biomedical Devices, College of Mechanical and Vehicle Engineering, Hunan University, Changsha, 410082, China</w:t>
      </w:r>
      <w:bookmarkEnd w:id="16"/>
    </w:p>
    <w:p w14:paraId="73ECE78F" w14:textId="77777777" w:rsidR="00CB13ED" w:rsidRDefault="00CB13ED" w:rsidP="00B04C24">
      <w:pPr>
        <w:adjustRightInd w:val="0"/>
        <w:snapToGrid w:val="0"/>
        <w:spacing w:line="480" w:lineRule="auto"/>
        <w:rPr>
          <w:rFonts w:ascii="Times New Roman" w:eastAsia="宋体" w:hAnsi="Times New Roman" w:cs="Times New Roman"/>
          <w:sz w:val="24"/>
          <w:szCs w:val="24"/>
        </w:rPr>
      </w:pPr>
    </w:p>
    <w:p w14:paraId="2E643B11" w14:textId="77777777" w:rsidR="00B04C24" w:rsidRPr="008662B0" w:rsidRDefault="00B04C24" w:rsidP="00B04C24">
      <w:pPr>
        <w:adjustRightInd w:val="0"/>
        <w:snapToGrid w:val="0"/>
        <w:spacing w:line="480" w:lineRule="auto"/>
        <w:rPr>
          <w:rFonts w:ascii="Times New Roman" w:eastAsia="宋体" w:hAnsi="Times New Roman" w:cs="Times New Roman"/>
          <w:b/>
          <w:bCs/>
          <w:sz w:val="24"/>
          <w:szCs w:val="24"/>
        </w:rPr>
      </w:pPr>
      <w:r w:rsidRPr="008662B0">
        <w:rPr>
          <w:rFonts w:ascii="Times New Roman" w:eastAsia="宋体" w:hAnsi="Times New Roman" w:cs="Times New Roman"/>
          <w:b/>
          <w:bCs/>
          <w:sz w:val="24"/>
          <w:szCs w:val="24"/>
        </w:rPr>
        <w:t>*</w:t>
      </w:r>
      <w:bookmarkStart w:id="17" w:name="_Hlk101648395"/>
      <w:bookmarkStart w:id="18" w:name="_Hlk99462358"/>
      <w:r w:rsidRPr="008662B0">
        <w:rPr>
          <w:rFonts w:ascii="Times New Roman" w:eastAsia="宋体" w:hAnsi="Times New Roman" w:cs="Times New Roman"/>
          <w:b/>
          <w:bCs/>
          <w:sz w:val="24"/>
          <w:szCs w:val="24"/>
        </w:rPr>
        <w:t>Corresponding author</w:t>
      </w:r>
      <w:bookmarkEnd w:id="17"/>
      <w:r w:rsidRPr="008662B0">
        <w:rPr>
          <w:rFonts w:ascii="Times New Roman" w:eastAsia="宋体" w:hAnsi="Times New Roman" w:cs="Times New Roman"/>
          <w:b/>
          <w:bCs/>
          <w:sz w:val="24"/>
          <w:szCs w:val="24"/>
        </w:rPr>
        <w:t xml:space="preserve">: </w:t>
      </w:r>
      <w:bookmarkStart w:id="19" w:name="OLE_LINK43"/>
      <w:r w:rsidRPr="008662B0">
        <w:rPr>
          <w:rFonts w:ascii="Times New Roman" w:eastAsia="宋体" w:hAnsi="Times New Roman" w:cs="Times New Roman"/>
          <w:b/>
          <w:bCs/>
          <w:sz w:val="24"/>
          <w:szCs w:val="24"/>
        </w:rPr>
        <w:t>Xiao-feng Li*, Yi-gang Yu*</w:t>
      </w:r>
      <w:bookmarkEnd w:id="18"/>
    </w:p>
    <w:bookmarkEnd w:id="19"/>
    <w:p w14:paraId="563AC37B" w14:textId="77777777" w:rsidR="00B04C24" w:rsidRPr="008662B0" w:rsidRDefault="00B04C24" w:rsidP="00B04C24">
      <w:pPr>
        <w:adjustRightInd w:val="0"/>
        <w:snapToGrid w:val="0"/>
        <w:spacing w:line="480" w:lineRule="auto"/>
        <w:rPr>
          <w:rFonts w:ascii="Times New Roman" w:eastAsia="宋体" w:hAnsi="Times New Roman" w:cs="Times New Roman"/>
          <w:sz w:val="24"/>
          <w:szCs w:val="24"/>
        </w:rPr>
      </w:pPr>
      <w:r w:rsidRPr="008662B0">
        <w:rPr>
          <w:rFonts w:ascii="Times New Roman" w:eastAsia="宋体" w:hAnsi="Times New Roman" w:cs="Times New Roman"/>
          <w:sz w:val="24"/>
          <w:szCs w:val="24"/>
        </w:rPr>
        <w:t>Mailing address: South China University of Technology, Wushan Road 381, Guangzhou 510641, China</w:t>
      </w:r>
    </w:p>
    <w:p w14:paraId="276A2A64" w14:textId="77777777" w:rsidR="00B04C24" w:rsidRPr="008662B0" w:rsidRDefault="00B04C24" w:rsidP="00B04C24">
      <w:pPr>
        <w:adjustRightInd w:val="0"/>
        <w:snapToGrid w:val="0"/>
        <w:spacing w:line="480" w:lineRule="auto"/>
        <w:rPr>
          <w:rFonts w:ascii="Times New Roman" w:eastAsia="宋体" w:hAnsi="Times New Roman" w:cs="Times New Roman"/>
          <w:sz w:val="24"/>
          <w:szCs w:val="24"/>
        </w:rPr>
      </w:pPr>
      <w:bookmarkStart w:id="20" w:name="_Hlk101648154"/>
      <w:r w:rsidRPr="008662B0">
        <w:rPr>
          <w:rFonts w:ascii="Times New Roman" w:eastAsia="宋体" w:hAnsi="Times New Roman" w:cs="Times New Roman"/>
          <w:sz w:val="24"/>
          <w:szCs w:val="24"/>
        </w:rPr>
        <w:t>Tel: +86-20-22236819; FAX: +86-20-87112853</w:t>
      </w:r>
    </w:p>
    <w:bookmarkEnd w:id="20"/>
    <w:p w14:paraId="2EE8F69A" w14:textId="77777777" w:rsidR="00B04C24" w:rsidRPr="008662B0" w:rsidRDefault="00B04C24" w:rsidP="00B04C24">
      <w:pPr>
        <w:adjustRightInd w:val="0"/>
        <w:snapToGrid w:val="0"/>
        <w:spacing w:line="480" w:lineRule="auto"/>
        <w:rPr>
          <w:rFonts w:ascii="Times New Roman" w:eastAsia="宋体" w:hAnsi="Times New Roman" w:cs="Times New Roman"/>
          <w:sz w:val="24"/>
          <w:szCs w:val="24"/>
        </w:rPr>
      </w:pPr>
      <w:r w:rsidRPr="008662B0">
        <w:rPr>
          <w:rFonts w:ascii="Times New Roman" w:eastAsia="宋体" w:hAnsi="Times New Roman" w:cs="Times New Roman"/>
          <w:sz w:val="24"/>
          <w:szCs w:val="24"/>
        </w:rPr>
        <w:t>Mobile phone: 13660376201</w:t>
      </w:r>
    </w:p>
    <w:p w14:paraId="3A49353B" w14:textId="77777777" w:rsidR="00B04C24" w:rsidRDefault="00B04C24" w:rsidP="00B04C24">
      <w:pPr>
        <w:adjustRightInd w:val="0"/>
        <w:snapToGrid w:val="0"/>
        <w:spacing w:line="480" w:lineRule="auto"/>
        <w:rPr>
          <w:rFonts w:ascii="Times New Roman" w:eastAsia="宋体" w:hAnsi="Times New Roman" w:cs="Times New Roman"/>
          <w:sz w:val="24"/>
          <w:szCs w:val="24"/>
        </w:rPr>
      </w:pPr>
      <w:r w:rsidRPr="008662B0">
        <w:rPr>
          <w:rFonts w:ascii="Times New Roman" w:eastAsia="宋体" w:hAnsi="Times New Roman" w:cs="Times New Roman"/>
          <w:sz w:val="24"/>
          <w:szCs w:val="24"/>
        </w:rPr>
        <w:t>E-mail: xflibio@scut.edu.cn (Xiao-feng Li); yuyigang@scut.edu.cn. (Yi-gang Yu)</w:t>
      </w:r>
    </w:p>
    <w:p w14:paraId="1AC6284C" w14:textId="3EF23F13" w:rsidR="00283B09" w:rsidRDefault="00283B09" w:rsidP="00441944">
      <w:pPr>
        <w:spacing w:line="360" w:lineRule="auto"/>
        <w:ind w:firstLineChars="200" w:firstLine="482"/>
        <w:jc w:val="center"/>
        <w:rPr>
          <w:rFonts w:ascii="Times New Roman" w:eastAsia="宋体" w:hAnsi="Times New Roman" w:cs="Times New Roman"/>
          <w:b/>
          <w:bCs/>
          <w:sz w:val="24"/>
          <w:szCs w:val="28"/>
        </w:rPr>
      </w:pPr>
    </w:p>
    <w:p w14:paraId="28A3015F" w14:textId="77777777" w:rsidR="00CB13ED" w:rsidRDefault="00CB13ED" w:rsidP="00441944">
      <w:pPr>
        <w:spacing w:line="360" w:lineRule="auto"/>
        <w:ind w:firstLineChars="200" w:firstLine="482"/>
        <w:jc w:val="center"/>
        <w:rPr>
          <w:rFonts w:ascii="Times New Roman" w:eastAsia="宋体" w:hAnsi="Times New Roman" w:cs="Times New Roman"/>
          <w:b/>
          <w:bCs/>
          <w:sz w:val="24"/>
          <w:szCs w:val="28"/>
        </w:rPr>
      </w:pPr>
    </w:p>
    <w:p w14:paraId="728D3350" w14:textId="77777777" w:rsidR="00CB13ED" w:rsidRDefault="00CB13ED" w:rsidP="00441944">
      <w:pPr>
        <w:spacing w:line="360" w:lineRule="auto"/>
        <w:ind w:firstLineChars="200" w:firstLine="482"/>
        <w:jc w:val="center"/>
        <w:rPr>
          <w:rFonts w:ascii="Times New Roman" w:eastAsia="宋体" w:hAnsi="Times New Roman" w:cs="Times New Roman"/>
          <w:b/>
          <w:bCs/>
          <w:sz w:val="24"/>
          <w:szCs w:val="28"/>
        </w:rPr>
      </w:pPr>
    </w:p>
    <w:p w14:paraId="05D68276" w14:textId="77777777" w:rsidR="00CB13ED" w:rsidRDefault="00CB13ED" w:rsidP="00441944">
      <w:pPr>
        <w:spacing w:line="360" w:lineRule="auto"/>
        <w:ind w:firstLineChars="200" w:firstLine="482"/>
        <w:jc w:val="center"/>
        <w:rPr>
          <w:rFonts w:ascii="Times New Roman" w:eastAsia="宋体" w:hAnsi="Times New Roman" w:cs="Times New Roman"/>
          <w:b/>
          <w:bCs/>
          <w:sz w:val="24"/>
          <w:szCs w:val="28"/>
        </w:rPr>
      </w:pPr>
    </w:p>
    <w:p w14:paraId="48F871FB" w14:textId="77777777" w:rsidR="00CB13ED" w:rsidRPr="00B04C24" w:rsidRDefault="00CB13ED" w:rsidP="00441944">
      <w:pPr>
        <w:spacing w:line="360" w:lineRule="auto"/>
        <w:ind w:firstLineChars="200" w:firstLine="482"/>
        <w:jc w:val="center"/>
        <w:rPr>
          <w:rFonts w:ascii="Times New Roman" w:eastAsia="宋体" w:hAnsi="Times New Roman" w:cs="Times New Roman" w:hint="eastAsia"/>
          <w:b/>
          <w:bCs/>
          <w:sz w:val="24"/>
          <w:szCs w:val="28"/>
        </w:rPr>
      </w:pPr>
    </w:p>
    <w:p w14:paraId="515C266E" w14:textId="25D54A1C" w:rsidR="005E585D" w:rsidRPr="00F926DD" w:rsidRDefault="005E585D" w:rsidP="005E585D">
      <w:pPr>
        <w:adjustRightInd w:val="0"/>
        <w:snapToGrid w:val="0"/>
        <w:spacing w:line="480" w:lineRule="auto"/>
        <w:rPr>
          <w:rFonts w:ascii="Times New Roman" w:hAnsi="Times New Roman" w:cs="Times New Roman"/>
          <w:b/>
          <w:bCs/>
          <w:sz w:val="24"/>
          <w:szCs w:val="24"/>
        </w:rPr>
      </w:pPr>
      <w:bookmarkStart w:id="21" w:name="_Hlk152578697"/>
      <w:r w:rsidRPr="00F926DD">
        <w:rPr>
          <w:rFonts w:ascii="Times New Roman" w:hAnsi="Times New Roman" w:cs="Times New Roman"/>
          <w:b/>
          <w:bCs/>
          <w:sz w:val="24"/>
          <w:szCs w:val="24"/>
        </w:rPr>
        <w:lastRenderedPageBreak/>
        <w:t>Materials and methods</w:t>
      </w:r>
    </w:p>
    <w:bookmarkEnd w:id="21"/>
    <w:p w14:paraId="573B181C" w14:textId="10D80E14" w:rsidR="005E585D" w:rsidRPr="00CB13ED" w:rsidRDefault="005E585D" w:rsidP="005E585D">
      <w:pPr>
        <w:spacing w:line="480" w:lineRule="auto"/>
        <w:rPr>
          <w:rFonts w:ascii="Times New Roman" w:eastAsia="宋体" w:hAnsi="Times New Roman" w:cs="Times New Roman"/>
          <w:b/>
          <w:bCs/>
          <w:sz w:val="24"/>
          <w:szCs w:val="24"/>
        </w:rPr>
      </w:pPr>
      <w:r w:rsidRPr="00CB13ED">
        <w:rPr>
          <w:rFonts w:ascii="Times New Roman" w:eastAsia="宋体" w:hAnsi="Times New Roman" w:cs="Times New Roman"/>
          <w:b/>
          <w:bCs/>
          <w:sz w:val="24"/>
          <w:szCs w:val="24"/>
        </w:rPr>
        <w:t>Materials</w:t>
      </w:r>
    </w:p>
    <w:p w14:paraId="1118D553" w14:textId="77777777" w:rsidR="005E585D" w:rsidRPr="008662B0" w:rsidRDefault="005E585D" w:rsidP="005E585D">
      <w:pPr>
        <w:adjustRightInd w:val="0"/>
        <w:snapToGrid w:val="0"/>
        <w:spacing w:line="480" w:lineRule="auto"/>
        <w:ind w:firstLineChars="200" w:firstLine="480"/>
        <w:rPr>
          <w:rFonts w:ascii="Times New Roman" w:eastAsia="宋体" w:hAnsi="Times New Roman" w:cs="Times New Roman"/>
          <w:sz w:val="24"/>
          <w:szCs w:val="24"/>
        </w:rPr>
      </w:pPr>
      <w:r w:rsidRPr="008662B0">
        <w:rPr>
          <w:rFonts w:ascii="Times New Roman" w:eastAsia="宋体" w:hAnsi="Times New Roman" w:cs="Times New Roman"/>
          <w:sz w:val="24"/>
          <w:szCs w:val="24"/>
        </w:rPr>
        <w:t>Puerarin (98 % purity) was purchased from Aladdin (Shanghai, China).</w:t>
      </w:r>
      <w:r w:rsidRPr="008662B0">
        <w:rPr>
          <w:rFonts w:ascii="Times New Roman" w:hAnsi="Times New Roman" w:cs="Times New Roman"/>
          <w:sz w:val="24"/>
          <w:szCs w:val="24"/>
        </w:rPr>
        <w:t xml:space="preserve"> </w:t>
      </w:r>
      <w:r w:rsidRPr="008662B0">
        <w:rPr>
          <w:rFonts w:ascii="Times New Roman" w:eastAsia="宋体" w:hAnsi="Times New Roman" w:cs="Times New Roman"/>
          <w:sz w:val="24"/>
          <w:szCs w:val="24"/>
        </w:rPr>
        <w:t>PA (puerarin acetate ester), PP (puerarin propanoate ester), PB (puerarin butyrate ester), PH (puerarin hexanoate ester), PO (puerarin octanate ester), PL (puerarin laurate ester), PM (puerarin myristate ester) were synthesized in our lab (purity &gt;98%).</w:t>
      </w:r>
      <w:r w:rsidRPr="008662B0">
        <w:rPr>
          <w:rFonts w:ascii="Times New Roman" w:hAnsi="Times New Roman" w:cs="Times New Roman"/>
          <w:sz w:val="24"/>
          <w:szCs w:val="24"/>
        </w:rPr>
        <w:t xml:space="preserve"> </w:t>
      </w:r>
      <w:r>
        <w:rPr>
          <w:rFonts w:ascii="Times New Roman" w:hAnsi="Times New Roman" w:cs="Times New Roman"/>
          <w:sz w:val="24"/>
          <w:szCs w:val="24"/>
        </w:rPr>
        <w:t>M</w:t>
      </w:r>
      <w:r w:rsidRPr="003C0525">
        <w:rPr>
          <w:rFonts w:ascii="Times New Roman" w:hAnsi="Times New Roman" w:cs="Times New Roman"/>
          <w:sz w:val="24"/>
          <w:szCs w:val="24"/>
        </w:rPr>
        <w:t>icroglia</w:t>
      </w:r>
      <w:r>
        <w:rPr>
          <w:rFonts w:ascii="Times New Roman" w:hAnsi="Times New Roman" w:cs="Times New Roman"/>
          <w:sz w:val="24"/>
          <w:szCs w:val="24"/>
        </w:rPr>
        <w:t xml:space="preserve"> cells</w:t>
      </w:r>
      <w:r w:rsidRPr="008662B0">
        <w:rPr>
          <w:rFonts w:ascii="Times New Roman" w:eastAsia="宋体" w:hAnsi="Times New Roman" w:cs="Times New Roman"/>
          <w:sz w:val="24"/>
          <w:szCs w:val="24"/>
        </w:rPr>
        <w:t xml:space="preserve"> were purchased from Kunming Cell Bank, Committee for Typical Culture Preservation, Chinese Academy of Sciences (Number: KCB200770YJ). Mouse IL-10, IL-1β, TNF-α, TGF-β ELISA kits were purchased from Neobioscience Biotechnology Co., LTD. (Shenzhen, China). Annexin V-FITC/PI Apoptosis Detection Kit was purchased from Meilun Biotechnology Company (Dalian, China). AnaeroPack-Anareo (anaerobic 5%) anning pack, oxygen indicator and 2.5 L anaerobic tank were purchased from Mitsubishi Corporation, Japan. </w:t>
      </w:r>
      <w:bookmarkStart w:id="22" w:name="_Hlk85878232"/>
      <w:r w:rsidRPr="008662B0">
        <w:rPr>
          <w:rFonts w:ascii="Times New Roman" w:eastAsia="宋体" w:hAnsi="Times New Roman" w:cs="Times New Roman"/>
          <w:sz w:val="24"/>
          <w:szCs w:val="24"/>
        </w:rPr>
        <w:t xml:space="preserve">Trypsin without EDTA </w:t>
      </w:r>
      <w:bookmarkEnd w:id="22"/>
      <w:r w:rsidRPr="008662B0">
        <w:rPr>
          <w:rFonts w:ascii="Times New Roman" w:eastAsia="宋体" w:hAnsi="Times New Roman" w:cs="Times New Roman"/>
          <w:sz w:val="24"/>
          <w:szCs w:val="24"/>
        </w:rPr>
        <w:t>was purchased from Gibco Life Technologies Inc., USA. Anti-Cleaved Caspase-3 (ab214430),</w:t>
      </w:r>
      <w:r w:rsidRPr="008662B0">
        <w:rPr>
          <w:rFonts w:ascii="Times New Roman" w:hAnsi="Times New Roman" w:cs="Times New Roman"/>
          <w:sz w:val="24"/>
          <w:szCs w:val="24"/>
        </w:rPr>
        <w:t xml:space="preserve"> </w:t>
      </w:r>
      <w:r w:rsidRPr="008662B0">
        <w:rPr>
          <w:rFonts w:ascii="Times New Roman" w:eastAsia="宋体" w:hAnsi="Times New Roman" w:cs="Times New Roman"/>
          <w:sz w:val="24"/>
          <w:szCs w:val="24"/>
        </w:rPr>
        <w:t>BCA Protein Assay Kit (ab102536) were purchased from</w:t>
      </w:r>
      <w:r w:rsidRPr="008662B0">
        <w:rPr>
          <w:rFonts w:ascii="Times New Roman" w:hAnsi="Times New Roman" w:cs="Times New Roman"/>
          <w:sz w:val="24"/>
          <w:szCs w:val="24"/>
        </w:rPr>
        <w:t xml:space="preserve"> </w:t>
      </w:r>
      <w:r w:rsidRPr="008662B0">
        <w:rPr>
          <w:rFonts w:ascii="Times New Roman" w:eastAsia="宋体" w:hAnsi="Times New Roman" w:cs="Times New Roman"/>
          <w:sz w:val="24"/>
          <w:szCs w:val="24"/>
        </w:rPr>
        <w:t>Abcam, Cambridge, MA, USA. NF-κB p65 Rabbit Monoclonal Antibody (AF1234), P38 MAPK Rabbit Monoclonal Antibody (AF7668) and Dimethyl sulfoxide (DMSO) were purchased from Beyotime Co., LTD. (Shanghai, China). P-P38 Mouse Monoclonal Antibody (Thr180/Tyr182, WLP1576), P-JNK (Thr183/Tyr185, WL01813) were purchased from Wanlei Biotechnology. BAX Polyclonal antibody (50599-2-Ig), Bcl2 Polyclonal antibody (26593-1-AP), INOS Polyclonal Antibody (18985-1-AP),</w:t>
      </w:r>
      <w:r w:rsidRPr="008662B0">
        <w:rPr>
          <w:rFonts w:ascii="Times New Roman" w:eastAsia="宋体" w:hAnsi="Times New Roman" w:cs="Times New Roman"/>
          <w:b/>
          <w:bCs/>
          <w:color w:val="004271"/>
          <w:kern w:val="0"/>
          <w:sz w:val="24"/>
          <w:szCs w:val="24"/>
        </w:rPr>
        <w:t xml:space="preserve"> </w:t>
      </w:r>
      <w:r w:rsidRPr="008662B0">
        <w:rPr>
          <w:rFonts w:ascii="Times New Roman" w:eastAsia="宋体" w:hAnsi="Times New Roman" w:cs="Times New Roman"/>
          <w:sz w:val="24"/>
          <w:szCs w:val="24"/>
        </w:rPr>
        <w:t>BDNF Monoclonal Antibody (66292-1-Ig), NRF2, NFE2L2 Polyclonal Antibody (16396-1-AP), JNK Monoclonal Antibody (66210-1-Ig),</w:t>
      </w:r>
      <w:r w:rsidRPr="008662B0">
        <w:rPr>
          <w:rFonts w:ascii="Times New Roman" w:eastAsia="宋体" w:hAnsi="Times New Roman" w:cs="Times New Roman"/>
          <w:b/>
          <w:bCs/>
          <w:color w:val="004271"/>
          <w:kern w:val="0"/>
          <w:sz w:val="24"/>
          <w:szCs w:val="24"/>
        </w:rPr>
        <w:t xml:space="preserve"> </w:t>
      </w:r>
      <w:r w:rsidRPr="008662B0">
        <w:rPr>
          <w:rFonts w:ascii="Times New Roman" w:eastAsia="宋体" w:hAnsi="Times New Roman" w:cs="Times New Roman"/>
          <w:sz w:val="24"/>
          <w:szCs w:val="24"/>
        </w:rPr>
        <w:t xml:space="preserve">AKT Monoclonal Antibody (60203-2-Ig), Phospho-AKT (Ser473) Monoclonal Antibody (66444-1-Ig), SOD1 Polyclonal Antibody (10269-1-AP), MMP2 Monoclonal </w:t>
      </w:r>
      <w:r w:rsidRPr="008662B0">
        <w:rPr>
          <w:rFonts w:ascii="Times New Roman" w:eastAsia="宋体" w:hAnsi="Times New Roman" w:cs="Times New Roman"/>
          <w:sz w:val="24"/>
          <w:szCs w:val="24"/>
        </w:rPr>
        <w:lastRenderedPageBreak/>
        <w:t>Antibody (66366-1-Ig), MMP9 (N-terminal) Rabbit Polyclonal antibody (10375-2-AP) and ultrasensitive ECL kit (PK10003) were purchased from Proteintech Group, Inc.</w:t>
      </w:r>
      <w:r w:rsidRPr="008662B0">
        <w:rPr>
          <w:rFonts w:ascii="Times New Roman" w:hAnsi="Times New Roman" w:cs="Times New Roman"/>
          <w:sz w:val="24"/>
          <w:szCs w:val="24"/>
        </w:rPr>
        <w:t xml:space="preserve"> </w:t>
      </w:r>
      <w:r w:rsidRPr="008662B0">
        <w:rPr>
          <w:rFonts w:ascii="Times New Roman" w:eastAsia="宋体" w:hAnsi="Times New Roman" w:cs="Times New Roman"/>
          <w:sz w:val="24"/>
          <w:szCs w:val="24"/>
        </w:rPr>
        <w:t xml:space="preserve">Polyvinylidene fluoride (PVDF, 0.45 μM, IPVH00010) and PVDF (0.22 μM, ISEQ00010) were purchased from Miillipore Inc (Shanghai, China). </w:t>
      </w:r>
    </w:p>
    <w:p w14:paraId="00BC7AE4" w14:textId="4BA0BF00" w:rsidR="005E585D" w:rsidRPr="00CB13ED" w:rsidRDefault="005E585D" w:rsidP="005E585D">
      <w:pPr>
        <w:spacing w:line="480" w:lineRule="auto"/>
        <w:rPr>
          <w:rFonts w:ascii="Times New Roman" w:eastAsia="宋体" w:hAnsi="Times New Roman" w:cs="Times New Roman"/>
          <w:b/>
          <w:bCs/>
          <w:sz w:val="24"/>
          <w:szCs w:val="24"/>
        </w:rPr>
      </w:pPr>
      <w:r w:rsidRPr="00CB13ED">
        <w:rPr>
          <w:rFonts w:ascii="Times New Roman" w:eastAsia="宋体" w:hAnsi="Times New Roman" w:cs="Times New Roman"/>
          <w:b/>
          <w:bCs/>
          <w:sz w:val="24"/>
          <w:szCs w:val="24"/>
        </w:rPr>
        <w:t>Potential Targets Preparation</w:t>
      </w:r>
    </w:p>
    <w:p w14:paraId="59C336F9" w14:textId="77777777" w:rsidR="005E585D" w:rsidRPr="008662B0" w:rsidRDefault="005E585D" w:rsidP="005E585D">
      <w:pPr>
        <w:spacing w:line="480" w:lineRule="auto"/>
        <w:ind w:firstLineChars="200" w:firstLine="480"/>
        <w:rPr>
          <w:rFonts w:ascii="Times New Roman" w:eastAsia="宋体" w:hAnsi="Times New Roman" w:cs="Times New Roman"/>
          <w:sz w:val="24"/>
          <w:szCs w:val="24"/>
        </w:rPr>
      </w:pPr>
      <w:r w:rsidRPr="008662B0">
        <w:rPr>
          <w:rFonts w:ascii="Times New Roman" w:eastAsia="宋体" w:hAnsi="Times New Roman" w:cs="Times New Roman"/>
          <w:sz w:val="24"/>
          <w:szCs w:val="24"/>
        </w:rPr>
        <w:t xml:space="preserve">The candidate targets of puerarin and PAES were retrieved from Traditional Chinese Medicine Systems Pharmacology (TCMSP) (https://tcmsp-e.com/) and Swiss Target Prediction Data Bank (http://www.swisstargetprediction.ch/index.php). Relevant proteins about </w:t>
      </w:r>
      <w:bookmarkStart w:id="23" w:name="OLE_LINK7"/>
      <w:r w:rsidRPr="008662B0">
        <w:rPr>
          <w:rFonts w:ascii="Times New Roman" w:eastAsia="宋体" w:hAnsi="Times New Roman" w:cs="Times New Roman"/>
          <w:sz w:val="24"/>
          <w:szCs w:val="24"/>
        </w:rPr>
        <w:t xml:space="preserve">ischemic </w:t>
      </w:r>
      <w:bookmarkEnd w:id="23"/>
      <w:r w:rsidRPr="008662B0">
        <w:rPr>
          <w:rFonts w:ascii="Times New Roman" w:eastAsia="宋体" w:hAnsi="Times New Roman" w:cs="Times New Roman"/>
          <w:sz w:val="24"/>
          <w:szCs w:val="24"/>
        </w:rPr>
        <w:t>stroke were chosen as potential targets from OMIM (https://omim.org/), Disgenet Data Bank (https://www.disgenet.org/).</w:t>
      </w:r>
    </w:p>
    <w:p w14:paraId="3120C680" w14:textId="70CC4381" w:rsidR="005E585D" w:rsidRPr="00CB13ED" w:rsidRDefault="005E585D" w:rsidP="005E585D">
      <w:pPr>
        <w:spacing w:line="480" w:lineRule="auto"/>
        <w:rPr>
          <w:rFonts w:ascii="Times New Roman" w:eastAsia="宋体" w:hAnsi="Times New Roman" w:cs="Times New Roman"/>
          <w:b/>
          <w:bCs/>
          <w:sz w:val="24"/>
          <w:szCs w:val="24"/>
        </w:rPr>
      </w:pPr>
      <w:r w:rsidRPr="00CB13ED">
        <w:rPr>
          <w:rFonts w:ascii="Times New Roman" w:eastAsia="宋体" w:hAnsi="Times New Roman" w:cs="Times New Roman"/>
          <w:b/>
          <w:bCs/>
          <w:sz w:val="24"/>
          <w:szCs w:val="24"/>
        </w:rPr>
        <w:t>Network construction and analysis</w:t>
      </w:r>
    </w:p>
    <w:p w14:paraId="516BEBD9" w14:textId="77777777" w:rsidR="005E585D" w:rsidRPr="008662B0" w:rsidRDefault="005E585D" w:rsidP="005E585D">
      <w:pPr>
        <w:spacing w:line="480" w:lineRule="auto"/>
        <w:ind w:firstLineChars="200" w:firstLine="480"/>
        <w:rPr>
          <w:rFonts w:ascii="Times New Roman" w:eastAsia="宋体" w:hAnsi="Times New Roman" w:cs="Times New Roman"/>
          <w:sz w:val="24"/>
          <w:szCs w:val="24"/>
        </w:rPr>
      </w:pPr>
      <w:r w:rsidRPr="008662B0">
        <w:rPr>
          <w:rFonts w:ascii="Times New Roman" w:eastAsia="宋体" w:hAnsi="Times New Roman" w:cs="Times New Roman"/>
          <w:sz w:val="24"/>
          <w:szCs w:val="24"/>
        </w:rPr>
        <w:t>Venny was used to draw venn diagram between ischemic cerebrovascular disease and drugs.</w:t>
      </w:r>
      <w:r w:rsidRPr="008662B0">
        <w:rPr>
          <w:rFonts w:ascii="Times New Roman" w:hAnsi="Times New Roman" w:cs="Times New Roman"/>
          <w:sz w:val="24"/>
          <w:szCs w:val="24"/>
        </w:rPr>
        <w:t xml:space="preserve"> The protein-protein interaction information (PPI) </w:t>
      </w:r>
      <w:r w:rsidRPr="008662B0">
        <w:rPr>
          <w:rFonts w:ascii="Times New Roman" w:eastAsia="宋体" w:hAnsi="Times New Roman" w:cs="Times New Roman"/>
          <w:sz w:val="24"/>
          <w:szCs w:val="24"/>
        </w:rPr>
        <w:t>was constructed using String Data Bank (https://www.string-db.org/). The network model of “</w:t>
      </w:r>
      <w:bookmarkStart w:id="24" w:name="OLE_LINK12"/>
      <w:r w:rsidRPr="008662B0">
        <w:rPr>
          <w:rFonts w:ascii="Times New Roman" w:eastAsia="宋体" w:hAnsi="Times New Roman" w:cs="Times New Roman"/>
          <w:sz w:val="24"/>
          <w:szCs w:val="24"/>
        </w:rPr>
        <w:t>disease-target-pathway-drug</w:t>
      </w:r>
      <w:bookmarkEnd w:id="24"/>
      <w:r w:rsidRPr="008662B0">
        <w:rPr>
          <w:rFonts w:ascii="Times New Roman" w:eastAsia="宋体" w:hAnsi="Times New Roman" w:cs="Times New Roman"/>
          <w:sz w:val="24"/>
          <w:szCs w:val="24"/>
        </w:rPr>
        <w:t>” interaction was constructed by Cytoscape 3.8.2. To elucidate the function of the compounds and its role in signal transduction, Gene Ontology (GO) clustering analysis and KEGG pathway enrichment were performed on the intersection targets by the Database for Annotation, Visualization and Integrated Discovery (DAVID) Data Bank (https://david.ncifcrf.gov/tools.jsp). The biological processes (BP), cellular components (CC) and molecular functions (MF) were also described.</w:t>
      </w:r>
    </w:p>
    <w:p w14:paraId="3443CB62" w14:textId="6746AA44" w:rsidR="005E585D" w:rsidRPr="00CB13ED" w:rsidRDefault="005E585D" w:rsidP="005E585D">
      <w:pPr>
        <w:spacing w:line="480" w:lineRule="auto"/>
        <w:rPr>
          <w:rFonts w:ascii="Times New Roman" w:eastAsia="宋体" w:hAnsi="Times New Roman" w:cs="Times New Roman"/>
          <w:b/>
          <w:bCs/>
          <w:sz w:val="24"/>
          <w:szCs w:val="24"/>
        </w:rPr>
      </w:pPr>
      <w:r w:rsidRPr="00CB13ED">
        <w:rPr>
          <w:rFonts w:ascii="Times New Roman" w:eastAsia="宋体" w:hAnsi="Times New Roman" w:cs="Times New Roman"/>
          <w:b/>
          <w:bCs/>
          <w:sz w:val="24"/>
          <w:szCs w:val="24"/>
        </w:rPr>
        <w:t>Cell activation and viability assay</w:t>
      </w:r>
    </w:p>
    <w:p w14:paraId="27DE497E" w14:textId="77777777" w:rsidR="005E585D" w:rsidRPr="008662B0" w:rsidRDefault="005E585D" w:rsidP="005E585D">
      <w:pPr>
        <w:spacing w:line="480" w:lineRule="auto"/>
        <w:ind w:firstLineChars="200" w:firstLine="480"/>
        <w:rPr>
          <w:rFonts w:ascii="Times New Roman" w:eastAsia="宋体" w:hAnsi="Times New Roman" w:cs="Times New Roman"/>
          <w:sz w:val="24"/>
          <w:szCs w:val="24"/>
        </w:rPr>
      </w:pPr>
      <w:r>
        <w:rPr>
          <w:rFonts w:ascii="Times New Roman" w:hAnsi="Times New Roman" w:cs="Times New Roman"/>
          <w:sz w:val="24"/>
          <w:szCs w:val="24"/>
        </w:rPr>
        <w:t>M</w:t>
      </w:r>
      <w:r w:rsidRPr="003C0525">
        <w:rPr>
          <w:rFonts w:ascii="Times New Roman" w:hAnsi="Times New Roman" w:cs="Times New Roman"/>
          <w:sz w:val="24"/>
          <w:szCs w:val="24"/>
        </w:rPr>
        <w:t>icroglia</w:t>
      </w:r>
      <w:r>
        <w:rPr>
          <w:rFonts w:ascii="Times New Roman" w:hAnsi="Times New Roman" w:cs="Times New Roman"/>
          <w:sz w:val="24"/>
          <w:szCs w:val="24"/>
        </w:rPr>
        <w:t xml:space="preserve"> cells</w:t>
      </w:r>
      <w:r w:rsidRPr="008662B0">
        <w:rPr>
          <w:rFonts w:ascii="Times New Roman" w:eastAsia="宋体" w:hAnsi="Times New Roman" w:cs="Times New Roman"/>
          <w:sz w:val="24"/>
          <w:szCs w:val="24"/>
        </w:rPr>
        <w:t xml:space="preserve"> were cultured in complete culture medium, containing DMEM </w:t>
      </w:r>
      <w:r w:rsidRPr="008662B0">
        <w:rPr>
          <w:rFonts w:ascii="Times New Roman" w:eastAsia="宋体" w:hAnsi="Times New Roman" w:cs="Times New Roman"/>
          <w:sz w:val="24"/>
          <w:szCs w:val="24"/>
        </w:rPr>
        <w:lastRenderedPageBreak/>
        <w:t>high‐glucose medium, 1%</w:t>
      </w:r>
      <w:r w:rsidRPr="008662B0">
        <w:rPr>
          <w:rFonts w:ascii="Times New Roman" w:hAnsi="Times New Roman" w:cs="Times New Roman"/>
          <w:sz w:val="24"/>
          <w:szCs w:val="24"/>
        </w:rPr>
        <w:t xml:space="preserve"> </w:t>
      </w:r>
      <w:r w:rsidRPr="008662B0">
        <w:rPr>
          <w:rFonts w:ascii="Times New Roman" w:eastAsia="宋体" w:hAnsi="Times New Roman" w:cs="Times New Roman"/>
          <w:sz w:val="24"/>
          <w:szCs w:val="24"/>
        </w:rPr>
        <w:t xml:space="preserve">penicillin and streptomycin and 10% fetal bovine serum (FBS). Then, </w:t>
      </w:r>
      <w:r w:rsidRPr="003C0525">
        <w:rPr>
          <w:rFonts w:ascii="Times New Roman" w:hAnsi="Times New Roman" w:cs="Times New Roman"/>
          <w:sz w:val="24"/>
          <w:szCs w:val="24"/>
        </w:rPr>
        <w:t>microglia</w:t>
      </w:r>
      <w:r>
        <w:rPr>
          <w:rFonts w:ascii="Times New Roman" w:hAnsi="Times New Roman" w:cs="Times New Roman"/>
          <w:sz w:val="24"/>
          <w:szCs w:val="24"/>
        </w:rPr>
        <w:t xml:space="preserve"> cells</w:t>
      </w:r>
      <w:r w:rsidRPr="008662B0">
        <w:rPr>
          <w:rFonts w:ascii="Times New Roman" w:eastAsia="宋体" w:hAnsi="Times New Roman" w:cs="Times New Roman"/>
          <w:sz w:val="24"/>
          <w:szCs w:val="24"/>
        </w:rPr>
        <w:t xml:space="preserve"> were inoculated at a concentration of 1×10</w:t>
      </w:r>
      <w:r w:rsidRPr="008662B0">
        <w:rPr>
          <w:rFonts w:ascii="Times New Roman" w:eastAsia="宋体" w:hAnsi="Times New Roman" w:cs="Times New Roman"/>
          <w:sz w:val="24"/>
          <w:szCs w:val="24"/>
          <w:vertAlign w:val="superscript"/>
        </w:rPr>
        <w:t>5</w:t>
      </w:r>
      <w:r w:rsidRPr="008662B0">
        <w:rPr>
          <w:rFonts w:ascii="Times New Roman" w:eastAsia="宋体" w:hAnsi="Times New Roman" w:cs="Times New Roman"/>
          <w:sz w:val="24"/>
          <w:szCs w:val="24"/>
        </w:rPr>
        <w:t xml:space="preserve"> cells/mL for 24 h in 96-well plates, incubated in a 37 ℃ incubator containing 5% CO</w:t>
      </w:r>
      <w:r w:rsidRPr="008662B0">
        <w:rPr>
          <w:rFonts w:ascii="Times New Roman" w:eastAsia="宋体" w:hAnsi="Times New Roman" w:cs="Times New Roman"/>
          <w:sz w:val="24"/>
          <w:szCs w:val="24"/>
          <w:vertAlign w:val="subscript"/>
        </w:rPr>
        <w:t>2</w:t>
      </w:r>
      <w:r w:rsidRPr="008662B0">
        <w:rPr>
          <w:rFonts w:ascii="Times New Roman" w:eastAsia="宋体" w:hAnsi="Times New Roman" w:cs="Times New Roman"/>
          <w:sz w:val="24"/>
          <w:szCs w:val="24"/>
        </w:rPr>
        <w:t xml:space="preserve">. After seeding for 24 h, the culture medium was replaced. Puerarin and PAES were added in 96-well plates and then co-cultured for 24 h. Meanwhile, the fresh complete culture medium was added, which served as </w:t>
      </w:r>
      <w:r>
        <w:rPr>
          <w:rFonts w:ascii="Times New Roman" w:eastAsia="宋体" w:hAnsi="Times New Roman" w:cs="Times New Roman" w:hint="eastAsia"/>
          <w:sz w:val="24"/>
          <w:szCs w:val="24"/>
        </w:rPr>
        <w:t>control</w:t>
      </w:r>
      <w:r w:rsidRPr="008662B0">
        <w:rPr>
          <w:rFonts w:ascii="Times New Roman" w:eastAsia="宋体" w:hAnsi="Times New Roman" w:cs="Times New Roman"/>
          <w:sz w:val="24"/>
          <w:szCs w:val="24"/>
        </w:rPr>
        <w:t xml:space="preserve"> group (C group). Finally, 10% counting kit 8 (CCK-8) was co-cultured with cells for 1.5 h, and the absorbance was detected at 450 nm. The cell viability was calculated based on the equation:</w:t>
      </w:r>
    </w:p>
    <w:p w14:paraId="15B626EA" w14:textId="77777777" w:rsidR="005E585D" w:rsidRPr="008662B0" w:rsidRDefault="005E585D" w:rsidP="005E585D">
      <w:pPr>
        <w:spacing w:line="480" w:lineRule="auto"/>
        <w:ind w:firstLineChars="200" w:firstLine="480"/>
        <w:rPr>
          <w:rFonts w:ascii="Times New Roman" w:eastAsia="宋体" w:hAnsi="Times New Roman" w:cs="Times New Roman"/>
          <w:sz w:val="24"/>
          <w:szCs w:val="24"/>
        </w:rPr>
      </w:pPr>
      <w:r w:rsidRPr="008662B0">
        <w:rPr>
          <w:rFonts w:ascii="Times New Roman" w:eastAsia="宋体" w:hAnsi="Times New Roman" w:cs="Times New Roman"/>
          <w:sz w:val="24"/>
          <w:szCs w:val="24"/>
        </w:rPr>
        <w:t>Cell viability (%) =</w:t>
      </w:r>
      <w:r w:rsidRPr="008662B0">
        <w:rPr>
          <w:rFonts w:ascii="Times New Roman" w:eastAsia="宋体" w:hAnsi="Times New Roman" w:cs="Times New Roman"/>
          <w:kern w:val="0"/>
          <w:sz w:val="24"/>
          <w:szCs w:val="24"/>
        </w:rPr>
        <w:t xml:space="preserve"> ([A</w:t>
      </w:r>
      <w:r w:rsidRPr="008662B0">
        <w:rPr>
          <w:rFonts w:ascii="Times New Roman" w:eastAsia="宋体" w:hAnsi="Times New Roman" w:cs="Times New Roman"/>
          <w:kern w:val="0"/>
          <w:sz w:val="24"/>
          <w:szCs w:val="24"/>
          <w:vertAlign w:val="subscript"/>
        </w:rPr>
        <w:t>a</w:t>
      </w:r>
      <w:r w:rsidRPr="008662B0">
        <w:rPr>
          <w:rFonts w:ascii="Times New Roman" w:eastAsia="宋体" w:hAnsi="Times New Roman" w:cs="Times New Roman"/>
          <w:kern w:val="0"/>
          <w:sz w:val="24"/>
          <w:szCs w:val="24"/>
        </w:rPr>
        <w:t>-A</w:t>
      </w:r>
      <w:r w:rsidRPr="008662B0">
        <w:rPr>
          <w:rFonts w:ascii="Times New Roman" w:eastAsia="宋体" w:hAnsi="Times New Roman" w:cs="Times New Roman"/>
          <w:kern w:val="0"/>
          <w:sz w:val="24"/>
          <w:szCs w:val="24"/>
          <w:vertAlign w:val="subscript"/>
        </w:rPr>
        <w:t>b</w:t>
      </w:r>
      <w:r w:rsidRPr="008662B0">
        <w:rPr>
          <w:rFonts w:ascii="Times New Roman" w:eastAsia="宋体" w:hAnsi="Times New Roman" w:cs="Times New Roman"/>
          <w:kern w:val="0"/>
          <w:sz w:val="24"/>
          <w:szCs w:val="24"/>
        </w:rPr>
        <w:t>]/[A</w:t>
      </w:r>
      <w:r w:rsidRPr="008662B0">
        <w:rPr>
          <w:rFonts w:ascii="Times New Roman" w:eastAsia="宋体" w:hAnsi="Times New Roman" w:cs="Times New Roman"/>
          <w:kern w:val="0"/>
          <w:sz w:val="24"/>
          <w:szCs w:val="24"/>
          <w:vertAlign w:val="subscript"/>
        </w:rPr>
        <w:t>c</w:t>
      </w:r>
      <w:r w:rsidRPr="008662B0">
        <w:rPr>
          <w:rFonts w:ascii="Times New Roman" w:eastAsia="宋体" w:hAnsi="Times New Roman" w:cs="Times New Roman"/>
          <w:kern w:val="0"/>
          <w:sz w:val="24"/>
          <w:szCs w:val="24"/>
        </w:rPr>
        <w:t>-A</w:t>
      </w:r>
      <w:r w:rsidRPr="008662B0">
        <w:rPr>
          <w:rFonts w:ascii="Times New Roman" w:eastAsia="宋体" w:hAnsi="Times New Roman" w:cs="Times New Roman"/>
          <w:kern w:val="0"/>
          <w:sz w:val="24"/>
          <w:szCs w:val="24"/>
          <w:vertAlign w:val="subscript"/>
        </w:rPr>
        <w:t>b</w:t>
      </w:r>
      <w:r w:rsidRPr="008662B0">
        <w:rPr>
          <w:rFonts w:ascii="Times New Roman" w:eastAsia="宋体" w:hAnsi="Times New Roman" w:cs="Times New Roman"/>
          <w:kern w:val="0"/>
          <w:sz w:val="24"/>
          <w:szCs w:val="24"/>
        </w:rPr>
        <w:t>]) ×100</w:t>
      </w:r>
      <w:r w:rsidRPr="008662B0">
        <w:rPr>
          <w:rFonts w:ascii="Times New Roman" w:eastAsia="宋体" w:hAnsi="Times New Roman" w:cs="Times New Roman"/>
          <w:sz w:val="24"/>
          <w:szCs w:val="24"/>
        </w:rPr>
        <w:t xml:space="preserve">  </w:t>
      </w:r>
    </w:p>
    <w:p w14:paraId="07FFA512" w14:textId="77777777" w:rsidR="005E585D" w:rsidRPr="008662B0" w:rsidRDefault="005E585D" w:rsidP="005E585D">
      <w:pPr>
        <w:spacing w:line="480" w:lineRule="auto"/>
        <w:ind w:firstLineChars="200" w:firstLine="480"/>
        <w:rPr>
          <w:rFonts w:ascii="Times New Roman" w:eastAsia="宋体" w:hAnsi="Times New Roman" w:cs="Times New Roman"/>
          <w:sz w:val="24"/>
          <w:szCs w:val="24"/>
        </w:rPr>
      </w:pPr>
      <w:r w:rsidRPr="008662B0">
        <w:rPr>
          <w:rFonts w:ascii="Times New Roman" w:eastAsia="宋体" w:hAnsi="Times New Roman" w:cs="Times New Roman"/>
          <w:sz w:val="24"/>
          <w:szCs w:val="24"/>
        </w:rPr>
        <w:t>where, A</w:t>
      </w:r>
      <w:r w:rsidRPr="008662B0">
        <w:rPr>
          <w:rFonts w:ascii="Times New Roman" w:eastAsia="宋体" w:hAnsi="Times New Roman" w:cs="Times New Roman"/>
          <w:sz w:val="24"/>
          <w:szCs w:val="24"/>
          <w:vertAlign w:val="subscript"/>
        </w:rPr>
        <w:t>a</w:t>
      </w:r>
      <w:r w:rsidRPr="008662B0">
        <w:rPr>
          <w:rFonts w:ascii="Times New Roman" w:eastAsia="宋体" w:hAnsi="Times New Roman" w:cs="Times New Roman"/>
          <w:sz w:val="24"/>
          <w:szCs w:val="24"/>
        </w:rPr>
        <w:t xml:space="preserve"> was the absorbance of puerarin and PAES treatment, A</w:t>
      </w:r>
      <w:r w:rsidRPr="008662B0">
        <w:rPr>
          <w:rFonts w:ascii="Times New Roman" w:eastAsia="宋体" w:hAnsi="Times New Roman" w:cs="Times New Roman"/>
          <w:sz w:val="24"/>
          <w:szCs w:val="24"/>
          <w:vertAlign w:val="subscript"/>
        </w:rPr>
        <w:t>b</w:t>
      </w:r>
      <w:r w:rsidRPr="008662B0">
        <w:rPr>
          <w:rFonts w:ascii="Times New Roman" w:eastAsia="宋体" w:hAnsi="Times New Roman" w:cs="Times New Roman"/>
          <w:sz w:val="24"/>
          <w:szCs w:val="24"/>
        </w:rPr>
        <w:t xml:space="preserve"> was the absorbance of</w:t>
      </w:r>
      <w:r w:rsidRPr="008662B0">
        <w:rPr>
          <w:rFonts w:ascii="Times New Roman" w:hAnsi="Times New Roman" w:cs="Times New Roman"/>
          <w:sz w:val="24"/>
          <w:szCs w:val="24"/>
        </w:rPr>
        <w:t xml:space="preserve"> </w:t>
      </w:r>
      <w:r w:rsidRPr="008662B0">
        <w:rPr>
          <w:rFonts w:ascii="Times New Roman" w:eastAsia="宋体" w:hAnsi="Times New Roman" w:cs="Times New Roman"/>
          <w:sz w:val="24"/>
          <w:szCs w:val="24"/>
        </w:rPr>
        <w:t>negative control and A</w:t>
      </w:r>
      <w:r w:rsidRPr="008662B0">
        <w:rPr>
          <w:rFonts w:ascii="Times New Roman" w:eastAsia="宋体" w:hAnsi="Times New Roman" w:cs="Times New Roman"/>
          <w:sz w:val="24"/>
          <w:szCs w:val="24"/>
          <w:vertAlign w:val="subscript"/>
        </w:rPr>
        <w:t>c</w:t>
      </w:r>
      <w:r w:rsidRPr="008662B0">
        <w:rPr>
          <w:rFonts w:ascii="Times New Roman" w:eastAsia="宋体" w:hAnsi="Times New Roman" w:cs="Times New Roman"/>
          <w:sz w:val="24"/>
          <w:szCs w:val="24"/>
        </w:rPr>
        <w:t xml:space="preserve"> represented the absorbance of C group.</w:t>
      </w:r>
    </w:p>
    <w:p w14:paraId="575EB11E" w14:textId="4D266EC1" w:rsidR="005E585D" w:rsidRPr="00CB13ED" w:rsidRDefault="005E585D" w:rsidP="005E585D">
      <w:pPr>
        <w:adjustRightInd w:val="0"/>
        <w:snapToGrid w:val="0"/>
        <w:spacing w:line="480" w:lineRule="auto"/>
        <w:rPr>
          <w:rFonts w:ascii="Times New Roman" w:eastAsia="宋体" w:hAnsi="Times New Roman" w:cs="Times New Roman"/>
          <w:b/>
          <w:bCs/>
          <w:sz w:val="24"/>
          <w:szCs w:val="24"/>
        </w:rPr>
      </w:pPr>
      <w:r w:rsidRPr="00CB13ED">
        <w:rPr>
          <w:rFonts w:ascii="Times New Roman" w:eastAsia="宋体" w:hAnsi="Times New Roman" w:cs="Times New Roman"/>
          <w:b/>
          <w:bCs/>
          <w:sz w:val="24"/>
          <w:szCs w:val="24"/>
        </w:rPr>
        <w:t>Cell viability assay in different time of OGD</w:t>
      </w:r>
    </w:p>
    <w:p w14:paraId="66BDAA62" w14:textId="77777777" w:rsidR="005E585D" w:rsidRPr="008662B0" w:rsidRDefault="005E585D" w:rsidP="005E585D">
      <w:pPr>
        <w:spacing w:line="480" w:lineRule="auto"/>
        <w:ind w:firstLineChars="200" w:firstLine="480"/>
        <w:rPr>
          <w:rFonts w:ascii="Times New Roman" w:eastAsia="宋体" w:hAnsi="Times New Roman" w:cs="Times New Roman"/>
          <w:sz w:val="24"/>
          <w:szCs w:val="24"/>
        </w:rPr>
      </w:pPr>
      <w:r>
        <w:rPr>
          <w:rFonts w:ascii="Times New Roman" w:hAnsi="Times New Roman" w:cs="Times New Roman"/>
          <w:sz w:val="24"/>
          <w:szCs w:val="24"/>
        </w:rPr>
        <w:t>M</w:t>
      </w:r>
      <w:r w:rsidRPr="003C0525">
        <w:rPr>
          <w:rFonts w:ascii="Times New Roman" w:hAnsi="Times New Roman" w:cs="Times New Roman"/>
          <w:sz w:val="24"/>
          <w:szCs w:val="24"/>
        </w:rPr>
        <w:t>icroglia</w:t>
      </w:r>
      <w:r>
        <w:rPr>
          <w:rFonts w:ascii="Times New Roman" w:hAnsi="Times New Roman" w:cs="Times New Roman"/>
          <w:sz w:val="24"/>
          <w:szCs w:val="24"/>
        </w:rPr>
        <w:t xml:space="preserve"> cells</w:t>
      </w:r>
      <w:r w:rsidRPr="008662B0">
        <w:rPr>
          <w:rFonts w:ascii="Times New Roman" w:eastAsia="宋体" w:hAnsi="Times New Roman" w:cs="Times New Roman"/>
          <w:sz w:val="24"/>
          <w:szCs w:val="24"/>
        </w:rPr>
        <w:t xml:space="preserve"> were inoculated at a concentration of 1×10</w:t>
      </w:r>
      <w:r w:rsidRPr="008662B0">
        <w:rPr>
          <w:rFonts w:ascii="Times New Roman" w:eastAsia="宋体" w:hAnsi="Times New Roman" w:cs="Times New Roman"/>
          <w:sz w:val="24"/>
          <w:szCs w:val="24"/>
          <w:vertAlign w:val="superscript"/>
        </w:rPr>
        <w:t>5</w:t>
      </w:r>
      <w:r w:rsidRPr="008662B0">
        <w:rPr>
          <w:rFonts w:ascii="Times New Roman" w:eastAsia="宋体" w:hAnsi="Times New Roman" w:cs="Times New Roman"/>
          <w:sz w:val="24"/>
          <w:szCs w:val="24"/>
        </w:rPr>
        <w:t xml:space="preserve"> cells/mL for 24 h in 96-well plates, incubated in a 37 ℃ incubator containing 5% CO</w:t>
      </w:r>
      <w:r w:rsidRPr="008662B0">
        <w:rPr>
          <w:rFonts w:ascii="Times New Roman" w:eastAsia="宋体" w:hAnsi="Times New Roman" w:cs="Times New Roman"/>
          <w:sz w:val="24"/>
          <w:szCs w:val="24"/>
          <w:vertAlign w:val="subscript"/>
        </w:rPr>
        <w:t>2</w:t>
      </w:r>
      <w:r w:rsidRPr="008662B0">
        <w:rPr>
          <w:rFonts w:ascii="Times New Roman" w:eastAsia="宋体" w:hAnsi="Times New Roman" w:cs="Times New Roman"/>
          <w:sz w:val="24"/>
          <w:szCs w:val="24"/>
        </w:rPr>
        <w:t>. Then, sugar-free serum-free DMEM medium was added in 96-well plates. The plates were placed in an anaerobic incubator with AnaeroPack-Anareo anning pack and oxygen indicator (95% nitrogen, 5% carbon dioxide), and incubated in a 37 °C cell incubator for a certain time. After different time of OGD treatment, the cell viability was calculated by 10% CCK-8.</w:t>
      </w:r>
    </w:p>
    <w:p w14:paraId="153E4D51" w14:textId="314ECDB1" w:rsidR="005E585D" w:rsidRPr="00CB13ED" w:rsidRDefault="005E585D" w:rsidP="005E585D">
      <w:pPr>
        <w:adjustRightInd w:val="0"/>
        <w:snapToGrid w:val="0"/>
        <w:spacing w:line="480" w:lineRule="auto"/>
        <w:rPr>
          <w:rFonts w:ascii="Times New Roman" w:eastAsia="宋体" w:hAnsi="Times New Roman" w:cs="Times New Roman"/>
          <w:b/>
          <w:bCs/>
          <w:sz w:val="24"/>
          <w:szCs w:val="24"/>
        </w:rPr>
      </w:pPr>
      <w:bookmarkStart w:id="25" w:name="_Hlk85881980"/>
      <w:r w:rsidRPr="00CB13ED">
        <w:rPr>
          <w:rFonts w:ascii="Times New Roman" w:eastAsia="宋体" w:hAnsi="Times New Roman" w:cs="Times New Roman"/>
          <w:b/>
          <w:bCs/>
          <w:sz w:val="24"/>
          <w:szCs w:val="24"/>
        </w:rPr>
        <w:t xml:space="preserve">Establishment of OGD model </w:t>
      </w:r>
      <w:r w:rsidRPr="00D85CD0">
        <w:rPr>
          <w:rFonts w:ascii="Times New Roman" w:eastAsia="宋体" w:hAnsi="Times New Roman" w:cs="Times New Roman"/>
          <w:b/>
          <w:bCs/>
          <w:i/>
          <w:iCs/>
          <w:sz w:val="24"/>
          <w:szCs w:val="24"/>
        </w:rPr>
        <w:t>in vitro</w:t>
      </w:r>
    </w:p>
    <w:bookmarkEnd w:id="25"/>
    <w:p w14:paraId="1228DC7E" w14:textId="77777777" w:rsidR="005E585D" w:rsidRPr="008662B0" w:rsidRDefault="005E585D" w:rsidP="005E585D">
      <w:pPr>
        <w:adjustRightInd w:val="0"/>
        <w:snapToGrid w:val="0"/>
        <w:spacing w:line="480" w:lineRule="auto"/>
        <w:ind w:firstLineChars="200" w:firstLine="480"/>
        <w:rPr>
          <w:rFonts w:ascii="Times New Roman" w:eastAsia="宋体" w:hAnsi="Times New Roman" w:cs="Times New Roman"/>
          <w:sz w:val="24"/>
          <w:szCs w:val="24"/>
        </w:rPr>
      </w:pPr>
      <w:r w:rsidRPr="008662B0">
        <w:rPr>
          <w:rFonts w:ascii="Times New Roman" w:eastAsia="宋体" w:hAnsi="Times New Roman" w:cs="Times New Roman"/>
          <w:sz w:val="24"/>
          <w:szCs w:val="24"/>
        </w:rPr>
        <w:t xml:space="preserve">In the pretreatment group (Figure 4a), </w:t>
      </w:r>
      <w:bookmarkStart w:id="26" w:name="OLE_LINK52"/>
      <w:r w:rsidRPr="008662B0">
        <w:rPr>
          <w:rFonts w:ascii="Times New Roman" w:eastAsia="宋体" w:hAnsi="Times New Roman" w:cs="Times New Roman"/>
          <w:sz w:val="24"/>
          <w:szCs w:val="24"/>
        </w:rPr>
        <w:t xml:space="preserve">after seeding for 24 h, </w:t>
      </w:r>
      <w:bookmarkEnd w:id="26"/>
      <w:r w:rsidRPr="008662B0">
        <w:rPr>
          <w:rFonts w:ascii="Times New Roman" w:eastAsia="宋体" w:hAnsi="Times New Roman" w:cs="Times New Roman"/>
          <w:sz w:val="24"/>
          <w:szCs w:val="24"/>
        </w:rPr>
        <w:t xml:space="preserve">the fresh complete culture medium supplemented with 25 μM puerarin and its ester derivatives was added for 4 hours. Then, the cell viability of </w:t>
      </w:r>
      <w:r w:rsidRPr="003C0525">
        <w:rPr>
          <w:rFonts w:ascii="Times New Roman" w:hAnsi="Times New Roman" w:cs="Times New Roman"/>
          <w:sz w:val="24"/>
          <w:szCs w:val="24"/>
        </w:rPr>
        <w:t>microglia</w:t>
      </w:r>
      <w:r>
        <w:rPr>
          <w:rFonts w:ascii="Times New Roman" w:hAnsi="Times New Roman" w:cs="Times New Roman"/>
          <w:sz w:val="24"/>
          <w:szCs w:val="24"/>
        </w:rPr>
        <w:t xml:space="preserve"> cells</w:t>
      </w:r>
      <w:r w:rsidRPr="008662B0">
        <w:rPr>
          <w:rFonts w:ascii="Times New Roman" w:eastAsia="宋体" w:hAnsi="Times New Roman" w:cs="Times New Roman"/>
          <w:sz w:val="24"/>
          <w:szCs w:val="24"/>
        </w:rPr>
        <w:t xml:space="preserve"> treated by OGD was </w:t>
      </w:r>
      <w:r w:rsidRPr="008662B0">
        <w:rPr>
          <w:rFonts w:ascii="Times New Roman" w:eastAsia="宋体" w:hAnsi="Times New Roman" w:cs="Times New Roman"/>
          <w:sz w:val="24"/>
          <w:szCs w:val="24"/>
        </w:rPr>
        <w:lastRenderedPageBreak/>
        <w:t xml:space="preserve">measured with CCK-8 kit. </w:t>
      </w:r>
    </w:p>
    <w:p w14:paraId="449F8CDD" w14:textId="3735D864" w:rsidR="005E585D" w:rsidRPr="00CB13ED" w:rsidRDefault="005E585D" w:rsidP="005E585D">
      <w:pPr>
        <w:adjustRightInd w:val="0"/>
        <w:snapToGrid w:val="0"/>
        <w:spacing w:line="480" w:lineRule="auto"/>
        <w:rPr>
          <w:rFonts w:ascii="Times New Roman" w:eastAsia="宋体" w:hAnsi="Times New Roman" w:cs="Times New Roman"/>
          <w:b/>
          <w:bCs/>
          <w:sz w:val="24"/>
          <w:szCs w:val="24"/>
        </w:rPr>
      </w:pPr>
      <w:r w:rsidRPr="00CB13ED">
        <w:rPr>
          <w:rFonts w:ascii="Times New Roman" w:eastAsia="宋体" w:hAnsi="Times New Roman" w:cs="Times New Roman"/>
          <w:b/>
          <w:bCs/>
          <w:sz w:val="24"/>
          <w:szCs w:val="24"/>
        </w:rPr>
        <w:t xml:space="preserve">Establishment of OGD/R model </w:t>
      </w:r>
      <w:r w:rsidRPr="00CB13ED">
        <w:rPr>
          <w:rFonts w:ascii="Times New Roman" w:eastAsia="宋体" w:hAnsi="Times New Roman" w:cs="Times New Roman"/>
          <w:b/>
          <w:bCs/>
          <w:i/>
          <w:iCs/>
          <w:sz w:val="24"/>
          <w:szCs w:val="24"/>
        </w:rPr>
        <w:t>in vitro</w:t>
      </w:r>
    </w:p>
    <w:p w14:paraId="37EBD1E1" w14:textId="77777777" w:rsidR="005E585D" w:rsidRPr="0047491C" w:rsidRDefault="005E585D" w:rsidP="005E585D">
      <w:pPr>
        <w:adjustRightInd w:val="0"/>
        <w:snapToGrid w:val="0"/>
        <w:spacing w:line="480" w:lineRule="auto"/>
        <w:ind w:firstLineChars="200" w:firstLine="480"/>
        <w:rPr>
          <w:rFonts w:ascii="Times New Roman" w:eastAsia="宋体" w:hAnsi="Times New Roman" w:cs="Times New Roman"/>
          <w:sz w:val="24"/>
          <w:szCs w:val="24"/>
        </w:rPr>
      </w:pPr>
      <w:r w:rsidRPr="008662B0">
        <w:rPr>
          <w:rFonts w:ascii="Times New Roman" w:eastAsia="宋体" w:hAnsi="Times New Roman" w:cs="Times New Roman"/>
          <w:sz w:val="24"/>
          <w:szCs w:val="24"/>
        </w:rPr>
        <w:t>Treatment group (Figure 4c): After OGD for 2h, the fresh complete culture medium supplemented with 25 μM puerarin and its ester derivatives was added to the treatment group. In the control group, the cells were cultured under normal conditions. Finally, cell viability was measured using a CCK-8 kit.</w:t>
      </w:r>
      <w:r w:rsidRPr="008662B0">
        <w:rPr>
          <w:rFonts w:ascii="Times New Roman" w:hAnsi="Times New Roman" w:cs="Times New Roman"/>
          <w:sz w:val="24"/>
          <w:szCs w:val="24"/>
        </w:rPr>
        <w:t xml:space="preserve"> </w:t>
      </w:r>
      <w:r w:rsidRPr="008662B0">
        <w:rPr>
          <w:rFonts w:ascii="Times New Roman" w:eastAsia="宋体" w:hAnsi="Times New Roman" w:cs="Times New Roman"/>
          <w:sz w:val="24"/>
          <w:szCs w:val="24"/>
        </w:rPr>
        <w:t xml:space="preserve">After establishment of OGD and OGD/R model, the </w:t>
      </w:r>
      <w:r w:rsidRPr="003C0525">
        <w:rPr>
          <w:rFonts w:ascii="Times New Roman" w:hAnsi="Times New Roman" w:cs="Times New Roman"/>
          <w:sz w:val="24"/>
          <w:szCs w:val="24"/>
        </w:rPr>
        <w:t>microglia</w:t>
      </w:r>
      <w:r>
        <w:rPr>
          <w:rFonts w:ascii="Times New Roman" w:hAnsi="Times New Roman" w:cs="Times New Roman"/>
          <w:sz w:val="24"/>
          <w:szCs w:val="24"/>
        </w:rPr>
        <w:t xml:space="preserve"> cells</w:t>
      </w:r>
      <w:r w:rsidRPr="008662B0">
        <w:rPr>
          <w:rFonts w:ascii="Times New Roman" w:eastAsia="宋体" w:hAnsi="Times New Roman" w:cs="Times New Roman"/>
          <w:sz w:val="24"/>
          <w:szCs w:val="24"/>
        </w:rPr>
        <w:t xml:space="preserve"> were stained by a staining solution of 5 μL PI and Calcein AM, and observed by fluorescence microscope. </w:t>
      </w:r>
    </w:p>
    <w:p w14:paraId="1EEFFA38" w14:textId="27BB4D0C" w:rsidR="005E585D" w:rsidRPr="00CB13ED" w:rsidRDefault="005E585D" w:rsidP="005E585D">
      <w:pPr>
        <w:adjustRightInd w:val="0"/>
        <w:snapToGrid w:val="0"/>
        <w:spacing w:line="480" w:lineRule="auto"/>
        <w:rPr>
          <w:rFonts w:ascii="Times New Roman" w:eastAsia="宋体" w:hAnsi="Times New Roman" w:cs="Times New Roman"/>
          <w:b/>
          <w:bCs/>
          <w:sz w:val="24"/>
          <w:szCs w:val="24"/>
        </w:rPr>
      </w:pPr>
      <w:r w:rsidRPr="00CB13ED">
        <w:rPr>
          <w:rFonts w:ascii="Times New Roman" w:eastAsia="宋体" w:hAnsi="Times New Roman" w:cs="Times New Roman"/>
          <w:b/>
          <w:bCs/>
          <w:sz w:val="24"/>
          <w:szCs w:val="24"/>
        </w:rPr>
        <w:t xml:space="preserve">Enzyme-Linked Immunosorbent </w:t>
      </w:r>
      <w:bookmarkStart w:id="27" w:name="_Hlk91618170"/>
      <w:r w:rsidRPr="00CB13ED">
        <w:rPr>
          <w:rFonts w:ascii="Times New Roman" w:eastAsia="宋体" w:hAnsi="Times New Roman" w:cs="Times New Roman"/>
          <w:b/>
          <w:bCs/>
          <w:sz w:val="24"/>
          <w:szCs w:val="24"/>
        </w:rPr>
        <w:t>Assay (ELISA)</w:t>
      </w:r>
      <w:bookmarkEnd w:id="27"/>
      <w:r w:rsidRPr="00CB13ED">
        <w:rPr>
          <w:rFonts w:ascii="Times New Roman" w:hAnsi="Times New Roman" w:cs="Times New Roman"/>
          <w:b/>
          <w:bCs/>
          <w:sz w:val="24"/>
          <w:szCs w:val="24"/>
        </w:rPr>
        <w:t xml:space="preserve"> </w:t>
      </w:r>
    </w:p>
    <w:p w14:paraId="775EFF9F" w14:textId="77777777" w:rsidR="005E585D" w:rsidRPr="008662B0" w:rsidRDefault="005E585D" w:rsidP="005E585D">
      <w:pPr>
        <w:adjustRightInd w:val="0"/>
        <w:snapToGrid w:val="0"/>
        <w:spacing w:line="480" w:lineRule="auto"/>
        <w:ind w:firstLineChars="200" w:firstLine="480"/>
        <w:rPr>
          <w:rFonts w:ascii="Times New Roman" w:eastAsia="宋体" w:hAnsi="Times New Roman" w:cs="Times New Roman"/>
          <w:sz w:val="24"/>
          <w:szCs w:val="24"/>
        </w:rPr>
      </w:pPr>
      <w:r w:rsidRPr="008662B0">
        <w:rPr>
          <w:rFonts w:ascii="Times New Roman" w:eastAsia="宋体" w:hAnsi="Times New Roman" w:cs="Times New Roman"/>
          <w:sz w:val="24"/>
          <w:szCs w:val="24"/>
        </w:rPr>
        <w:t>The concentrations of IL-10, IL-1β, TGF-β and TNF-α in culture supernatants were measured by ELISA kit according to the manufacturer’s protocol, and the OD values were measured at 450 nm. The concentration of each cytokine was calculated by the linear equation derived from the standard curve of the cytokine.</w:t>
      </w:r>
    </w:p>
    <w:p w14:paraId="12816955" w14:textId="57877B3B" w:rsidR="005E585D" w:rsidRPr="00CB13ED" w:rsidRDefault="005E585D" w:rsidP="005E585D">
      <w:pPr>
        <w:adjustRightInd w:val="0"/>
        <w:snapToGrid w:val="0"/>
        <w:spacing w:line="480" w:lineRule="auto"/>
        <w:rPr>
          <w:rFonts w:ascii="Times New Roman" w:eastAsia="宋体" w:hAnsi="Times New Roman" w:cs="Times New Roman"/>
          <w:b/>
          <w:bCs/>
          <w:sz w:val="24"/>
          <w:szCs w:val="24"/>
        </w:rPr>
      </w:pPr>
      <w:r w:rsidRPr="00CB13ED">
        <w:rPr>
          <w:rFonts w:ascii="Times New Roman" w:hAnsi="Times New Roman" w:cs="Times New Roman"/>
          <w:b/>
          <w:bCs/>
          <w:sz w:val="24"/>
          <w:szCs w:val="24"/>
        </w:rPr>
        <w:t xml:space="preserve">Isolation of total RNA and </w:t>
      </w:r>
      <w:r w:rsidRPr="00CB13ED">
        <w:rPr>
          <w:rFonts w:ascii="Times New Roman" w:eastAsia="宋体" w:hAnsi="Times New Roman" w:cs="Times New Roman"/>
          <w:b/>
          <w:bCs/>
          <w:sz w:val="24"/>
          <w:szCs w:val="24"/>
        </w:rPr>
        <w:t>Realtime PCR Analysis</w:t>
      </w:r>
    </w:p>
    <w:p w14:paraId="09B28B05" w14:textId="77777777" w:rsidR="005E585D" w:rsidRPr="008662B0" w:rsidRDefault="005E585D" w:rsidP="005E585D">
      <w:pPr>
        <w:adjustRightInd w:val="0"/>
        <w:snapToGrid w:val="0"/>
        <w:spacing w:line="480" w:lineRule="auto"/>
        <w:ind w:firstLineChars="200" w:firstLine="480"/>
        <w:rPr>
          <w:rFonts w:ascii="Times New Roman" w:eastAsia="宋体" w:hAnsi="Times New Roman" w:cs="Times New Roman"/>
          <w:sz w:val="24"/>
          <w:szCs w:val="24"/>
        </w:rPr>
      </w:pPr>
      <w:r w:rsidRPr="008662B0">
        <w:rPr>
          <w:rFonts w:ascii="Times New Roman" w:eastAsia="宋体" w:hAnsi="Times New Roman" w:cs="Times New Roman"/>
          <w:sz w:val="24"/>
          <w:szCs w:val="24"/>
        </w:rPr>
        <w:t xml:space="preserve">After establishment of OGD and OGD/R model, total RNA from </w:t>
      </w:r>
      <w:r w:rsidRPr="003C0525">
        <w:rPr>
          <w:rFonts w:ascii="Times New Roman" w:hAnsi="Times New Roman" w:cs="Times New Roman"/>
          <w:sz w:val="24"/>
          <w:szCs w:val="24"/>
        </w:rPr>
        <w:t>microglia</w:t>
      </w:r>
      <w:r>
        <w:rPr>
          <w:rFonts w:ascii="Times New Roman" w:hAnsi="Times New Roman" w:cs="Times New Roman"/>
          <w:sz w:val="24"/>
          <w:szCs w:val="24"/>
        </w:rPr>
        <w:t xml:space="preserve"> cells</w:t>
      </w:r>
      <w:r w:rsidRPr="008662B0">
        <w:rPr>
          <w:rFonts w:ascii="Times New Roman" w:eastAsia="宋体" w:hAnsi="Times New Roman" w:cs="Times New Roman"/>
          <w:sz w:val="24"/>
          <w:szCs w:val="24"/>
        </w:rPr>
        <w:t xml:space="preserve"> was extracted using Trizol, according to the manufacturer’s instructions.</w:t>
      </w:r>
      <w:r w:rsidRPr="008662B0">
        <w:rPr>
          <w:rFonts w:ascii="Times New Roman" w:hAnsi="Times New Roman" w:cs="Times New Roman"/>
          <w:sz w:val="24"/>
          <w:szCs w:val="24"/>
        </w:rPr>
        <w:t xml:space="preserve"> </w:t>
      </w:r>
      <w:r w:rsidRPr="008662B0">
        <w:rPr>
          <w:rFonts w:ascii="Times New Roman" w:eastAsia="宋体" w:hAnsi="Times New Roman" w:cs="Times New Roman"/>
          <w:sz w:val="24"/>
          <w:szCs w:val="24"/>
        </w:rPr>
        <w:t xml:space="preserve">Primer sequence (5’→3’) of β-actin was </w:t>
      </w:r>
      <w:r w:rsidRPr="008662B0">
        <w:rPr>
          <w:rFonts w:ascii="Times New Roman" w:eastAsia="宋体" w:hAnsi="Times New Roman" w:cs="Times New Roman"/>
          <w:sz w:val="24"/>
          <w:szCs w:val="24"/>
        </w:rPr>
        <w:t>：</w:t>
      </w:r>
      <w:r w:rsidRPr="008662B0">
        <w:rPr>
          <w:rFonts w:ascii="Times New Roman" w:eastAsia="宋体" w:hAnsi="Times New Roman" w:cs="Times New Roman"/>
          <w:sz w:val="24"/>
          <w:szCs w:val="24"/>
        </w:rPr>
        <w:t>FTTTCCAGCCTTCCTTCTTGGGTAT, RTGTTGGCATAGAGGTCTTTACGG</w:t>
      </w:r>
      <w:r w:rsidRPr="008662B0">
        <w:rPr>
          <w:rFonts w:ascii="Times New Roman" w:eastAsia="宋体" w:hAnsi="Times New Roman" w:cs="Times New Roman"/>
          <w:sz w:val="24"/>
          <w:szCs w:val="24"/>
        </w:rPr>
        <w:t>；</w:t>
      </w:r>
      <w:r w:rsidRPr="008662B0">
        <w:rPr>
          <w:rFonts w:ascii="Times New Roman" w:eastAsia="宋体" w:hAnsi="Times New Roman" w:cs="Times New Roman"/>
          <w:sz w:val="24"/>
          <w:szCs w:val="24"/>
        </w:rPr>
        <w:t>Primer sequence (5’→3’) of Arginase-1was: FTCTCAAAAGGACAGCCTCG, RGGGACATCAACAAAGGCCAG. Realtime PCR condition was applied: 40 cycles of denaturation at 95 ℃ 2 min, annealing at 95 ℃ for 15 s and extended at 60 ℃ for 1 min.</w:t>
      </w:r>
    </w:p>
    <w:p w14:paraId="218BE794" w14:textId="038F7748" w:rsidR="005E585D" w:rsidRPr="00CB13ED" w:rsidRDefault="005E585D" w:rsidP="005E585D">
      <w:pPr>
        <w:adjustRightInd w:val="0"/>
        <w:snapToGrid w:val="0"/>
        <w:spacing w:line="480" w:lineRule="auto"/>
        <w:rPr>
          <w:rFonts w:ascii="Times New Roman" w:eastAsia="宋体" w:hAnsi="Times New Roman" w:cs="Times New Roman"/>
          <w:b/>
          <w:bCs/>
          <w:sz w:val="24"/>
          <w:szCs w:val="24"/>
        </w:rPr>
      </w:pPr>
      <w:r w:rsidRPr="00CB13ED">
        <w:rPr>
          <w:rFonts w:ascii="Times New Roman" w:eastAsia="宋体" w:hAnsi="Times New Roman" w:cs="Times New Roman"/>
          <w:b/>
          <w:bCs/>
          <w:sz w:val="24"/>
          <w:szCs w:val="24"/>
        </w:rPr>
        <w:t>Western blotting analysis</w:t>
      </w:r>
    </w:p>
    <w:p w14:paraId="0F3FEB6A" w14:textId="77777777" w:rsidR="005E585D" w:rsidRPr="008662B0" w:rsidRDefault="005E585D" w:rsidP="005E585D">
      <w:pPr>
        <w:adjustRightInd w:val="0"/>
        <w:snapToGrid w:val="0"/>
        <w:spacing w:line="480" w:lineRule="auto"/>
        <w:ind w:firstLineChars="200" w:firstLine="480"/>
        <w:rPr>
          <w:rFonts w:ascii="Times New Roman" w:eastAsia="宋体" w:hAnsi="Times New Roman" w:cs="Times New Roman"/>
          <w:sz w:val="24"/>
          <w:szCs w:val="24"/>
        </w:rPr>
      </w:pPr>
      <w:bookmarkStart w:id="28" w:name="OLE_LINK20"/>
      <w:r w:rsidRPr="008662B0">
        <w:rPr>
          <w:rFonts w:ascii="Times New Roman" w:eastAsia="宋体" w:hAnsi="Times New Roman" w:cs="Times New Roman"/>
          <w:sz w:val="24"/>
          <w:szCs w:val="24"/>
        </w:rPr>
        <w:t>Western blot</w:t>
      </w:r>
      <w:r>
        <w:rPr>
          <w:rFonts w:ascii="Times New Roman" w:eastAsia="宋体" w:hAnsi="Times New Roman" w:cs="Times New Roman"/>
          <w:sz w:val="24"/>
          <w:szCs w:val="24"/>
        </w:rPr>
        <w:t>ting</w:t>
      </w:r>
      <w:r w:rsidRPr="008662B0">
        <w:rPr>
          <w:rFonts w:ascii="Times New Roman" w:eastAsia="宋体" w:hAnsi="Times New Roman" w:cs="Times New Roman"/>
          <w:sz w:val="24"/>
          <w:szCs w:val="24"/>
        </w:rPr>
        <w:t xml:space="preserve"> experiment was performed </w:t>
      </w:r>
      <w:bookmarkEnd w:id="28"/>
      <w:r w:rsidRPr="008662B0">
        <w:rPr>
          <w:rFonts w:ascii="Times New Roman" w:eastAsia="宋体" w:hAnsi="Times New Roman" w:cs="Times New Roman"/>
          <w:sz w:val="24"/>
          <w:szCs w:val="24"/>
        </w:rPr>
        <w:t xml:space="preserve">to detect protein expression as previously described. After establishment of OGD and OGD/R model, cells were harvested and washed twice with ice-cold PBS, and lysed using the RIPA protein </w:t>
      </w:r>
      <w:r w:rsidRPr="008662B0">
        <w:rPr>
          <w:rFonts w:ascii="Times New Roman" w:eastAsia="宋体" w:hAnsi="Times New Roman" w:cs="Times New Roman"/>
          <w:sz w:val="24"/>
          <w:szCs w:val="24"/>
        </w:rPr>
        <w:lastRenderedPageBreak/>
        <w:t>extraction solution.</w:t>
      </w:r>
      <w:r w:rsidRPr="008662B0">
        <w:rPr>
          <w:rFonts w:ascii="Times New Roman" w:hAnsi="Times New Roman" w:cs="Times New Roman"/>
          <w:sz w:val="24"/>
          <w:szCs w:val="24"/>
        </w:rPr>
        <w:t xml:space="preserve"> The protein concentrations were determined using </w:t>
      </w:r>
      <w:r w:rsidRPr="008662B0">
        <w:rPr>
          <w:rFonts w:ascii="Times New Roman" w:eastAsia="宋体" w:hAnsi="Times New Roman" w:cs="Times New Roman"/>
          <w:sz w:val="24"/>
          <w:szCs w:val="24"/>
        </w:rPr>
        <w:t>BCA protein assay kit. Proteins were separated by sodium dodecyl sulfate poly-acrylamide gel electrophoresis (SDS-PAGE) and transferred onto polyvinylidene difluoride (PVDF) membranes. After being blocked with 5% (W/V) skim milk, the membranes were incubated with the primary antibodies and then incubated with goat anti-mouse/rabbit IgG (1:6000) for 1 hour at room temperature. The primary antibodies used were as follows: against cleaved-caspase 3 (1:5000), Bax (1:5000-1:12000), Bcl-2 (1:1000-1:4000), NF-κB p65 (1:1,000-1:2,000), INOS (1:500-1:4000), BDNF (1:1000-1:4000), Nrf2 (1:500-1:2000), JNK (1:3000-1:20000), P-JNK (1:300-1:1000), P38 (1:500-1:2000), P-P38 (1:750), AKT (1:5000-1:50000), P-AKT (1:2000-1:10000), SOD1 (1:1000-1:8000), MMP2 (1:1000-1:6000), MMP9 (1:500-1:1000).</w:t>
      </w:r>
      <w:r w:rsidRPr="008662B0">
        <w:rPr>
          <w:rFonts w:ascii="Times New Roman" w:hAnsi="Times New Roman" w:cs="Times New Roman"/>
          <w:sz w:val="24"/>
          <w:szCs w:val="24"/>
        </w:rPr>
        <w:t xml:space="preserve"> </w:t>
      </w:r>
      <w:r w:rsidRPr="008662B0">
        <w:rPr>
          <w:rFonts w:ascii="Times New Roman" w:eastAsia="宋体" w:hAnsi="Times New Roman" w:cs="Times New Roman"/>
          <w:sz w:val="24"/>
          <w:szCs w:val="24"/>
        </w:rPr>
        <w:t>The immunoreactive bands were detected using ECL Detection Kit.</w:t>
      </w:r>
    </w:p>
    <w:p w14:paraId="22370266" w14:textId="31DFA766" w:rsidR="005E585D" w:rsidRPr="00CB13ED" w:rsidRDefault="005E585D" w:rsidP="005E585D">
      <w:pPr>
        <w:spacing w:line="480" w:lineRule="auto"/>
        <w:rPr>
          <w:rFonts w:ascii="Times New Roman" w:eastAsia="宋体" w:hAnsi="Times New Roman" w:cs="Times New Roman"/>
          <w:b/>
          <w:bCs/>
          <w:sz w:val="24"/>
          <w:szCs w:val="24"/>
        </w:rPr>
      </w:pPr>
      <w:r w:rsidRPr="00CB13ED">
        <w:rPr>
          <w:rFonts w:ascii="Times New Roman" w:eastAsia="宋体" w:hAnsi="Times New Roman" w:cs="Times New Roman"/>
          <w:b/>
          <w:bCs/>
          <w:sz w:val="24"/>
          <w:szCs w:val="24"/>
        </w:rPr>
        <w:t>Statistical analysis</w:t>
      </w:r>
    </w:p>
    <w:p w14:paraId="3363C212" w14:textId="77777777" w:rsidR="005E585D" w:rsidRPr="008662B0" w:rsidRDefault="005E585D" w:rsidP="005E585D">
      <w:pPr>
        <w:spacing w:line="480" w:lineRule="auto"/>
        <w:ind w:firstLineChars="200" w:firstLine="480"/>
        <w:rPr>
          <w:rFonts w:ascii="Times New Roman" w:eastAsia="宋体" w:hAnsi="Times New Roman" w:cs="Times New Roman"/>
          <w:sz w:val="24"/>
          <w:szCs w:val="24"/>
        </w:rPr>
      </w:pPr>
      <w:r w:rsidRPr="008662B0">
        <w:rPr>
          <w:rFonts w:ascii="Times New Roman" w:eastAsia="宋体" w:hAnsi="Times New Roman" w:cs="Times New Roman"/>
          <w:sz w:val="24"/>
          <w:szCs w:val="24"/>
        </w:rPr>
        <w:t>Data were repeated for three times and presented as mean ± standard deviation (SD). All data were analyzed using Origin 8.5 software.</w:t>
      </w:r>
      <w:r w:rsidRPr="008662B0">
        <w:rPr>
          <w:rFonts w:ascii="Times New Roman" w:hAnsi="Times New Roman" w:cs="Times New Roman"/>
          <w:sz w:val="24"/>
          <w:szCs w:val="24"/>
        </w:rPr>
        <w:t xml:space="preserve"> </w:t>
      </w:r>
      <w:r w:rsidRPr="008662B0">
        <w:rPr>
          <w:rFonts w:ascii="Times New Roman" w:eastAsia="宋体" w:hAnsi="Times New Roman" w:cs="Times New Roman"/>
          <w:sz w:val="24"/>
          <w:szCs w:val="24"/>
        </w:rPr>
        <w:t>Statistical analyses were carried out with Duncan's multiple-range test using SPSS 18.0 software (SPSS, Inc., Chicago, IL, USA). Values of p&lt;0.05 were considered statistically significant.</w:t>
      </w:r>
    </w:p>
    <w:p w14:paraId="12DDCB30" w14:textId="61C8A616" w:rsidR="00283B09" w:rsidRPr="00CB13ED" w:rsidRDefault="00283B09" w:rsidP="00CB13ED">
      <w:pPr>
        <w:spacing w:line="360" w:lineRule="auto"/>
        <w:rPr>
          <w:rFonts w:ascii="Times New Roman" w:eastAsia="宋体" w:hAnsi="Times New Roman" w:cs="Times New Roman" w:hint="eastAsia"/>
          <w:b/>
          <w:bCs/>
          <w:sz w:val="24"/>
          <w:szCs w:val="28"/>
        </w:rPr>
      </w:pPr>
    </w:p>
    <w:p w14:paraId="53AE2860" w14:textId="6C25CE44" w:rsidR="00F27C04" w:rsidRPr="009A4F56" w:rsidRDefault="00F27C04" w:rsidP="00F27C04">
      <w:pPr>
        <w:spacing w:line="360" w:lineRule="auto"/>
        <w:jc w:val="center"/>
        <w:rPr>
          <w:rFonts w:ascii="Times New Roman" w:eastAsia="宋体" w:hAnsi="Times New Roman" w:cs="Times New Roman"/>
          <w:sz w:val="24"/>
          <w:szCs w:val="28"/>
        </w:rPr>
      </w:pPr>
      <w:r w:rsidRPr="00F27C04">
        <w:rPr>
          <w:rFonts w:ascii="Times New Roman" w:eastAsia="宋体" w:hAnsi="Times New Roman" w:cs="Times New Roman"/>
          <w:b/>
          <w:bCs/>
          <w:sz w:val="24"/>
          <w:szCs w:val="28"/>
        </w:rPr>
        <w:t>Table S</w:t>
      </w:r>
      <w:r w:rsidR="003A18B8">
        <w:rPr>
          <w:rFonts w:ascii="Times New Roman" w:eastAsia="宋体" w:hAnsi="Times New Roman" w:cs="Times New Roman"/>
          <w:b/>
          <w:bCs/>
          <w:sz w:val="24"/>
          <w:szCs w:val="28"/>
        </w:rPr>
        <w:t>1</w:t>
      </w:r>
      <w:r w:rsidRPr="009A4F56">
        <w:rPr>
          <w:rFonts w:ascii="Times New Roman" w:eastAsia="宋体" w:hAnsi="Times New Roman" w:cs="Times New Roman"/>
          <w:sz w:val="24"/>
          <w:szCs w:val="28"/>
        </w:rPr>
        <w:t xml:space="preserve"> The results of GO enrichment analysis</w:t>
      </w:r>
    </w:p>
    <w:tbl>
      <w:tblPr>
        <w:tblStyle w:val="a7"/>
        <w:tblW w:w="9719"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1701"/>
        <w:gridCol w:w="3686"/>
        <w:gridCol w:w="3765"/>
      </w:tblGrid>
      <w:tr w:rsidR="00F27C04" w:rsidRPr="009A4F56" w14:paraId="051F5CBB" w14:textId="77777777">
        <w:trPr>
          <w:trHeight w:val="582"/>
          <w:jc w:val="center"/>
        </w:trPr>
        <w:tc>
          <w:tcPr>
            <w:tcW w:w="567" w:type="dxa"/>
            <w:tcBorders>
              <w:top w:val="single" w:sz="12" w:space="0" w:color="auto"/>
              <w:bottom w:val="single" w:sz="12" w:space="0" w:color="auto"/>
            </w:tcBorders>
          </w:tcPr>
          <w:p w14:paraId="5B4FCAEF" w14:textId="77777777" w:rsidR="00F27C04" w:rsidRPr="009A4F56" w:rsidRDefault="00F27C04">
            <w:pPr>
              <w:spacing w:line="360" w:lineRule="auto"/>
              <w:jc w:val="center"/>
              <w:rPr>
                <w:rFonts w:ascii="Times New Roman" w:eastAsia="宋体" w:hAnsi="Times New Roman" w:cs="Times New Roman"/>
                <w:sz w:val="24"/>
                <w:szCs w:val="24"/>
              </w:rPr>
            </w:pPr>
          </w:p>
        </w:tc>
        <w:tc>
          <w:tcPr>
            <w:tcW w:w="1701" w:type="dxa"/>
            <w:tcBorders>
              <w:top w:val="single" w:sz="12" w:space="0" w:color="auto"/>
              <w:bottom w:val="single" w:sz="12" w:space="0" w:color="auto"/>
            </w:tcBorders>
          </w:tcPr>
          <w:p w14:paraId="1F29076C"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GO-ID</w:t>
            </w:r>
          </w:p>
        </w:tc>
        <w:tc>
          <w:tcPr>
            <w:tcW w:w="3686" w:type="dxa"/>
            <w:tcBorders>
              <w:top w:val="single" w:sz="12" w:space="0" w:color="auto"/>
              <w:bottom w:val="single" w:sz="12" w:space="0" w:color="auto"/>
            </w:tcBorders>
          </w:tcPr>
          <w:p w14:paraId="040E707D"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GO-Name</w:t>
            </w:r>
          </w:p>
        </w:tc>
        <w:tc>
          <w:tcPr>
            <w:tcW w:w="3765" w:type="dxa"/>
            <w:tcBorders>
              <w:top w:val="single" w:sz="12" w:space="0" w:color="auto"/>
              <w:bottom w:val="single" w:sz="12" w:space="0" w:color="auto"/>
            </w:tcBorders>
          </w:tcPr>
          <w:p w14:paraId="38FE0C01"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Genes</w:t>
            </w:r>
          </w:p>
        </w:tc>
      </w:tr>
      <w:tr w:rsidR="00F27C04" w:rsidRPr="009A4F56" w14:paraId="5B684A25" w14:textId="77777777">
        <w:trPr>
          <w:trHeight w:val="972"/>
          <w:jc w:val="center"/>
        </w:trPr>
        <w:tc>
          <w:tcPr>
            <w:tcW w:w="567" w:type="dxa"/>
            <w:tcBorders>
              <w:top w:val="single" w:sz="12" w:space="0" w:color="auto"/>
            </w:tcBorders>
          </w:tcPr>
          <w:p w14:paraId="1F3527A9"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BP</w:t>
            </w:r>
          </w:p>
        </w:tc>
        <w:tc>
          <w:tcPr>
            <w:tcW w:w="1701" w:type="dxa"/>
            <w:tcBorders>
              <w:top w:val="single" w:sz="12" w:space="0" w:color="auto"/>
            </w:tcBorders>
          </w:tcPr>
          <w:p w14:paraId="553F3AF0" w14:textId="77777777" w:rsidR="00F27C04" w:rsidRPr="009A4F56" w:rsidRDefault="00F27C04">
            <w:pPr>
              <w:widowControl/>
              <w:jc w:val="center"/>
              <w:rPr>
                <w:rFonts w:ascii="Times New Roman" w:eastAsia="等线" w:hAnsi="Times New Roman" w:cs="Times New Roman"/>
                <w:color w:val="000000"/>
                <w:sz w:val="24"/>
                <w:szCs w:val="24"/>
              </w:rPr>
            </w:pPr>
            <w:r w:rsidRPr="009A4F56">
              <w:rPr>
                <w:rFonts w:ascii="Times New Roman" w:eastAsia="等线" w:hAnsi="Times New Roman" w:cs="Times New Roman"/>
                <w:color w:val="000000"/>
                <w:sz w:val="24"/>
                <w:szCs w:val="24"/>
              </w:rPr>
              <w:t>GO:0050901</w:t>
            </w:r>
          </w:p>
          <w:p w14:paraId="75C4DA08" w14:textId="77777777" w:rsidR="00F27C04" w:rsidRPr="009A4F56" w:rsidRDefault="00F27C04">
            <w:pPr>
              <w:spacing w:line="360" w:lineRule="auto"/>
              <w:jc w:val="center"/>
              <w:rPr>
                <w:rFonts w:ascii="Times New Roman" w:eastAsia="宋体" w:hAnsi="Times New Roman" w:cs="Times New Roman"/>
                <w:sz w:val="24"/>
                <w:szCs w:val="24"/>
              </w:rPr>
            </w:pPr>
          </w:p>
        </w:tc>
        <w:tc>
          <w:tcPr>
            <w:tcW w:w="3686" w:type="dxa"/>
            <w:tcBorders>
              <w:top w:val="single" w:sz="12" w:space="0" w:color="auto"/>
            </w:tcBorders>
          </w:tcPr>
          <w:p w14:paraId="1BED64BD"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等线" w:hAnsi="Times New Roman" w:cs="Times New Roman"/>
                <w:color w:val="000000"/>
                <w:sz w:val="24"/>
                <w:szCs w:val="24"/>
              </w:rPr>
              <w:t>Leukocyte tethering or rolling</w:t>
            </w:r>
          </w:p>
        </w:tc>
        <w:tc>
          <w:tcPr>
            <w:tcW w:w="3765" w:type="dxa"/>
            <w:tcBorders>
              <w:top w:val="single" w:sz="12" w:space="0" w:color="auto"/>
            </w:tcBorders>
          </w:tcPr>
          <w:p w14:paraId="7D3E55A3"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SELP</w:t>
            </w:r>
            <w:r w:rsidRPr="009A4F56">
              <w:rPr>
                <w:rFonts w:ascii="Times New Roman" w:eastAsia="宋体" w:hAnsi="Times New Roman" w:cs="Times New Roman"/>
                <w:sz w:val="24"/>
                <w:szCs w:val="24"/>
              </w:rPr>
              <w:t>、</w:t>
            </w:r>
            <w:r w:rsidRPr="009A4F56">
              <w:rPr>
                <w:rFonts w:ascii="Times New Roman" w:eastAsia="宋体" w:hAnsi="Times New Roman" w:cs="Times New Roman"/>
                <w:sz w:val="24"/>
                <w:szCs w:val="24"/>
              </w:rPr>
              <w:t>VCAM1</w:t>
            </w:r>
            <w:r w:rsidRPr="009A4F56">
              <w:rPr>
                <w:rFonts w:ascii="Times New Roman" w:eastAsia="宋体" w:hAnsi="Times New Roman" w:cs="Times New Roman"/>
                <w:sz w:val="24"/>
                <w:szCs w:val="24"/>
              </w:rPr>
              <w:t>、</w:t>
            </w:r>
            <w:r w:rsidRPr="009A4F56">
              <w:rPr>
                <w:rFonts w:ascii="Times New Roman" w:eastAsia="宋体" w:hAnsi="Times New Roman" w:cs="Times New Roman"/>
                <w:sz w:val="24"/>
                <w:szCs w:val="24"/>
              </w:rPr>
              <w:t>TNF</w:t>
            </w:r>
          </w:p>
        </w:tc>
      </w:tr>
      <w:tr w:rsidR="00F27C04" w:rsidRPr="009A4F56" w14:paraId="037E5DB5" w14:textId="77777777">
        <w:trPr>
          <w:trHeight w:val="582"/>
          <w:jc w:val="center"/>
        </w:trPr>
        <w:tc>
          <w:tcPr>
            <w:tcW w:w="567" w:type="dxa"/>
            <w:vMerge w:val="restart"/>
          </w:tcPr>
          <w:p w14:paraId="4AF15810" w14:textId="77777777" w:rsidR="00F27C04" w:rsidRPr="009A4F56" w:rsidRDefault="00F27C04">
            <w:pPr>
              <w:spacing w:line="360" w:lineRule="auto"/>
              <w:jc w:val="center"/>
              <w:rPr>
                <w:rFonts w:ascii="Times New Roman" w:eastAsia="宋体" w:hAnsi="Times New Roman" w:cs="Times New Roman"/>
                <w:sz w:val="24"/>
                <w:szCs w:val="24"/>
              </w:rPr>
            </w:pPr>
          </w:p>
          <w:p w14:paraId="27CC49DC"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CC</w:t>
            </w:r>
          </w:p>
        </w:tc>
        <w:tc>
          <w:tcPr>
            <w:tcW w:w="1701" w:type="dxa"/>
          </w:tcPr>
          <w:p w14:paraId="633A53E9"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GO:0005615</w:t>
            </w:r>
          </w:p>
        </w:tc>
        <w:tc>
          <w:tcPr>
            <w:tcW w:w="3686" w:type="dxa"/>
          </w:tcPr>
          <w:p w14:paraId="4FB20D6D" w14:textId="77777777" w:rsidR="00F27C04" w:rsidRPr="009A4F56" w:rsidRDefault="00F27C04">
            <w:pPr>
              <w:widowControl/>
              <w:jc w:val="center"/>
              <w:rPr>
                <w:rFonts w:ascii="Times New Roman" w:eastAsia="等线" w:hAnsi="Times New Roman" w:cs="Times New Roman"/>
                <w:color w:val="000000"/>
                <w:sz w:val="24"/>
                <w:szCs w:val="24"/>
              </w:rPr>
            </w:pPr>
            <w:r w:rsidRPr="009A4F56">
              <w:rPr>
                <w:rFonts w:ascii="Times New Roman" w:eastAsia="宋体" w:hAnsi="Times New Roman" w:cs="Times New Roman"/>
                <w:sz w:val="24"/>
                <w:szCs w:val="24"/>
              </w:rPr>
              <w:t>Extracellular space</w:t>
            </w:r>
          </w:p>
        </w:tc>
        <w:tc>
          <w:tcPr>
            <w:tcW w:w="3765" w:type="dxa"/>
          </w:tcPr>
          <w:p w14:paraId="7CB9EB21"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等线" w:hAnsi="Times New Roman" w:cs="Times New Roman"/>
                <w:color w:val="000000"/>
                <w:sz w:val="24"/>
                <w:szCs w:val="24"/>
              </w:rPr>
              <w:t>SELP</w:t>
            </w:r>
            <w:r w:rsidRPr="009A4F56">
              <w:rPr>
                <w:rFonts w:ascii="Times New Roman" w:eastAsia="等线" w:hAnsi="Times New Roman" w:cs="Times New Roman"/>
                <w:color w:val="000000"/>
                <w:sz w:val="24"/>
                <w:szCs w:val="24"/>
              </w:rPr>
              <w:t>、</w:t>
            </w:r>
            <w:r w:rsidRPr="009A4F56">
              <w:rPr>
                <w:rFonts w:ascii="Times New Roman" w:eastAsia="等线" w:hAnsi="Times New Roman" w:cs="Times New Roman"/>
                <w:color w:val="000000"/>
                <w:sz w:val="24"/>
                <w:szCs w:val="24"/>
              </w:rPr>
              <w:t>VCAM1</w:t>
            </w:r>
            <w:r w:rsidRPr="009A4F56">
              <w:rPr>
                <w:rFonts w:ascii="Times New Roman" w:eastAsia="等线" w:hAnsi="Times New Roman" w:cs="Times New Roman"/>
                <w:color w:val="000000"/>
                <w:sz w:val="24"/>
                <w:szCs w:val="24"/>
              </w:rPr>
              <w:t>、</w:t>
            </w:r>
            <w:r w:rsidRPr="009A4F56">
              <w:rPr>
                <w:rFonts w:ascii="Times New Roman" w:eastAsia="等线" w:hAnsi="Times New Roman" w:cs="Times New Roman"/>
                <w:color w:val="000000"/>
                <w:sz w:val="24"/>
                <w:szCs w:val="24"/>
              </w:rPr>
              <w:t xml:space="preserve"> MMP2</w:t>
            </w:r>
            <w:r w:rsidRPr="009A4F56">
              <w:rPr>
                <w:rFonts w:ascii="Times New Roman" w:eastAsia="等线" w:hAnsi="Times New Roman" w:cs="Times New Roman"/>
                <w:color w:val="000000"/>
                <w:sz w:val="24"/>
                <w:szCs w:val="24"/>
              </w:rPr>
              <w:t>、</w:t>
            </w:r>
            <w:r w:rsidRPr="009A4F56">
              <w:rPr>
                <w:rFonts w:ascii="Times New Roman" w:eastAsia="等线" w:hAnsi="Times New Roman" w:cs="Times New Roman"/>
                <w:color w:val="000000"/>
                <w:sz w:val="24"/>
                <w:szCs w:val="24"/>
              </w:rPr>
              <w:t>PLAT</w:t>
            </w:r>
            <w:r w:rsidRPr="009A4F56">
              <w:rPr>
                <w:rFonts w:ascii="Times New Roman" w:eastAsia="等线" w:hAnsi="Times New Roman" w:cs="Times New Roman"/>
                <w:color w:val="000000"/>
                <w:sz w:val="24"/>
                <w:szCs w:val="24"/>
              </w:rPr>
              <w:t>、</w:t>
            </w:r>
            <w:r w:rsidRPr="009A4F56">
              <w:rPr>
                <w:rFonts w:ascii="Times New Roman" w:eastAsia="等线" w:hAnsi="Times New Roman" w:cs="Times New Roman"/>
                <w:color w:val="000000"/>
                <w:sz w:val="24"/>
                <w:szCs w:val="24"/>
              </w:rPr>
              <w:t>TNF</w:t>
            </w:r>
          </w:p>
        </w:tc>
      </w:tr>
      <w:tr w:rsidR="00F27C04" w:rsidRPr="009A4F56" w14:paraId="45326F7B" w14:textId="77777777">
        <w:trPr>
          <w:trHeight w:val="582"/>
          <w:jc w:val="center"/>
        </w:trPr>
        <w:tc>
          <w:tcPr>
            <w:tcW w:w="567" w:type="dxa"/>
            <w:vMerge/>
          </w:tcPr>
          <w:p w14:paraId="21DDA107" w14:textId="77777777" w:rsidR="00F27C04" w:rsidRPr="009A4F56" w:rsidRDefault="00F27C04">
            <w:pPr>
              <w:spacing w:line="360" w:lineRule="auto"/>
              <w:jc w:val="center"/>
              <w:rPr>
                <w:rFonts w:ascii="Times New Roman" w:eastAsia="宋体" w:hAnsi="Times New Roman" w:cs="Times New Roman"/>
                <w:sz w:val="24"/>
                <w:szCs w:val="24"/>
              </w:rPr>
            </w:pPr>
          </w:p>
        </w:tc>
        <w:tc>
          <w:tcPr>
            <w:tcW w:w="1701" w:type="dxa"/>
          </w:tcPr>
          <w:p w14:paraId="4E774CD4"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GO:0009897</w:t>
            </w:r>
          </w:p>
        </w:tc>
        <w:tc>
          <w:tcPr>
            <w:tcW w:w="3686" w:type="dxa"/>
          </w:tcPr>
          <w:p w14:paraId="51CB3F33" w14:textId="77777777" w:rsidR="00F27C04" w:rsidRPr="009A4F56" w:rsidRDefault="00F27C04">
            <w:pPr>
              <w:widowControl/>
              <w:jc w:val="center"/>
              <w:rPr>
                <w:rFonts w:ascii="Times New Roman" w:eastAsia="等线" w:hAnsi="Times New Roman" w:cs="Times New Roman"/>
                <w:color w:val="000000"/>
                <w:sz w:val="24"/>
                <w:szCs w:val="24"/>
              </w:rPr>
            </w:pPr>
            <w:r w:rsidRPr="009A4F56">
              <w:rPr>
                <w:rFonts w:ascii="Times New Roman" w:eastAsia="宋体" w:hAnsi="Times New Roman" w:cs="Times New Roman"/>
                <w:sz w:val="24"/>
                <w:szCs w:val="24"/>
              </w:rPr>
              <w:t>External side of plasma membrane</w:t>
            </w:r>
          </w:p>
        </w:tc>
        <w:tc>
          <w:tcPr>
            <w:tcW w:w="3765" w:type="dxa"/>
          </w:tcPr>
          <w:p w14:paraId="7D446DBA"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等线" w:hAnsi="Times New Roman" w:cs="Times New Roman"/>
                <w:color w:val="000000"/>
                <w:sz w:val="24"/>
                <w:szCs w:val="24"/>
              </w:rPr>
              <w:t>SELP</w:t>
            </w:r>
            <w:r w:rsidRPr="009A4F56">
              <w:rPr>
                <w:rFonts w:ascii="Times New Roman" w:eastAsia="等线" w:hAnsi="Times New Roman" w:cs="Times New Roman"/>
                <w:color w:val="000000"/>
                <w:sz w:val="24"/>
                <w:szCs w:val="24"/>
              </w:rPr>
              <w:t>、</w:t>
            </w:r>
            <w:r w:rsidRPr="009A4F56">
              <w:rPr>
                <w:rFonts w:ascii="Times New Roman" w:eastAsia="等线" w:hAnsi="Times New Roman" w:cs="Times New Roman"/>
                <w:color w:val="000000"/>
                <w:sz w:val="24"/>
                <w:szCs w:val="24"/>
              </w:rPr>
              <w:t>VCAM1</w:t>
            </w:r>
            <w:r w:rsidRPr="009A4F56">
              <w:rPr>
                <w:rFonts w:ascii="Times New Roman" w:eastAsia="等线" w:hAnsi="Times New Roman" w:cs="Times New Roman"/>
                <w:color w:val="000000"/>
                <w:sz w:val="24"/>
                <w:szCs w:val="24"/>
              </w:rPr>
              <w:t>、</w:t>
            </w:r>
            <w:r w:rsidRPr="009A4F56">
              <w:rPr>
                <w:rFonts w:ascii="Times New Roman" w:eastAsia="等线" w:hAnsi="Times New Roman" w:cs="Times New Roman"/>
                <w:color w:val="000000"/>
                <w:sz w:val="24"/>
                <w:szCs w:val="24"/>
              </w:rPr>
              <w:t>TNF</w:t>
            </w:r>
          </w:p>
        </w:tc>
      </w:tr>
      <w:tr w:rsidR="00F27C04" w:rsidRPr="009A4F56" w14:paraId="4F767B26" w14:textId="77777777">
        <w:trPr>
          <w:trHeight w:val="582"/>
          <w:jc w:val="center"/>
        </w:trPr>
        <w:tc>
          <w:tcPr>
            <w:tcW w:w="567" w:type="dxa"/>
            <w:vMerge/>
          </w:tcPr>
          <w:p w14:paraId="3AEBA5B7" w14:textId="77777777" w:rsidR="00F27C04" w:rsidRPr="009A4F56" w:rsidRDefault="00F27C04">
            <w:pPr>
              <w:spacing w:line="360" w:lineRule="auto"/>
              <w:jc w:val="center"/>
              <w:rPr>
                <w:rFonts w:ascii="Times New Roman" w:eastAsia="宋体" w:hAnsi="Times New Roman" w:cs="Times New Roman"/>
                <w:sz w:val="24"/>
                <w:szCs w:val="24"/>
              </w:rPr>
            </w:pPr>
          </w:p>
        </w:tc>
        <w:tc>
          <w:tcPr>
            <w:tcW w:w="1701" w:type="dxa"/>
          </w:tcPr>
          <w:p w14:paraId="7D4123C3"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GO:0005794</w:t>
            </w:r>
          </w:p>
        </w:tc>
        <w:tc>
          <w:tcPr>
            <w:tcW w:w="3686" w:type="dxa"/>
          </w:tcPr>
          <w:p w14:paraId="4705D837"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Golgi apparatus</w:t>
            </w:r>
          </w:p>
        </w:tc>
        <w:tc>
          <w:tcPr>
            <w:tcW w:w="3765" w:type="dxa"/>
          </w:tcPr>
          <w:p w14:paraId="464490DE"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VCAM1</w:t>
            </w:r>
            <w:r w:rsidRPr="009A4F56">
              <w:rPr>
                <w:rFonts w:ascii="Times New Roman" w:eastAsia="宋体" w:hAnsi="Times New Roman" w:cs="Times New Roman"/>
                <w:sz w:val="24"/>
                <w:szCs w:val="24"/>
              </w:rPr>
              <w:t>、</w:t>
            </w:r>
            <w:r w:rsidRPr="009A4F56">
              <w:rPr>
                <w:rFonts w:ascii="Times New Roman" w:eastAsia="宋体" w:hAnsi="Times New Roman" w:cs="Times New Roman"/>
                <w:sz w:val="24"/>
                <w:szCs w:val="24"/>
              </w:rPr>
              <w:t xml:space="preserve"> NOS3</w:t>
            </w:r>
            <w:r w:rsidRPr="009A4F56">
              <w:rPr>
                <w:rFonts w:ascii="Times New Roman" w:eastAsia="宋体" w:hAnsi="Times New Roman" w:cs="Times New Roman"/>
                <w:sz w:val="24"/>
                <w:szCs w:val="24"/>
              </w:rPr>
              <w:t>、</w:t>
            </w:r>
            <w:r w:rsidRPr="009A4F56">
              <w:rPr>
                <w:rFonts w:ascii="Times New Roman" w:eastAsia="宋体" w:hAnsi="Times New Roman" w:cs="Times New Roman"/>
                <w:sz w:val="24"/>
                <w:szCs w:val="24"/>
              </w:rPr>
              <w:t xml:space="preserve"> ESR1</w:t>
            </w:r>
          </w:p>
        </w:tc>
      </w:tr>
      <w:tr w:rsidR="00F27C04" w:rsidRPr="009A4F56" w14:paraId="089C35EB" w14:textId="77777777">
        <w:trPr>
          <w:trHeight w:val="582"/>
          <w:jc w:val="center"/>
        </w:trPr>
        <w:tc>
          <w:tcPr>
            <w:tcW w:w="567" w:type="dxa"/>
          </w:tcPr>
          <w:p w14:paraId="0F5F4D3B"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MF</w:t>
            </w:r>
          </w:p>
        </w:tc>
        <w:tc>
          <w:tcPr>
            <w:tcW w:w="1701" w:type="dxa"/>
          </w:tcPr>
          <w:p w14:paraId="56227D8A"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GO:0004252</w:t>
            </w:r>
          </w:p>
        </w:tc>
        <w:tc>
          <w:tcPr>
            <w:tcW w:w="3686" w:type="dxa"/>
          </w:tcPr>
          <w:p w14:paraId="0436FE50"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Serine-type endopeptidase activity</w:t>
            </w:r>
          </w:p>
        </w:tc>
        <w:tc>
          <w:tcPr>
            <w:tcW w:w="3765" w:type="dxa"/>
          </w:tcPr>
          <w:p w14:paraId="4CC6FB1C"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MMP2</w:t>
            </w:r>
            <w:r w:rsidRPr="009A4F56">
              <w:rPr>
                <w:rFonts w:ascii="Times New Roman" w:eastAsia="宋体" w:hAnsi="Times New Roman" w:cs="Times New Roman"/>
                <w:sz w:val="24"/>
                <w:szCs w:val="24"/>
              </w:rPr>
              <w:t>、</w:t>
            </w:r>
            <w:r w:rsidRPr="009A4F56">
              <w:rPr>
                <w:rFonts w:ascii="Times New Roman" w:eastAsia="宋体" w:hAnsi="Times New Roman" w:cs="Times New Roman"/>
                <w:sz w:val="24"/>
                <w:szCs w:val="24"/>
              </w:rPr>
              <w:t>PLAT</w:t>
            </w:r>
            <w:r w:rsidRPr="009A4F56">
              <w:rPr>
                <w:rFonts w:ascii="Times New Roman" w:eastAsia="宋体" w:hAnsi="Times New Roman" w:cs="Times New Roman"/>
                <w:sz w:val="24"/>
                <w:szCs w:val="24"/>
              </w:rPr>
              <w:t>、</w:t>
            </w:r>
            <w:r w:rsidRPr="009A4F56">
              <w:rPr>
                <w:rFonts w:ascii="Times New Roman" w:eastAsia="宋体" w:hAnsi="Times New Roman" w:cs="Times New Roman"/>
                <w:sz w:val="24"/>
                <w:szCs w:val="24"/>
              </w:rPr>
              <w:t>F2</w:t>
            </w:r>
          </w:p>
        </w:tc>
      </w:tr>
    </w:tbl>
    <w:p w14:paraId="6BCD3C8E" w14:textId="77777777" w:rsidR="00F27C04" w:rsidRPr="009A4F56" w:rsidRDefault="00F27C04" w:rsidP="00F27C04">
      <w:pPr>
        <w:adjustRightInd w:val="0"/>
        <w:snapToGrid w:val="0"/>
        <w:spacing w:line="480" w:lineRule="auto"/>
        <w:ind w:firstLineChars="200" w:firstLine="480"/>
        <w:rPr>
          <w:rFonts w:ascii="Times New Roman" w:hAnsi="Times New Roman" w:cs="Times New Roman"/>
          <w:sz w:val="24"/>
          <w:szCs w:val="24"/>
        </w:rPr>
      </w:pPr>
    </w:p>
    <w:p w14:paraId="3B98F8AA" w14:textId="68BF8E17" w:rsidR="00F27C04" w:rsidRPr="009A4F56" w:rsidRDefault="00F27C04" w:rsidP="00F27C04">
      <w:pPr>
        <w:spacing w:line="360" w:lineRule="auto"/>
        <w:ind w:firstLineChars="200" w:firstLine="482"/>
        <w:jc w:val="center"/>
        <w:rPr>
          <w:rFonts w:ascii="Times New Roman" w:eastAsia="宋体" w:hAnsi="Times New Roman" w:cs="Times New Roman"/>
          <w:sz w:val="24"/>
          <w:szCs w:val="28"/>
        </w:rPr>
      </w:pPr>
      <w:r w:rsidRPr="00F27C04">
        <w:rPr>
          <w:rFonts w:ascii="Times New Roman" w:eastAsia="宋体" w:hAnsi="Times New Roman" w:cs="Times New Roman"/>
          <w:b/>
          <w:bCs/>
          <w:sz w:val="24"/>
          <w:szCs w:val="28"/>
        </w:rPr>
        <w:t>Table S</w:t>
      </w:r>
      <w:r w:rsidR="003A18B8">
        <w:rPr>
          <w:rFonts w:ascii="Times New Roman" w:eastAsia="宋体" w:hAnsi="Times New Roman" w:cs="Times New Roman"/>
          <w:b/>
          <w:bCs/>
          <w:sz w:val="24"/>
          <w:szCs w:val="28"/>
        </w:rPr>
        <w:t>2</w:t>
      </w:r>
      <w:r w:rsidRPr="009A4F56">
        <w:rPr>
          <w:rFonts w:ascii="Times New Roman" w:eastAsia="宋体" w:hAnsi="Times New Roman" w:cs="Times New Roman"/>
          <w:sz w:val="24"/>
          <w:szCs w:val="28"/>
        </w:rPr>
        <w:t xml:space="preserve"> KEGG enrichment pathways after ranked by Count</w:t>
      </w:r>
    </w:p>
    <w:tbl>
      <w:tblPr>
        <w:tblStyle w:val="a7"/>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470"/>
        <w:gridCol w:w="5875"/>
        <w:gridCol w:w="1177"/>
      </w:tblGrid>
      <w:tr w:rsidR="00F27C04" w:rsidRPr="009A4F56" w14:paraId="515F8150" w14:textId="77777777">
        <w:tc>
          <w:tcPr>
            <w:tcW w:w="1526" w:type="dxa"/>
            <w:tcBorders>
              <w:top w:val="single" w:sz="12" w:space="0" w:color="auto"/>
              <w:bottom w:val="single" w:sz="12" w:space="0" w:color="auto"/>
            </w:tcBorders>
          </w:tcPr>
          <w:p w14:paraId="76886CF1"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Term</w:t>
            </w:r>
          </w:p>
        </w:tc>
        <w:tc>
          <w:tcPr>
            <w:tcW w:w="6520" w:type="dxa"/>
            <w:tcBorders>
              <w:top w:val="single" w:sz="12" w:space="0" w:color="auto"/>
              <w:bottom w:val="single" w:sz="12" w:space="0" w:color="auto"/>
            </w:tcBorders>
          </w:tcPr>
          <w:p w14:paraId="6AC85BEC"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Pathways</w:t>
            </w:r>
          </w:p>
        </w:tc>
        <w:tc>
          <w:tcPr>
            <w:tcW w:w="1240" w:type="dxa"/>
            <w:tcBorders>
              <w:top w:val="single" w:sz="12" w:space="0" w:color="auto"/>
              <w:bottom w:val="single" w:sz="12" w:space="0" w:color="auto"/>
            </w:tcBorders>
          </w:tcPr>
          <w:p w14:paraId="237B6F09"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Count</w:t>
            </w:r>
          </w:p>
        </w:tc>
      </w:tr>
      <w:tr w:rsidR="00F27C04" w:rsidRPr="009A4F56" w14:paraId="479037F1" w14:textId="77777777">
        <w:tc>
          <w:tcPr>
            <w:tcW w:w="1526" w:type="dxa"/>
            <w:tcBorders>
              <w:top w:val="single" w:sz="12" w:space="0" w:color="auto"/>
            </w:tcBorders>
          </w:tcPr>
          <w:p w14:paraId="57F0BA1F"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hsa05200</w:t>
            </w:r>
          </w:p>
        </w:tc>
        <w:tc>
          <w:tcPr>
            <w:tcW w:w="6520" w:type="dxa"/>
            <w:tcBorders>
              <w:top w:val="single" w:sz="12" w:space="0" w:color="auto"/>
            </w:tcBorders>
          </w:tcPr>
          <w:p w14:paraId="49210BDB"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 xml:space="preserve">Pathways in cancer </w:t>
            </w:r>
          </w:p>
        </w:tc>
        <w:tc>
          <w:tcPr>
            <w:tcW w:w="1240" w:type="dxa"/>
            <w:tcBorders>
              <w:top w:val="single" w:sz="12" w:space="0" w:color="auto"/>
            </w:tcBorders>
          </w:tcPr>
          <w:p w14:paraId="13D0AD2C"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11</w:t>
            </w:r>
          </w:p>
        </w:tc>
      </w:tr>
      <w:tr w:rsidR="00F27C04" w:rsidRPr="009A4F56" w14:paraId="20C8600E" w14:textId="77777777">
        <w:tc>
          <w:tcPr>
            <w:tcW w:w="1526" w:type="dxa"/>
          </w:tcPr>
          <w:p w14:paraId="02BEF2EB"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hsa05417</w:t>
            </w:r>
          </w:p>
        </w:tc>
        <w:tc>
          <w:tcPr>
            <w:tcW w:w="6520" w:type="dxa"/>
          </w:tcPr>
          <w:p w14:paraId="7279D718"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 xml:space="preserve">Lipid and atherosclerosis </w:t>
            </w:r>
          </w:p>
        </w:tc>
        <w:tc>
          <w:tcPr>
            <w:tcW w:w="1240" w:type="dxa"/>
          </w:tcPr>
          <w:p w14:paraId="473D96A0"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10</w:t>
            </w:r>
          </w:p>
        </w:tc>
      </w:tr>
      <w:tr w:rsidR="00F27C04" w:rsidRPr="009A4F56" w14:paraId="3D57C3B9" w14:textId="77777777">
        <w:tc>
          <w:tcPr>
            <w:tcW w:w="1526" w:type="dxa"/>
          </w:tcPr>
          <w:p w14:paraId="4219AA17"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hsa04933</w:t>
            </w:r>
          </w:p>
        </w:tc>
        <w:tc>
          <w:tcPr>
            <w:tcW w:w="6520" w:type="dxa"/>
          </w:tcPr>
          <w:p w14:paraId="6D9F0640"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AGE-RAGE signaling pathway in diabetic complications</w:t>
            </w:r>
          </w:p>
        </w:tc>
        <w:tc>
          <w:tcPr>
            <w:tcW w:w="1240" w:type="dxa"/>
          </w:tcPr>
          <w:p w14:paraId="08BFB38C"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9</w:t>
            </w:r>
          </w:p>
        </w:tc>
      </w:tr>
      <w:tr w:rsidR="00F27C04" w:rsidRPr="009A4F56" w14:paraId="5D495AB3" w14:textId="77777777">
        <w:tc>
          <w:tcPr>
            <w:tcW w:w="1526" w:type="dxa"/>
          </w:tcPr>
          <w:p w14:paraId="6AFC5D15"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hsa05418</w:t>
            </w:r>
          </w:p>
        </w:tc>
        <w:tc>
          <w:tcPr>
            <w:tcW w:w="6520" w:type="dxa"/>
          </w:tcPr>
          <w:p w14:paraId="6E8BD667"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Fluid shear stress and atherosclerosis</w:t>
            </w:r>
          </w:p>
        </w:tc>
        <w:tc>
          <w:tcPr>
            <w:tcW w:w="1240" w:type="dxa"/>
          </w:tcPr>
          <w:p w14:paraId="05AD1D4A"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7</w:t>
            </w:r>
          </w:p>
        </w:tc>
      </w:tr>
      <w:tr w:rsidR="00F27C04" w:rsidRPr="009A4F56" w14:paraId="0CCDD31F" w14:textId="77777777">
        <w:tc>
          <w:tcPr>
            <w:tcW w:w="1526" w:type="dxa"/>
          </w:tcPr>
          <w:p w14:paraId="6229756B"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hsa05022</w:t>
            </w:r>
          </w:p>
        </w:tc>
        <w:tc>
          <w:tcPr>
            <w:tcW w:w="6520" w:type="dxa"/>
          </w:tcPr>
          <w:p w14:paraId="6B8A7564"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Pathways of neurodegeneration - multiple diseases</w:t>
            </w:r>
          </w:p>
        </w:tc>
        <w:tc>
          <w:tcPr>
            <w:tcW w:w="1240" w:type="dxa"/>
          </w:tcPr>
          <w:p w14:paraId="39C67045"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6</w:t>
            </w:r>
          </w:p>
        </w:tc>
      </w:tr>
      <w:tr w:rsidR="00F27C04" w:rsidRPr="009A4F56" w14:paraId="774B7835" w14:textId="77777777">
        <w:tc>
          <w:tcPr>
            <w:tcW w:w="1526" w:type="dxa"/>
          </w:tcPr>
          <w:p w14:paraId="4F290DC0"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hsa05161</w:t>
            </w:r>
          </w:p>
        </w:tc>
        <w:tc>
          <w:tcPr>
            <w:tcW w:w="6520" w:type="dxa"/>
          </w:tcPr>
          <w:p w14:paraId="75014F25"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 xml:space="preserve">Hepatitis B </w:t>
            </w:r>
          </w:p>
        </w:tc>
        <w:tc>
          <w:tcPr>
            <w:tcW w:w="1240" w:type="dxa"/>
          </w:tcPr>
          <w:p w14:paraId="4E463AD2"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6</w:t>
            </w:r>
          </w:p>
        </w:tc>
      </w:tr>
      <w:tr w:rsidR="00F27C04" w:rsidRPr="009A4F56" w14:paraId="53B89F76" w14:textId="77777777">
        <w:tc>
          <w:tcPr>
            <w:tcW w:w="1526" w:type="dxa"/>
          </w:tcPr>
          <w:p w14:paraId="254F7501"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hsa04668</w:t>
            </w:r>
          </w:p>
        </w:tc>
        <w:tc>
          <w:tcPr>
            <w:tcW w:w="6520" w:type="dxa"/>
          </w:tcPr>
          <w:p w14:paraId="744862A1"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TNF signaling pathway</w:t>
            </w:r>
          </w:p>
        </w:tc>
        <w:tc>
          <w:tcPr>
            <w:tcW w:w="1240" w:type="dxa"/>
          </w:tcPr>
          <w:p w14:paraId="17FCAE55"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6</w:t>
            </w:r>
          </w:p>
        </w:tc>
      </w:tr>
      <w:tr w:rsidR="00F27C04" w:rsidRPr="009A4F56" w14:paraId="641835E9" w14:textId="77777777">
        <w:tc>
          <w:tcPr>
            <w:tcW w:w="1526" w:type="dxa"/>
          </w:tcPr>
          <w:p w14:paraId="6CCA4EA0"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hsa05170</w:t>
            </w:r>
          </w:p>
        </w:tc>
        <w:tc>
          <w:tcPr>
            <w:tcW w:w="6520" w:type="dxa"/>
          </w:tcPr>
          <w:p w14:paraId="28374B62"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Human immunodeficiency virus 1 infection</w:t>
            </w:r>
          </w:p>
        </w:tc>
        <w:tc>
          <w:tcPr>
            <w:tcW w:w="1240" w:type="dxa"/>
          </w:tcPr>
          <w:p w14:paraId="6C53C0CC"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5</w:t>
            </w:r>
          </w:p>
        </w:tc>
      </w:tr>
      <w:tr w:rsidR="00F27C04" w:rsidRPr="009A4F56" w14:paraId="432ED929" w14:textId="77777777">
        <w:tc>
          <w:tcPr>
            <w:tcW w:w="1526" w:type="dxa"/>
          </w:tcPr>
          <w:p w14:paraId="0FD929C1"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hsa04932</w:t>
            </w:r>
          </w:p>
        </w:tc>
        <w:tc>
          <w:tcPr>
            <w:tcW w:w="6520" w:type="dxa"/>
          </w:tcPr>
          <w:p w14:paraId="19237921"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Non-alcoholic fatty liver disease</w:t>
            </w:r>
          </w:p>
        </w:tc>
        <w:tc>
          <w:tcPr>
            <w:tcW w:w="1240" w:type="dxa"/>
          </w:tcPr>
          <w:p w14:paraId="00EA9A51"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5</w:t>
            </w:r>
          </w:p>
        </w:tc>
      </w:tr>
      <w:tr w:rsidR="00F27C04" w:rsidRPr="009A4F56" w14:paraId="0B29FC82" w14:textId="77777777">
        <w:tc>
          <w:tcPr>
            <w:tcW w:w="1526" w:type="dxa"/>
          </w:tcPr>
          <w:p w14:paraId="774DDB86"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hsa05168</w:t>
            </w:r>
          </w:p>
        </w:tc>
        <w:tc>
          <w:tcPr>
            <w:tcW w:w="6520" w:type="dxa"/>
          </w:tcPr>
          <w:p w14:paraId="00EBA2FD"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Herpes simplex virus 1 infection</w:t>
            </w:r>
          </w:p>
        </w:tc>
        <w:tc>
          <w:tcPr>
            <w:tcW w:w="1240" w:type="dxa"/>
          </w:tcPr>
          <w:p w14:paraId="6AD86866"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5</w:t>
            </w:r>
          </w:p>
        </w:tc>
      </w:tr>
      <w:tr w:rsidR="00F27C04" w:rsidRPr="009A4F56" w14:paraId="73BD2998" w14:textId="77777777">
        <w:tc>
          <w:tcPr>
            <w:tcW w:w="1526" w:type="dxa"/>
          </w:tcPr>
          <w:p w14:paraId="64C8B202"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hsa05163</w:t>
            </w:r>
          </w:p>
        </w:tc>
        <w:tc>
          <w:tcPr>
            <w:tcW w:w="6520" w:type="dxa"/>
          </w:tcPr>
          <w:p w14:paraId="0261EC11"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Human cytomegalovirus infection</w:t>
            </w:r>
          </w:p>
        </w:tc>
        <w:tc>
          <w:tcPr>
            <w:tcW w:w="1240" w:type="dxa"/>
          </w:tcPr>
          <w:p w14:paraId="01AA0CE4"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5</w:t>
            </w:r>
          </w:p>
        </w:tc>
      </w:tr>
      <w:tr w:rsidR="00F27C04" w:rsidRPr="009A4F56" w14:paraId="38BE0518" w14:textId="77777777">
        <w:tc>
          <w:tcPr>
            <w:tcW w:w="1526" w:type="dxa"/>
          </w:tcPr>
          <w:p w14:paraId="3AF1A7D8"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hsa04915</w:t>
            </w:r>
          </w:p>
        </w:tc>
        <w:tc>
          <w:tcPr>
            <w:tcW w:w="6520" w:type="dxa"/>
          </w:tcPr>
          <w:p w14:paraId="63C0EB66"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Estrogen signaling pathway</w:t>
            </w:r>
          </w:p>
        </w:tc>
        <w:tc>
          <w:tcPr>
            <w:tcW w:w="1240" w:type="dxa"/>
          </w:tcPr>
          <w:p w14:paraId="7B139167"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5</w:t>
            </w:r>
          </w:p>
        </w:tc>
      </w:tr>
      <w:tr w:rsidR="00F27C04" w:rsidRPr="009A4F56" w14:paraId="1E71CBEC" w14:textId="77777777">
        <w:tc>
          <w:tcPr>
            <w:tcW w:w="1526" w:type="dxa"/>
          </w:tcPr>
          <w:p w14:paraId="6CD63A1D"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hsa04657</w:t>
            </w:r>
          </w:p>
        </w:tc>
        <w:tc>
          <w:tcPr>
            <w:tcW w:w="6520" w:type="dxa"/>
          </w:tcPr>
          <w:p w14:paraId="718066EA"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IL-17 signaling pathway</w:t>
            </w:r>
          </w:p>
        </w:tc>
        <w:tc>
          <w:tcPr>
            <w:tcW w:w="1240" w:type="dxa"/>
          </w:tcPr>
          <w:p w14:paraId="65F90CED"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5</w:t>
            </w:r>
          </w:p>
        </w:tc>
      </w:tr>
      <w:tr w:rsidR="00F27C04" w:rsidRPr="009A4F56" w14:paraId="29C69432" w14:textId="77777777">
        <w:tc>
          <w:tcPr>
            <w:tcW w:w="1526" w:type="dxa"/>
          </w:tcPr>
          <w:p w14:paraId="0EA8DED3"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hsa05169</w:t>
            </w:r>
          </w:p>
        </w:tc>
        <w:tc>
          <w:tcPr>
            <w:tcW w:w="6520" w:type="dxa"/>
          </w:tcPr>
          <w:p w14:paraId="7F790011"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Epstein-Barr virus infection</w:t>
            </w:r>
          </w:p>
        </w:tc>
        <w:tc>
          <w:tcPr>
            <w:tcW w:w="1240" w:type="dxa"/>
          </w:tcPr>
          <w:p w14:paraId="60048DF3"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5</w:t>
            </w:r>
          </w:p>
        </w:tc>
      </w:tr>
      <w:tr w:rsidR="00F27C04" w:rsidRPr="009A4F56" w14:paraId="13FAA3D8" w14:textId="77777777">
        <w:tc>
          <w:tcPr>
            <w:tcW w:w="1526" w:type="dxa"/>
          </w:tcPr>
          <w:p w14:paraId="423011BD"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hsa05206</w:t>
            </w:r>
          </w:p>
        </w:tc>
        <w:tc>
          <w:tcPr>
            <w:tcW w:w="6520" w:type="dxa"/>
          </w:tcPr>
          <w:p w14:paraId="492555C1"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MicroRNAs in cancer</w:t>
            </w:r>
          </w:p>
        </w:tc>
        <w:tc>
          <w:tcPr>
            <w:tcW w:w="1240" w:type="dxa"/>
          </w:tcPr>
          <w:p w14:paraId="38579BA4"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5</w:t>
            </w:r>
          </w:p>
        </w:tc>
      </w:tr>
      <w:tr w:rsidR="00F27C04" w:rsidRPr="009A4F56" w14:paraId="1EA33E06" w14:textId="77777777">
        <w:tc>
          <w:tcPr>
            <w:tcW w:w="1526" w:type="dxa"/>
          </w:tcPr>
          <w:p w14:paraId="116C50F7"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hsa05205</w:t>
            </w:r>
          </w:p>
        </w:tc>
        <w:tc>
          <w:tcPr>
            <w:tcW w:w="6520" w:type="dxa"/>
          </w:tcPr>
          <w:p w14:paraId="036ACFC1"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Proteoglycans in cancer</w:t>
            </w:r>
          </w:p>
        </w:tc>
        <w:tc>
          <w:tcPr>
            <w:tcW w:w="1240" w:type="dxa"/>
          </w:tcPr>
          <w:p w14:paraId="33B0BF2F"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5</w:t>
            </w:r>
          </w:p>
        </w:tc>
      </w:tr>
      <w:tr w:rsidR="00F27C04" w:rsidRPr="009A4F56" w14:paraId="4CE4FDE6" w14:textId="77777777">
        <w:tc>
          <w:tcPr>
            <w:tcW w:w="1526" w:type="dxa"/>
          </w:tcPr>
          <w:p w14:paraId="778F3EBF"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hsa05152</w:t>
            </w:r>
          </w:p>
        </w:tc>
        <w:tc>
          <w:tcPr>
            <w:tcW w:w="6520" w:type="dxa"/>
          </w:tcPr>
          <w:p w14:paraId="4D672C08"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Tuberculosis</w:t>
            </w:r>
          </w:p>
        </w:tc>
        <w:tc>
          <w:tcPr>
            <w:tcW w:w="1240" w:type="dxa"/>
          </w:tcPr>
          <w:p w14:paraId="0A11187C"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5</w:t>
            </w:r>
          </w:p>
        </w:tc>
      </w:tr>
      <w:tr w:rsidR="00F27C04" w:rsidRPr="009A4F56" w14:paraId="0642342F" w14:textId="77777777">
        <w:tc>
          <w:tcPr>
            <w:tcW w:w="1526" w:type="dxa"/>
          </w:tcPr>
          <w:p w14:paraId="07ED4AE2"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hsa04071</w:t>
            </w:r>
          </w:p>
        </w:tc>
        <w:tc>
          <w:tcPr>
            <w:tcW w:w="6520" w:type="dxa"/>
          </w:tcPr>
          <w:p w14:paraId="355E69EA"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Sphingolipid signaling pathway</w:t>
            </w:r>
          </w:p>
        </w:tc>
        <w:tc>
          <w:tcPr>
            <w:tcW w:w="1240" w:type="dxa"/>
          </w:tcPr>
          <w:p w14:paraId="0211F720"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5</w:t>
            </w:r>
          </w:p>
        </w:tc>
      </w:tr>
      <w:tr w:rsidR="00F27C04" w:rsidRPr="009A4F56" w14:paraId="470C4911" w14:textId="77777777">
        <w:tc>
          <w:tcPr>
            <w:tcW w:w="1526" w:type="dxa"/>
          </w:tcPr>
          <w:p w14:paraId="34D8B356"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hsa05165</w:t>
            </w:r>
          </w:p>
        </w:tc>
        <w:tc>
          <w:tcPr>
            <w:tcW w:w="6520" w:type="dxa"/>
          </w:tcPr>
          <w:p w14:paraId="7864C6EA"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Human papillomavirus infection</w:t>
            </w:r>
          </w:p>
        </w:tc>
        <w:tc>
          <w:tcPr>
            <w:tcW w:w="1240" w:type="dxa"/>
          </w:tcPr>
          <w:p w14:paraId="4D300A69"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5</w:t>
            </w:r>
          </w:p>
        </w:tc>
      </w:tr>
      <w:tr w:rsidR="00F27C04" w:rsidRPr="009A4F56" w14:paraId="10943791" w14:textId="77777777">
        <w:tc>
          <w:tcPr>
            <w:tcW w:w="1526" w:type="dxa"/>
          </w:tcPr>
          <w:p w14:paraId="3D5BF2BC"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hsa05130</w:t>
            </w:r>
          </w:p>
        </w:tc>
        <w:tc>
          <w:tcPr>
            <w:tcW w:w="6520" w:type="dxa"/>
          </w:tcPr>
          <w:p w14:paraId="0B7BDCCF"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Pathogenic Escherichia coli infection</w:t>
            </w:r>
          </w:p>
        </w:tc>
        <w:tc>
          <w:tcPr>
            <w:tcW w:w="1240" w:type="dxa"/>
          </w:tcPr>
          <w:p w14:paraId="29D2A1C1"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5</w:t>
            </w:r>
          </w:p>
        </w:tc>
      </w:tr>
      <w:tr w:rsidR="00F27C04" w:rsidRPr="009A4F56" w14:paraId="194F43D1" w14:textId="77777777">
        <w:tc>
          <w:tcPr>
            <w:tcW w:w="1526" w:type="dxa"/>
          </w:tcPr>
          <w:p w14:paraId="21246FF9"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hsa04210</w:t>
            </w:r>
          </w:p>
        </w:tc>
        <w:tc>
          <w:tcPr>
            <w:tcW w:w="6520" w:type="dxa"/>
          </w:tcPr>
          <w:p w14:paraId="0DE86313"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Apoptosis</w:t>
            </w:r>
          </w:p>
        </w:tc>
        <w:tc>
          <w:tcPr>
            <w:tcW w:w="1240" w:type="dxa"/>
          </w:tcPr>
          <w:p w14:paraId="272D8B8C"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5</w:t>
            </w:r>
          </w:p>
        </w:tc>
      </w:tr>
      <w:tr w:rsidR="00F27C04" w:rsidRPr="009A4F56" w14:paraId="4F724E9B" w14:textId="77777777">
        <w:tc>
          <w:tcPr>
            <w:tcW w:w="1526" w:type="dxa"/>
          </w:tcPr>
          <w:p w14:paraId="10E9671F"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hsa05132</w:t>
            </w:r>
          </w:p>
        </w:tc>
        <w:tc>
          <w:tcPr>
            <w:tcW w:w="6520" w:type="dxa"/>
          </w:tcPr>
          <w:p w14:paraId="6525BA98"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Salmonella infection</w:t>
            </w:r>
          </w:p>
        </w:tc>
        <w:tc>
          <w:tcPr>
            <w:tcW w:w="1240" w:type="dxa"/>
          </w:tcPr>
          <w:p w14:paraId="73744B1B"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5</w:t>
            </w:r>
          </w:p>
        </w:tc>
      </w:tr>
      <w:tr w:rsidR="00F27C04" w:rsidRPr="009A4F56" w14:paraId="642C32CD" w14:textId="77777777">
        <w:tc>
          <w:tcPr>
            <w:tcW w:w="1526" w:type="dxa"/>
          </w:tcPr>
          <w:p w14:paraId="6F3E7DA0"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hsa01522</w:t>
            </w:r>
          </w:p>
        </w:tc>
        <w:tc>
          <w:tcPr>
            <w:tcW w:w="6520" w:type="dxa"/>
          </w:tcPr>
          <w:p w14:paraId="4B6663DA"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Endocrine resistance</w:t>
            </w:r>
          </w:p>
        </w:tc>
        <w:tc>
          <w:tcPr>
            <w:tcW w:w="1240" w:type="dxa"/>
          </w:tcPr>
          <w:p w14:paraId="32117E6F"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5</w:t>
            </w:r>
          </w:p>
        </w:tc>
      </w:tr>
      <w:tr w:rsidR="00F27C04" w:rsidRPr="009A4F56" w14:paraId="3288C258" w14:textId="77777777">
        <w:tc>
          <w:tcPr>
            <w:tcW w:w="1526" w:type="dxa"/>
          </w:tcPr>
          <w:p w14:paraId="0EA5D172"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hsa04064</w:t>
            </w:r>
          </w:p>
        </w:tc>
        <w:tc>
          <w:tcPr>
            <w:tcW w:w="6520" w:type="dxa"/>
          </w:tcPr>
          <w:p w14:paraId="0A60B645"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NF-κB signaling pathway</w:t>
            </w:r>
          </w:p>
        </w:tc>
        <w:tc>
          <w:tcPr>
            <w:tcW w:w="1240" w:type="dxa"/>
          </w:tcPr>
          <w:p w14:paraId="3B3D1CDB" w14:textId="77777777" w:rsidR="00F27C04" w:rsidRPr="009A4F56" w:rsidRDefault="00F27C04">
            <w:pPr>
              <w:spacing w:line="360" w:lineRule="auto"/>
              <w:jc w:val="center"/>
              <w:rPr>
                <w:rFonts w:ascii="Times New Roman" w:eastAsia="宋体" w:hAnsi="Times New Roman" w:cs="Times New Roman"/>
                <w:sz w:val="24"/>
                <w:szCs w:val="24"/>
              </w:rPr>
            </w:pPr>
            <w:r w:rsidRPr="009A4F56">
              <w:rPr>
                <w:rFonts w:ascii="Times New Roman" w:eastAsia="宋体" w:hAnsi="Times New Roman" w:cs="Times New Roman"/>
                <w:sz w:val="24"/>
                <w:szCs w:val="24"/>
              </w:rPr>
              <w:t>4</w:t>
            </w:r>
          </w:p>
        </w:tc>
      </w:tr>
    </w:tbl>
    <w:p w14:paraId="43947A11" w14:textId="77777777" w:rsidR="00F27C04" w:rsidRPr="008952D2" w:rsidRDefault="00F27C04" w:rsidP="00F27C04">
      <w:pPr>
        <w:adjustRightInd w:val="0"/>
        <w:snapToGrid w:val="0"/>
        <w:spacing w:line="480" w:lineRule="auto"/>
        <w:ind w:firstLineChars="200" w:firstLine="480"/>
        <w:rPr>
          <w:rFonts w:ascii="Times New Roman" w:hAnsi="Times New Roman" w:cs="Times New Roman"/>
          <w:sz w:val="24"/>
          <w:szCs w:val="24"/>
        </w:rPr>
      </w:pPr>
      <w:r w:rsidRPr="009A4F56">
        <w:rPr>
          <w:rFonts w:ascii="Times New Roman" w:hAnsi="Times New Roman" w:cs="Times New Roman"/>
          <w:sz w:val="24"/>
          <w:szCs w:val="24"/>
        </w:rPr>
        <w:t>Note: the count represents the number of genes enriched in the pathway.</w:t>
      </w:r>
    </w:p>
    <w:p w14:paraId="440A2159" w14:textId="77777777" w:rsidR="00F27C04" w:rsidRPr="00F27C04" w:rsidRDefault="00F27C04" w:rsidP="002D0794">
      <w:pPr>
        <w:spacing w:line="360" w:lineRule="auto"/>
        <w:ind w:firstLineChars="200" w:firstLine="420"/>
        <w:jc w:val="center"/>
        <w:rPr>
          <w:rFonts w:ascii="Times New Roman" w:hAnsi="Times New Roman" w:cs="Times New Roman"/>
          <w:noProof/>
        </w:rPr>
      </w:pPr>
    </w:p>
    <w:p w14:paraId="21730A02" w14:textId="77777777" w:rsidR="004F5D55" w:rsidRDefault="004F5D55" w:rsidP="004F5D55">
      <w:pPr>
        <w:spacing w:line="360" w:lineRule="auto"/>
        <w:ind w:firstLineChars="200" w:firstLine="480"/>
        <w:jc w:val="center"/>
        <w:rPr>
          <w:rFonts w:ascii="Times New Roman" w:eastAsia="宋体" w:hAnsi="Times New Roman" w:cs="Times New Roman"/>
          <w:sz w:val="24"/>
          <w:szCs w:val="24"/>
        </w:rPr>
      </w:pPr>
      <w:r>
        <w:rPr>
          <w:rFonts w:ascii="Times New Roman" w:eastAsia="宋体" w:hAnsi="Times New Roman" w:cs="Times New Roman"/>
          <w:noProof/>
          <w:sz w:val="24"/>
          <w:szCs w:val="24"/>
        </w:rPr>
        <w:lastRenderedPageBreak/>
        <w:drawing>
          <wp:inline distT="0" distB="0" distL="0" distR="0" wp14:anchorId="0C947391" wp14:editId="7EA1D7DB">
            <wp:extent cx="3995600" cy="3054496"/>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00979" cy="3058608"/>
                    </a:xfrm>
                    <a:prstGeom prst="rect">
                      <a:avLst/>
                    </a:prstGeom>
                    <a:noFill/>
                  </pic:spPr>
                </pic:pic>
              </a:graphicData>
            </a:graphic>
          </wp:inline>
        </w:drawing>
      </w:r>
    </w:p>
    <w:p w14:paraId="3C5ACCFF" w14:textId="65A8AE96" w:rsidR="002D0794" w:rsidRDefault="002D0794" w:rsidP="004F5D55">
      <w:pPr>
        <w:spacing w:line="360" w:lineRule="auto"/>
        <w:ind w:firstLineChars="200" w:firstLine="482"/>
        <w:jc w:val="center"/>
        <w:rPr>
          <w:rFonts w:ascii="Times New Roman" w:eastAsia="宋体" w:hAnsi="Times New Roman" w:cs="Times New Roman"/>
          <w:sz w:val="24"/>
          <w:szCs w:val="24"/>
        </w:rPr>
      </w:pPr>
      <w:r w:rsidRPr="00CC60E5">
        <w:rPr>
          <w:rFonts w:ascii="Times New Roman" w:eastAsia="宋体" w:hAnsi="Times New Roman" w:cs="Times New Roman"/>
          <w:b/>
          <w:bCs/>
          <w:sz w:val="24"/>
          <w:szCs w:val="24"/>
        </w:rPr>
        <w:t>Fig</w:t>
      </w:r>
      <w:r w:rsidR="00BD0908">
        <w:rPr>
          <w:rFonts w:ascii="Times New Roman" w:eastAsia="宋体" w:hAnsi="Times New Roman" w:cs="Times New Roman"/>
          <w:b/>
          <w:bCs/>
          <w:sz w:val="24"/>
          <w:szCs w:val="24"/>
        </w:rPr>
        <w:t>.</w:t>
      </w:r>
      <w:r w:rsidRPr="00CC60E5">
        <w:rPr>
          <w:rFonts w:ascii="Times New Roman" w:eastAsia="宋体" w:hAnsi="Times New Roman" w:cs="Times New Roman"/>
          <w:b/>
          <w:bCs/>
          <w:sz w:val="24"/>
          <w:szCs w:val="24"/>
        </w:rPr>
        <w:t xml:space="preserve"> S1</w:t>
      </w:r>
      <w:r w:rsidRPr="00765360">
        <w:rPr>
          <w:rFonts w:ascii="Times New Roman" w:eastAsia="宋体" w:hAnsi="Times New Roman" w:cs="Times New Roman"/>
          <w:sz w:val="24"/>
          <w:szCs w:val="24"/>
        </w:rPr>
        <w:t xml:space="preserve"> Effects of different concentrations of puerarin and its derivatives on the survival rate of BV-2 cells</w:t>
      </w:r>
    </w:p>
    <w:p w14:paraId="34E1E96C" w14:textId="75F318A7" w:rsidR="00EB4434" w:rsidRPr="00E96A78" w:rsidRDefault="00EB4434" w:rsidP="00EB4434">
      <w:pPr>
        <w:spacing w:line="480" w:lineRule="auto"/>
        <w:ind w:firstLineChars="200" w:firstLine="480"/>
        <w:rPr>
          <w:rFonts w:ascii="Times New Roman" w:eastAsia="宋体" w:hAnsi="Times New Roman" w:cs="Times New Roman"/>
          <w:sz w:val="24"/>
          <w:szCs w:val="24"/>
        </w:rPr>
      </w:pPr>
      <w:r w:rsidRPr="00E96A78">
        <w:rPr>
          <w:rFonts w:ascii="Times New Roman" w:eastAsia="宋体" w:hAnsi="Times New Roman" w:cs="Times New Roman"/>
          <w:sz w:val="24"/>
          <w:szCs w:val="24"/>
        </w:rPr>
        <w:t>Note</w:t>
      </w:r>
      <w:r w:rsidR="009164D0">
        <w:rPr>
          <w:rFonts w:ascii="Times New Roman" w:eastAsia="宋体" w:hAnsi="Times New Roman" w:cs="Times New Roman"/>
          <w:sz w:val="24"/>
          <w:szCs w:val="24"/>
        </w:rPr>
        <w:t>: V</w:t>
      </w:r>
      <w:r w:rsidRPr="00EB4434">
        <w:rPr>
          <w:rFonts w:ascii="Times New Roman" w:eastAsia="宋体" w:hAnsi="Times New Roman" w:cs="Times New Roman"/>
          <w:sz w:val="24"/>
          <w:szCs w:val="24"/>
        </w:rPr>
        <w:t xml:space="preserve">alues of different groups with different lower-case letters (a-f) was significantly different at </w:t>
      </w:r>
      <w:r>
        <w:rPr>
          <w:rFonts w:ascii="Times New Roman" w:eastAsia="宋体" w:hAnsi="Times New Roman" w:cs="Times New Roman"/>
          <w:sz w:val="24"/>
          <w:szCs w:val="24"/>
        </w:rPr>
        <w:t>p</w:t>
      </w:r>
      <w:r w:rsidRPr="00EB4434">
        <w:rPr>
          <w:rFonts w:ascii="Times New Roman" w:eastAsia="宋体" w:hAnsi="Times New Roman" w:cs="Times New Roman"/>
          <w:sz w:val="24"/>
          <w:szCs w:val="24"/>
        </w:rPr>
        <w:t xml:space="preserve"> &lt; 0.05.</w:t>
      </w:r>
      <w:bookmarkStart w:id="29" w:name="_Hlk69805397"/>
      <w:r>
        <w:rPr>
          <w:rFonts w:ascii="Times New Roman" w:eastAsia="宋体" w:hAnsi="Times New Roman" w:cs="Times New Roman"/>
          <w:sz w:val="24"/>
          <w:szCs w:val="24"/>
        </w:rPr>
        <w:t xml:space="preserve"> </w:t>
      </w:r>
      <w:r w:rsidRPr="00E96A78">
        <w:rPr>
          <w:rFonts w:ascii="Times New Roman" w:eastAsia="宋体" w:hAnsi="Times New Roman" w:cs="Times New Roman"/>
          <w:sz w:val="24"/>
          <w:szCs w:val="24"/>
        </w:rPr>
        <w:t>PU: puerarin, PA: puerarin acetate ester, PP: puerarin propanoate ester, PB: puerarin butyrate ester, PH: puerarin hexanoate ester, PO: puerarin octanate ester, PL: puerarin laurate ester, PM: puerarin myristate ester.</w:t>
      </w:r>
      <w:bookmarkEnd w:id="29"/>
    </w:p>
    <w:p w14:paraId="111AA6DD" w14:textId="77777777" w:rsidR="002D0794" w:rsidRPr="002D0794" w:rsidRDefault="002D0794" w:rsidP="00FA5FC7">
      <w:pPr>
        <w:rPr>
          <w:rFonts w:ascii="Times New Roman" w:hAnsi="Times New Roman" w:cs="Times New Roman"/>
          <w:noProof/>
        </w:rPr>
      </w:pPr>
    </w:p>
    <w:p w14:paraId="628C43D2" w14:textId="3B1AE046" w:rsidR="007A1E54" w:rsidRPr="001D12B5" w:rsidRDefault="007A1E54" w:rsidP="007A1E54">
      <w:pPr>
        <w:jc w:val="center"/>
        <w:rPr>
          <w:rFonts w:ascii="Times New Roman" w:hAnsi="Times New Roman" w:cs="Times New Roman"/>
        </w:rPr>
      </w:pPr>
      <w:r w:rsidRPr="001D12B5">
        <w:rPr>
          <w:rFonts w:ascii="Times New Roman" w:hAnsi="Times New Roman" w:cs="Times New Roman"/>
          <w:noProof/>
        </w:rPr>
        <w:drawing>
          <wp:inline distT="0" distB="0" distL="0" distR="0" wp14:anchorId="74321C55" wp14:editId="0CE3405A">
            <wp:extent cx="4003660" cy="2801774"/>
            <wp:effectExtent l="0" t="0" r="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8542"/>
                    <a:stretch/>
                  </pic:blipFill>
                  <pic:spPr bwMode="auto">
                    <a:xfrm>
                      <a:off x="0" y="0"/>
                      <a:ext cx="4014485" cy="2809349"/>
                    </a:xfrm>
                    <a:prstGeom prst="rect">
                      <a:avLst/>
                    </a:prstGeom>
                    <a:noFill/>
                    <a:ln>
                      <a:noFill/>
                    </a:ln>
                    <a:extLst>
                      <a:ext uri="{53640926-AAD7-44D8-BBD7-CCE9431645EC}">
                        <a14:shadowObscured xmlns:a14="http://schemas.microsoft.com/office/drawing/2010/main"/>
                      </a:ext>
                    </a:extLst>
                  </pic:spPr>
                </pic:pic>
              </a:graphicData>
            </a:graphic>
          </wp:inline>
        </w:drawing>
      </w:r>
    </w:p>
    <w:p w14:paraId="3A12AD8D" w14:textId="133E8EE8" w:rsidR="007A1E54" w:rsidRPr="00CC60E5" w:rsidRDefault="007A1E54" w:rsidP="00CC60E5">
      <w:pPr>
        <w:spacing w:line="480" w:lineRule="auto"/>
        <w:jc w:val="center"/>
        <w:rPr>
          <w:rFonts w:ascii="Times New Roman" w:eastAsia="宋体" w:hAnsi="Times New Roman" w:cs="Times New Roman"/>
          <w:sz w:val="24"/>
          <w:szCs w:val="24"/>
        </w:rPr>
      </w:pPr>
      <w:r w:rsidRPr="00CC60E5">
        <w:rPr>
          <w:rFonts w:ascii="Times New Roman" w:eastAsia="宋体" w:hAnsi="Times New Roman" w:cs="Times New Roman"/>
          <w:b/>
          <w:bCs/>
          <w:sz w:val="24"/>
          <w:szCs w:val="24"/>
        </w:rPr>
        <w:t>Fig</w:t>
      </w:r>
      <w:r w:rsidR="00BD0908">
        <w:rPr>
          <w:rFonts w:ascii="Times New Roman" w:eastAsia="宋体" w:hAnsi="Times New Roman" w:cs="Times New Roman"/>
          <w:b/>
          <w:bCs/>
          <w:sz w:val="24"/>
          <w:szCs w:val="24"/>
        </w:rPr>
        <w:t>.</w:t>
      </w:r>
      <w:r w:rsidRPr="00CC60E5">
        <w:rPr>
          <w:rFonts w:ascii="Times New Roman" w:eastAsia="宋体" w:hAnsi="Times New Roman" w:cs="Times New Roman"/>
          <w:b/>
          <w:bCs/>
          <w:sz w:val="24"/>
          <w:szCs w:val="24"/>
        </w:rPr>
        <w:t xml:space="preserve"> </w:t>
      </w:r>
      <w:r w:rsidR="002D0794" w:rsidRPr="00CC60E5">
        <w:rPr>
          <w:rFonts w:ascii="Times New Roman" w:eastAsia="宋体" w:hAnsi="Times New Roman" w:cs="Times New Roman"/>
          <w:b/>
          <w:bCs/>
          <w:sz w:val="24"/>
          <w:szCs w:val="24"/>
        </w:rPr>
        <w:t>S2</w:t>
      </w:r>
      <w:r w:rsidRPr="00CC60E5">
        <w:rPr>
          <w:rFonts w:ascii="Times New Roman" w:eastAsia="宋体" w:hAnsi="Times New Roman" w:cs="Times New Roman"/>
          <w:sz w:val="24"/>
          <w:szCs w:val="24"/>
        </w:rPr>
        <w:t xml:space="preserve"> Cellular viability of BV-2 cells treated with OGD at different time</w:t>
      </w:r>
    </w:p>
    <w:p w14:paraId="7998C107" w14:textId="1B0CCA5E" w:rsidR="007A1E54" w:rsidRPr="00CC60E5" w:rsidRDefault="007A1E54" w:rsidP="00CC60E5">
      <w:pPr>
        <w:spacing w:line="480" w:lineRule="auto"/>
        <w:ind w:firstLineChars="200" w:firstLine="480"/>
        <w:rPr>
          <w:rFonts w:ascii="Times New Roman" w:eastAsia="宋体" w:hAnsi="Times New Roman" w:cs="Times New Roman"/>
          <w:sz w:val="24"/>
          <w:szCs w:val="24"/>
        </w:rPr>
      </w:pPr>
      <w:r w:rsidRPr="00CC60E5">
        <w:rPr>
          <w:rFonts w:ascii="Times New Roman" w:eastAsia="宋体" w:hAnsi="Times New Roman" w:cs="Times New Roman" w:hint="eastAsia"/>
          <w:sz w:val="24"/>
          <w:szCs w:val="24"/>
        </w:rPr>
        <w:lastRenderedPageBreak/>
        <w:t>N</w:t>
      </w:r>
      <w:r w:rsidRPr="00CC60E5">
        <w:rPr>
          <w:rFonts w:ascii="Times New Roman" w:eastAsia="宋体" w:hAnsi="Times New Roman" w:cs="Times New Roman"/>
          <w:sz w:val="24"/>
          <w:szCs w:val="24"/>
        </w:rPr>
        <w:t>ote</w:t>
      </w:r>
      <w:r w:rsidRPr="00CC60E5">
        <w:rPr>
          <w:rFonts w:ascii="Times New Roman" w:eastAsia="宋体" w:hAnsi="Times New Roman" w:cs="Times New Roman"/>
          <w:sz w:val="24"/>
          <w:szCs w:val="24"/>
        </w:rPr>
        <w:t>：</w:t>
      </w:r>
      <w:r w:rsidRPr="00CC60E5">
        <w:rPr>
          <w:rFonts w:ascii="Times New Roman" w:eastAsia="宋体" w:hAnsi="Times New Roman" w:cs="Times New Roman" w:hint="eastAsia"/>
          <w:sz w:val="24"/>
          <w:szCs w:val="24"/>
        </w:rPr>
        <w:t>c</w:t>
      </w:r>
      <w:r w:rsidRPr="00CC60E5">
        <w:rPr>
          <w:rFonts w:ascii="Times New Roman" w:eastAsia="宋体" w:hAnsi="Times New Roman" w:cs="Times New Roman"/>
          <w:sz w:val="24"/>
          <w:szCs w:val="24"/>
        </w:rPr>
        <w:t>ompared with control</w:t>
      </w:r>
      <w:r w:rsidRPr="00CC60E5">
        <w:rPr>
          <w:rFonts w:ascii="Times New Roman" w:eastAsia="宋体" w:hAnsi="Times New Roman" w:cs="Times New Roman" w:hint="eastAsia"/>
          <w:sz w:val="24"/>
          <w:szCs w:val="24"/>
        </w:rPr>
        <w:t xml:space="preserve"> </w:t>
      </w:r>
      <w:r w:rsidRPr="00CC60E5">
        <w:rPr>
          <w:rFonts w:ascii="Times New Roman" w:eastAsia="宋体" w:hAnsi="Times New Roman" w:cs="Times New Roman"/>
          <w:sz w:val="24"/>
          <w:szCs w:val="24"/>
        </w:rPr>
        <w:t>group</w:t>
      </w:r>
      <w:r w:rsidRPr="00CC60E5">
        <w:rPr>
          <w:rFonts w:ascii="Times New Roman" w:eastAsia="宋体" w:hAnsi="Times New Roman" w:cs="Times New Roman"/>
          <w:sz w:val="24"/>
          <w:szCs w:val="24"/>
        </w:rPr>
        <w:t>，</w:t>
      </w:r>
      <w:r w:rsidRPr="00CC60E5">
        <w:rPr>
          <w:rFonts w:ascii="MS Mincho" w:eastAsia="MS Mincho" w:hAnsi="MS Mincho" w:cs="MS Mincho" w:hint="eastAsia"/>
          <w:sz w:val="24"/>
          <w:szCs w:val="24"/>
        </w:rPr>
        <w:t>∗</w:t>
      </w:r>
      <w:r w:rsidRPr="00CC60E5">
        <w:rPr>
          <w:rFonts w:ascii="Times New Roman" w:eastAsia="宋体" w:hAnsi="Times New Roman" w:cs="Times New Roman"/>
          <w:sz w:val="24"/>
          <w:szCs w:val="24"/>
        </w:rPr>
        <w:t xml:space="preserve"> represents </w:t>
      </w:r>
      <w:r w:rsidR="00CC60E5" w:rsidRPr="00CC60E5">
        <w:rPr>
          <w:rFonts w:ascii="Times New Roman" w:eastAsia="宋体" w:hAnsi="Times New Roman" w:cs="Times New Roman"/>
          <w:sz w:val="24"/>
          <w:szCs w:val="24"/>
        </w:rPr>
        <w:t>p</w:t>
      </w:r>
      <w:r w:rsidRPr="00CC60E5">
        <w:rPr>
          <w:rFonts w:ascii="Times New Roman" w:eastAsia="宋体" w:hAnsi="Times New Roman" w:cs="Times New Roman"/>
          <w:sz w:val="24"/>
          <w:szCs w:val="24"/>
        </w:rPr>
        <w:t xml:space="preserve"> &lt; 0.05</w:t>
      </w:r>
    </w:p>
    <w:p w14:paraId="460350D5" w14:textId="03CACE25" w:rsidR="002B733D" w:rsidRDefault="002B733D"/>
    <w:p w14:paraId="539E74C5" w14:textId="5B4BB67E" w:rsidR="00085952" w:rsidRDefault="00085952" w:rsidP="001142EB">
      <w:pPr>
        <w:jc w:val="center"/>
      </w:pPr>
    </w:p>
    <w:p w14:paraId="4EC5CE07" w14:textId="7C0A02FF" w:rsidR="00297462" w:rsidRDefault="00DF1A3D" w:rsidP="001142EB">
      <w:pPr>
        <w:jc w:val="center"/>
      </w:pPr>
      <w:r>
        <w:rPr>
          <w:noProof/>
        </w:rPr>
        <w:drawing>
          <wp:inline distT="0" distB="0" distL="0" distR="0" wp14:anchorId="0C4659BB" wp14:editId="27A8AC35">
            <wp:extent cx="5186780" cy="5339129"/>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01897" cy="5354690"/>
                    </a:xfrm>
                    <a:prstGeom prst="rect">
                      <a:avLst/>
                    </a:prstGeom>
                    <a:noFill/>
                  </pic:spPr>
                </pic:pic>
              </a:graphicData>
            </a:graphic>
          </wp:inline>
        </w:drawing>
      </w:r>
    </w:p>
    <w:p w14:paraId="5DA24D39" w14:textId="61FD08A9" w:rsidR="00461B2D" w:rsidRPr="00461B2D" w:rsidRDefault="00461B2D" w:rsidP="00085952">
      <w:pPr>
        <w:jc w:val="center"/>
        <w:rPr>
          <w:rFonts w:ascii="Times New Roman" w:eastAsia="宋体" w:hAnsi="Times New Roman" w:cs="Times New Roman"/>
          <w:sz w:val="24"/>
          <w:szCs w:val="24"/>
        </w:rPr>
      </w:pPr>
      <w:r w:rsidRPr="00CC60E5">
        <w:rPr>
          <w:rFonts w:ascii="Times New Roman" w:eastAsia="宋体" w:hAnsi="Times New Roman" w:cs="Times New Roman"/>
          <w:b/>
          <w:bCs/>
          <w:sz w:val="24"/>
          <w:szCs w:val="24"/>
        </w:rPr>
        <w:t>Fig</w:t>
      </w:r>
      <w:r>
        <w:rPr>
          <w:rFonts w:ascii="Times New Roman" w:eastAsia="宋体" w:hAnsi="Times New Roman" w:cs="Times New Roman"/>
          <w:b/>
          <w:bCs/>
          <w:sz w:val="24"/>
          <w:szCs w:val="24"/>
        </w:rPr>
        <w:t>.</w:t>
      </w:r>
      <w:r w:rsidRPr="00CC60E5">
        <w:rPr>
          <w:rFonts w:ascii="Times New Roman" w:eastAsia="宋体" w:hAnsi="Times New Roman" w:cs="Times New Roman"/>
          <w:b/>
          <w:bCs/>
          <w:sz w:val="24"/>
          <w:szCs w:val="24"/>
        </w:rPr>
        <w:t xml:space="preserve"> S</w:t>
      </w:r>
      <w:r>
        <w:rPr>
          <w:rFonts w:ascii="Times New Roman" w:eastAsia="宋体" w:hAnsi="Times New Roman" w:cs="Times New Roman"/>
          <w:b/>
          <w:bCs/>
          <w:sz w:val="24"/>
          <w:szCs w:val="24"/>
        </w:rPr>
        <w:t>3</w:t>
      </w:r>
      <w:r w:rsidR="00130457">
        <w:rPr>
          <w:rFonts w:ascii="Times New Roman" w:eastAsia="宋体" w:hAnsi="Times New Roman" w:cs="Times New Roman"/>
          <w:b/>
          <w:bCs/>
          <w:sz w:val="24"/>
          <w:szCs w:val="24"/>
        </w:rPr>
        <w:t xml:space="preserve"> </w:t>
      </w:r>
      <w:r w:rsidR="00130457">
        <w:rPr>
          <w:rFonts w:ascii="Times New Roman" w:eastAsia="宋体" w:hAnsi="Times New Roman" w:cs="Times New Roman"/>
          <w:sz w:val="24"/>
          <w:szCs w:val="24"/>
        </w:rPr>
        <w:t>I</w:t>
      </w:r>
      <w:r w:rsidRPr="00461B2D">
        <w:rPr>
          <w:rFonts w:ascii="Times New Roman" w:eastAsia="宋体" w:hAnsi="Times New Roman" w:cs="Times New Roman"/>
          <w:sz w:val="24"/>
          <w:szCs w:val="24"/>
        </w:rPr>
        <w:t>mages of the western blots</w:t>
      </w:r>
    </w:p>
    <w:p w14:paraId="165307CF" w14:textId="6C6A23EF" w:rsidR="00340867" w:rsidRPr="007A1E54" w:rsidRDefault="00340867"/>
    <w:sectPr w:rsidR="00340867" w:rsidRPr="007A1E5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4CEDE" w14:textId="77777777" w:rsidR="00A25F50" w:rsidRDefault="00A25F50" w:rsidP="007A1E54">
      <w:r>
        <w:separator/>
      </w:r>
    </w:p>
  </w:endnote>
  <w:endnote w:type="continuationSeparator" w:id="0">
    <w:p w14:paraId="7BB2799D" w14:textId="77777777" w:rsidR="00A25F50" w:rsidRDefault="00A25F50" w:rsidP="007A1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3689A" w14:textId="77777777" w:rsidR="00A25F50" w:rsidRDefault="00A25F50" w:rsidP="007A1E54">
      <w:r>
        <w:separator/>
      </w:r>
    </w:p>
  </w:footnote>
  <w:footnote w:type="continuationSeparator" w:id="0">
    <w:p w14:paraId="114D872A" w14:textId="77777777" w:rsidR="00A25F50" w:rsidRDefault="00A25F50" w:rsidP="007A1E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03C2B"/>
    <w:rsid w:val="0006179E"/>
    <w:rsid w:val="00085952"/>
    <w:rsid w:val="000923A5"/>
    <w:rsid w:val="001142EB"/>
    <w:rsid w:val="00117962"/>
    <w:rsid w:val="00130457"/>
    <w:rsid w:val="001760A8"/>
    <w:rsid w:val="001B5DA9"/>
    <w:rsid w:val="002508D4"/>
    <w:rsid w:val="00283B09"/>
    <w:rsid w:val="00297462"/>
    <w:rsid w:val="002B1D25"/>
    <w:rsid w:val="002B733D"/>
    <w:rsid w:val="002C44B8"/>
    <w:rsid w:val="002D0794"/>
    <w:rsid w:val="00340867"/>
    <w:rsid w:val="0039515B"/>
    <w:rsid w:val="003A18B8"/>
    <w:rsid w:val="00403C2B"/>
    <w:rsid w:val="00441944"/>
    <w:rsid w:val="00461B2D"/>
    <w:rsid w:val="00466DF1"/>
    <w:rsid w:val="00490354"/>
    <w:rsid w:val="004B0725"/>
    <w:rsid w:val="004B6777"/>
    <w:rsid w:val="004F5D55"/>
    <w:rsid w:val="00536532"/>
    <w:rsid w:val="005745D1"/>
    <w:rsid w:val="005E585D"/>
    <w:rsid w:val="006367E1"/>
    <w:rsid w:val="0064516E"/>
    <w:rsid w:val="00775FDC"/>
    <w:rsid w:val="007A1E54"/>
    <w:rsid w:val="007E523A"/>
    <w:rsid w:val="008914B3"/>
    <w:rsid w:val="009164D0"/>
    <w:rsid w:val="00967C9B"/>
    <w:rsid w:val="009A6CAD"/>
    <w:rsid w:val="009F2109"/>
    <w:rsid w:val="009F6DDB"/>
    <w:rsid w:val="00A25F50"/>
    <w:rsid w:val="00A80224"/>
    <w:rsid w:val="00B04C24"/>
    <w:rsid w:val="00BB4C21"/>
    <w:rsid w:val="00BD0908"/>
    <w:rsid w:val="00C966CF"/>
    <w:rsid w:val="00CB13ED"/>
    <w:rsid w:val="00CC60E5"/>
    <w:rsid w:val="00D14E15"/>
    <w:rsid w:val="00D51C6E"/>
    <w:rsid w:val="00D51FE2"/>
    <w:rsid w:val="00D85CD0"/>
    <w:rsid w:val="00DF1A3D"/>
    <w:rsid w:val="00E82843"/>
    <w:rsid w:val="00EB4434"/>
    <w:rsid w:val="00F27C04"/>
    <w:rsid w:val="00F53869"/>
    <w:rsid w:val="00F819FE"/>
    <w:rsid w:val="00FA5F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369252"/>
  <w15:docId w15:val="{5F580E3D-3FC7-46CD-8CE1-2553A7D11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1E5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A1E5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A1E54"/>
    <w:rPr>
      <w:sz w:val="18"/>
      <w:szCs w:val="18"/>
    </w:rPr>
  </w:style>
  <w:style w:type="paragraph" w:styleId="a5">
    <w:name w:val="footer"/>
    <w:basedOn w:val="a"/>
    <w:link w:val="a6"/>
    <w:uiPriority w:val="99"/>
    <w:unhideWhenUsed/>
    <w:rsid w:val="007A1E54"/>
    <w:pPr>
      <w:tabs>
        <w:tab w:val="center" w:pos="4153"/>
        <w:tab w:val="right" w:pos="8306"/>
      </w:tabs>
      <w:snapToGrid w:val="0"/>
      <w:jc w:val="left"/>
    </w:pPr>
    <w:rPr>
      <w:sz w:val="18"/>
      <w:szCs w:val="18"/>
    </w:rPr>
  </w:style>
  <w:style w:type="character" w:customStyle="1" w:styleId="a6">
    <w:name w:val="页脚 字符"/>
    <w:basedOn w:val="a0"/>
    <w:link w:val="a5"/>
    <w:uiPriority w:val="99"/>
    <w:rsid w:val="007A1E54"/>
    <w:rPr>
      <w:sz w:val="18"/>
      <w:szCs w:val="18"/>
    </w:rPr>
  </w:style>
  <w:style w:type="table" w:styleId="a7">
    <w:name w:val="Table Grid"/>
    <w:basedOn w:val="a1"/>
    <w:uiPriority w:val="39"/>
    <w:rsid w:val="00F27C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1580</TotalTime>
  <Pages>9</Pages>
  <Words>1666</Words>
  <Characters>9497</Characters>
  <Application>Microsoft Office Word</Application>
  <DocSecurity>0</DocSecurity>
  <Lines>79</Lines>
  <Paragraphs>22</Paragraphs>
  <ScaleCrop>false</ScaleCrop>
  <Company/>
  <LinksUpToDate>false</LinksUpToDate>
  <CharactersWithSpaces>11141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莫 岚</dc:creator>
  <cp:keywords/>
  <dc:description/>
  <cp:lastModifiedBy>岚 莫</cp:lastModifiedBy>
  <cp:revision>10</cp:revision>
  <dcterms:created xsi:type="dcterms:W3CDTF">2021-10-23T06:40:00Z</dcterms:created>
  <dcterms:modified xsi:type="dcterms:W3CDTF">2023-12-05T02:27:00Z</dcterms:modified>
</cp:coreProperties>
</file>