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4ACC9" w14:textId="4328CF5B" w:rsidR="00A022E3" w:rsidRPr="00DA763A" w:rsidRDefault="00DA763A" w:rsidP="00DA763A">
      <w:pPr>
        <w:spacing w:line="480" w:lineRule="auto"/>
        <w:jc w:val="center"/>
        <w:rPr>
          <w:rFonts w:ascii="Times New Roman" w:hAnsi="Times New Roman" w:cs="Times New Roman"/>
          <w:b/>
          <w:bCs/>
          <w:lang w:val="en-US"/>
        </w:rPr>
      </w:pPr>
      <w:r w:rsidRPr="00DA763A">
        <w:rPr>
          <w:rFonts w:ascii="Times New Roman" w:hAnsi="Times New Roman" w:cs="Times New Roman"/>
          <w:b/>
          <w:bCs/>
          <w:lang w:val="en-US"/>
        </w:rPr>
        <w:t xml:space="preserve">Supplementary Material for: </w:t>
      </w:r>
    </w:p>
    <w:p w14:paraId="015B9066" w14:textId="4D27F2EB" w:rsidR="00DA763A" w:rsidRDefault="00DA763A" w:rsidP="00DA763A">
      <w:pPr>
        <w:spacing w:line="480" w:lineRule="auto"/>
        <w:jc w:val="center"/>
        <w:rPr>
          <w:rFonts w:ascii="Times New Roman" w:hAnsi="Times New Roman" w:cs="Times New Roman"/>
          <w:b/>
          <w:bCs/>
          <w:lang w:val="en-US"/>
        </w:rPr>
      </w:pPr>
      <w:r>
        <w:rPr>
          <w:rFonts w:ascii="Times New Roman" w:hAnsi="Times New Roman" w:cs="Times New Roman"/>
          <w:b/>
          <w:bCs/>
          <w:lang w:val="en-US"/>
        </w:rPr>
        <w:t>E</w:t>
      </w:r>
      <w:r w:rsidRPr="00C50437">
        <w:rPr>
          <w:rFonts w:ascii="Times New Roman" w:hAnsi="Times New Roman" w:cs="Times New Roman"/>
          <w:b/>
          <w:bCs/>
          <w:lang w:val="en-US"/>
        </w:rPr>
        <w:t xml:space="preserve">nvironmental </w:t>
      </w:r>
      <w:r w:rsidR="000314EC">
        <w:rPr>
          <w:rFonts w:ascii="Times New Roman" w:hAnsi="Times New Roman" w:cs="Times New Roman"/>
          <w:b/>
          <w:bCs/>
          <w:lang w:val="en-US"/>
        </w:rPr>
        <w:t>implications</w:t>
      </w:r>
      <w:r w:rsidRPr="00C50437">
        <w:rPr>
          <w:rFonts w:ascii="Times New Roman" w:hAnsi="Times New Roman" w:cs="Times New Roman"/>
          <w:b/>
          <w:bCs/>
          <w:lang w:val="en-US"/>
        </w:rPr>
        <w:t xml:space="preserve"> of the production of non-centrifugal sugar in the Colombian Andean region</w:t>
      </w:r>
    </w:p>
    <w:p w14:paraId="2BE21C40" w14:textId="77777777" w:rsidR="00DA763A" w:rsidRPr="00C50437" w:rsidRDefault="00DA763A" w:rsidP="00DA763A">
      <w:pPr>
        <w:spacing w:line="480" w:lineRule="auto"/>
        <w:jc w:val="center"/>
        <w:rPr>
          <w:rFonts w:ascii="Times New Roman" w:hAnsi="Times New Roman" w:cs="Times New Roman"/>
          <w:vertAlign w:val="superscript"/>
        </w:rPr>
      </w:pPr>
      <w:r w:rsidRPr="00C50437">
        <w:rPr>
          <w:rFonts w:ascii="Times New Roman" w:hAnsi="Times New Roman" w:cs="Times New Roman"/>
        </w:rPr>
        <w:t>Nestor Sanchez</w:t>
      </w:r>
      <w:r w:rsidRPr="00C50437">
        <w:rPr>
          <w:rFonts w:ascii="Times New Roman" w:hAnsi="Times New Roman" w:cs="Times New Roman"/>
          <w:vertAlign w:val="superscript"/>
        </w:rPr>
        <w:t>1</w:t>
      </w:r>
      <w:r>
        <w:rPr>
          <w:rFonts w:ascii="Times New Roman" w:hAnsi="Times New Roman" w:cs="Times New Roman"/>
          <w:vertAlign w:val="superscript"/>
        </w:rPr>
        <w:t>*</w:t>
      </w:r>
      <w:r w:rsidRPr="00C50437">
        <w:rPr>
          <w:rFonts w:ascii="Times New Roman" w:hAnsi="Times New Roman" w:cs="Times New Roman"/>
        </w:rPr>
        <w:t>, Martha Cobo</w:t>
      </w:r>
      <w:r w:rsidRPr="00C50437">
        <w:rPr>
          <w:rFonts w:ascii="Times New Roman" w:hAnsi="Times New Roman" w:cs="Times New Roman"/>
          <w:vertAlign w:val="superscript"/>
        </w:rPr>
        <w:t>1</w:t>
      </w:r>
      <w:r>
        <w:rPr>
          <w:rFonts w:ascii="Times New Roman" w:hAnsi="Times New Roman" w:cs="Times New Roman"/>
        </w:rPr>
        <w:t xml:space="preserve">, </w:t>
      </w:r>
      <w:r w:rsidRPr="00C50437">
        <w:rPr>
          <w:rFonts w:ascii="Times New Roman" w:hAnsi="Times New Roman" w:cs="Times New Roman"/>
        </w:rPr>
        <w:t>David Rodríguez-Fontalvo</w:t>
      </w:r>
      <w:r w:rsidRPr="00C50437">
        <w:rPr>
          <w:rFonts w:ascii="Times New Roman" w:hAnsi="Times New Roman" w:cs="Times New Roman"/>
          <w:vertAlign w:val="superscript"/>
        </w:rPr>
        <w:t>1</w:t>
      </w:r>
      <w:r>
        <w:rPr>
          <w:rFonts w:ascii="Times New Roman" w:hAnsi="Times New Roman" w:cs="Times New Roman"/>
        </w:rPr>
        <w:t>,</w:t>
      </w:r>
      <w:r w:rsidRPr="00C50437">
        <w:rPr>
          <w:rFonts w:ascii="Times New Roman" w:hAnsi="Times New Roman" w:cs="Times New Roman"/>
        </w:rPr>
        <w:t xml:space="preserve"> Ruth Y. Ruiz-Pardo</w:t>
      </w:r>
      <w:r w:rsidRPr="00C50437">
        <w:rPr>
          <w:rFonts w:ascii="Times New Roman" w:hAnsi="Times New Roman" w:cs="Times New Roman"/>
          <w:vertAlign w:val="superscript"/>
        </w:rPr>
        <w:t>2</w:t>
      </w:r>
      <w:r>
        <w:rPr>
          <w:rFonts w:ascii="Times New Roman" w:hAnsi="Times New Roman" w:cs="Times New Roman"/>
        </w:rPr>
        <w:t>, Anne Roedl</w:t>
      </w:r>
      <w:r>
        <w:rPr>
          <w:rFonts w:ascii="Times New Roman" w:hAnsi="Times New Roman" w:cs="Times New Roman"/>
          <w:vertAlign w:val="superscript"/>
        </w:rPr>
        <w:t>3</w:t>
      </w:r>
      <w:r w:rsidRPr="00C50437">
        <w:rPr>
          <w:rFonts w:ascii="Times New Roman" w:hAnsi="Times New Roman" w:cs="Times New Roman"/>
        </w:rPr>
        <w:t xml:space="preserve">, </w:t>
      </w:r>
    </w:p>
    <w:p w14:paraId="1C62833E" w14:textId="77777777" w:rsidR="00DA763A" w:rsidRPr="00014CCE" w:rsidRDefault="00DA763A" w:rsidP="00DA763A">
      <w:pPr>
        <w:spacing w:line="480" w:lineRule="auto"/>
        <w:jc w:val="center"/>
        <w:rPr>
          <w:rFonts w:ascii="Times New Roman" w:hAnsi="Times New Roman" w:cs="Times New Roman"/>
        </w:rPr>
      </w:pPr>
      <w:r w:rsidRPr="00014CCE">
        <w:rPr>
          <w:rFonts w:ascii="Times New Roman" w:hAnsi="Times New Roman" w:cs="Times New Roman"/>
          <w:vertAlign w:val="superscript"/>
        </w:rPr>
        <w:t>1</w:t>
      </w:r>
      <w:r w:rsidRPr="00014CCE">
        <w:rPr>
          <w:rFonts w:ascii="Times New Roman" w:hAnsi="Times New Roman" w:cs="Times New Roman"/>
        </w:rPr>
        <w:t xml:space="preserve">Energy, Materials, and Environmental </w:t>
      </w:r>
      <w:proofErr w:type="spellStart"/>
      <w:r w:rsidRPr="00014CCE">
        <w:rPr>
          <w:rFonts w:ascii="Times New Roman" w:hAnsi="Times New Roman" w:cs="Times New Roman"/>
        </w:rPr>
        <w:t>Laboratory</w:t>
      </w:r>
      <w:proofErr w:type="spellEnd"/>
      <w:r w:rsidRPr="00014CCE">
        <w:rPr>
          <w:rFonts w:ascii="Times New Roman" w:hAnsi="Times New Roman" w:cs="Times New Roman"/>
        </w:rPr>
        <w:t xml:space="preserve">, Faculty of Engineering, Campus Universitario Puente del Común, Universidad de La Sabana, Km. 7 Autopista Norte, Bogotá 140013, Colombia; </w:t>
      </w:r>
      <w:hyperlink r:id="rId5" w:history="1">
        <w:r w:rsidRPr="00014CCE">
          <w:rPr>
            <w:rStyle w:val="Hipervnculo"/>
            <w:rFonts w:ascii="Times New Roman" w:hAnsi="Times New Roman" w:cs="Times New Roman"/>
          </w:rPr>
          <w:t>davidrodfo@unisabana.edu.co</w:t>
        </w:r>
      </w:hyperlink>
      <w:r w:rsidRPr="00014CCE">
        <w:rPr>
          <w:rFonts w:ascii="Times New Roman" w:hAnsi="Times New Roman" w:cs="Times New Roman"/>
        </w:rPr>
        <w:t xml:space="preserve">  (D.R.F), </w:t>
      </w:r>
      <w:hyperlink r:id="rId6" w:history="1">
        <w:r w:rsidRPr="00014CCE">
          <w:rPr>
            <w:rStyle w:val="Hipervnculo"/>
            <w:rFonts w:ascii="Times New Roman" w:hAnsi="Times New Roman" w:cs="Times New Roman"/>
          </w:rPr>
          <w:t>martha.cobo@unisabana.edu.co</w:t>
        </w:r>
      </w:hyperlink>
      <w:r w:rsidRPr="00014CCE">
        <w:rPr>
          <w:rFonts w:ascii="Times New Roman" w:hAnsi="Times New Roman" w:cs="Times New Roman"/>
        </w:rPr>
        <w:t xml:space="preserve"> (M.C)</w:t>
      </w:r>
    </w:p>
    <w:p w14:paraId="0A5199A6" w14:textId="77777777" w:rsidR="00DA763A" w:rsidRDefault="00DA763A" w:rsidP="00DA763A">
      <w:pPr>
        <w:spacing w:line="480" w:lineRule="auto"/>
        <w:jc w:val="center"/>
        <w:rPr>
          <w:rStyle w:val="Hipervnculo"/>
          <w:rFonts w:ascii="Times New Roman" w:hAnsi="Times New Roman" w:cs="Times New Roman"/>
        </w:rPr>
      </w:pPr>
      <w:r w:rsidRPr="00C50437">
        <w:rPr>
          <w:rFonts w:ascii="Times New Roman" w:hAnsi="Times New Roman" w:cs="Times New Roman"/>
          <w:vertAlign w:val="superscript"/>
        </w:rPr>
        <w:t>2</w:t>
      </w:r>
      <w:r w:rsidRPr="00C50437">
        <w:rPr>
          <w:rFonts w:ascii="Times New Roman" w:hAnsi="Times New Roman" w:cs="Times New Roman"/>
        </w:rPr>
        <w:t xml:space="preserve">Grupo de Investigación en Procesos Agroindustriales, Faculty of Engineering, Campus Universitario Puente del Común, Universidad de La Sabana, Km. 7 Autopista Norte, Bogotá 140013, Colombia; </w:t>
      </w:r>
      <w:hyperlink r:id="rId7" w:history="1">
        <w:r w:rsidRPr="00C50437">
          <w:rPr>
            <w:rStyle w:val="Hipervnculo"/>
            <w:rFonts w:ascii="Times New Roman" w:hAnsi="Times New Roman" w:cs="Times New Roman"/>
          </w:rPr>
          <w:t>Ruth.ruiz@unisabana.edu.co</w:t>
        </w:r>
      </w:hyperlink>
    </w:p>
    <w:p w14:paraId="77802AA7" w14:textId="77777777" w:rsidR="00DA763A" w:rsidRPr="002D7739" w:rsidRDefault="00DA763A" w:rsidP="00DA763A">
      <w:pPr>
        <w:spacing w:line="480" w:lineRule="auto"/>
        <w:jc w:val="center"/>
        <w:rPr>
          <w:rFonts w:ascii="Times New Roman" w:hAnsi="Times New Roman" w:cs="Times New Roman"/>
          <w:color w:val="000000" w:themeColor="text1"/>
          <w:lang w:val="en-US"/>
        </w:rPr>
      </w:pPr>
      <w:r w:rsidRPr="002D7739">
        <w:rPr>
          <w:rStyle w:val="Hipervnculo"/>
          <w:rFonts w:ascii="Times New Roman" w:hAnsi="Times New Roman" w:cs="Times New Roman"/>
          <w:color w:val="000000" w:themeColor="text1"/>
          <w:u w:val="none"/>
          <w:vertAlign w:val="superscript"/>
          <w:lang w:val="en-US"/>
        </w:rPr>
        <w:t>3</w:t>
      </w:r>
      <w:r w:rsidRPr="002D7739">
        <w:rPr>
          <w:rStyle w:val="Hipervnculo"/>
          <w:rFonts w:ascii="Times New Roman" w:hAnsi="Times New Roman" w:cs="Times New Roman"/>
          <w:color w:val="000000" w:themeColor="text1"/>
          <w:u w:val="none"/>
          <w:lang w:val="en-US"/>
        </w:rPr>
        <w:t xml:space="preserve">Hamburg University of Technology (TUHH), Institute of Environmental Technology and Energy Economics (IUE), </w:t>
      </w:r>
      <w:proofErr w:type="spellStart"/>
      <w:r w:rsidRPr="002D7739">
        <w:rPr>
          <w:rStyle w:val="Hipervnculo"/>
          <w:rFonts w:ascii="Times New Roman" w:hAnsi="Times New Roman" w:cs="Times New Roman"/>
          <w:color w:val="000000" w:themeColor="text1"/>
          <w:u w:val="none"/>
          <w:lang w:val="en-US"/>
        </w:rPr>
        <w:t>Eissendorfer</w:t>
      </w:r>
      <w:proofErr w:type="spellEnd"/>
      <w:r w:rsidRPr="002D7739">
        <w:rPr>
          <w:rStyle w:val="Hipervnculo"/>
          <w:rFonts w:ascii="Times New Roman" w:hAnsi="Times New Roman" w:cs="Times New Roman"/>
          <w:color w:val="000000" w:themeColor="text1"/>
          <w:u w:val="none"/>
          <w:lang w:val="en-US"/>
        </w:rPr>
        <w:t xml:space="preserve"> </w:t>
      </w:r>
      <w:proofErr w:type="spellStart"/>
      <w:r w:rsidRPr="002D7739">
        <w:rPr>
          <w:rStyle w:val="Hipervnculo"/>
          <w:rFonts w:ascii="Times New Roman" w:hAnsi="Times New Roman" w:cs="Times New Roman"/>
          <w:color w:val="000000" w:themeColor="text1"/>
          <w:u w:val="none"/>
          <w:lang w:val="en-US"/>
        </w:rPr>
        <w:t>straße</w:t>
      </w:r>
      <w:proofErr w:type="spellEnd"/>
      <w:r w:rsidRPr="002D7739">
        <w:rPr>
          <w:rStyle w:val="Hipervnculo"/>
          <w:rFonts w:ascii="Times New Roman" w:hAnsi="Times New Roman" w:cs="Times New Roman"/>
          <w:color w:val="000000" w:themeColor="text1"/>
          <w:u w:val="none"/>
          <w:lang w:val="en-US"/>
        </w:rPr>
        <w:t xml:space="preserve"> 40, D-2107, Hamburg, Germany; anne.roedl@gmail.com</w:t>
      </w:r>
    </w:p>
    <w:p w14:paraId="0AF12F19" w14:textId="77777777" w:rsidR="00DA763A" w:rsidRPr="00AF4D38" w:rsidRDefault="00DA763A" w:rsidP="00DA763A">
      <w:pPr>
        <w:spacing w:line="480" w:lineRule="auto"/>
        <w:jc w:val="center"/>
        <w:rPr>
          <w:rFonts w:ascii="Times New Roman" w:hAnsi="Times New Roman" w:cs="Times New Roman"/>
          <w:lang w:val="en-US"/>
        </w:rPr>
      </w:pPr>
      <w:r w:rsidRPr="00AF4D38">
        <w:rPr>
          <w:rFonts w:ascii="Times New Roman" w:hAnsi="Times New Roman" w:cs="Times New Roman"/>
          <w:lang w:val="en-US"/>
        </w:rPr>
        <w:t xml:space="preserve">*Correspondence: </w:t>
      </w:r>
      <w:hyperlink r:id="rId8" w:history="1">
        <w:r w:rsidRPr="00AF4D38">
          <w:rPr>
            <w:rStyle w:val="Hipervnculo"/>
            <w:rFonts w:ascii="Times New Roman" w:hAnsi="Times New Roman" w:cs="Times New Roman"/>
            <w:lang w:val="en-US"/>
          </w:rPr>
          <w:t>nestor.sanchez1@unisabana.edu.co</w:t>
        </w:r>
      </w:hyperlink>
    </w:p>
    <w:p w14:paraId="11598419" w14:textId="77777777" w:rsidR="00DA763A" w:rsidRDefault="00DA763A" w:rsidP="00DA763A">
      <w:pPr>
        <w:spacing w:line="480" w:lineRule="auto"/>
        <w:jc w:val="center"/>
        <w:rPr>
          <w:rFonts w:ascii="Times New Roman" w:hAnsi="Times New Roman" w:cs="Times New Roman"/>
          <w:b/>
          <w:bCs/>
          <w:lang w:val="en-US"/>
        </w:rPr>
        <w:sectPr w:rsidR="00DA763A">
          <w:pgSz w:w="12240" w:h="15840"/>
          <w:pgMar w:top="1417" w:right="1701" w:bottom="1417" w:left="1701" w:header="708" w:footer="708" w:gutter="0"/>
          <w:cols w:space="708"/>
          <w:docGrid w:linePitch="360"/>
        </w:sectPr>
      </w:pPr>
    </w:p>
    <w:p w14:paraId="75D60DFE" w14:textId="4E55F20D" w:rsidR="008A24CD" w:rsidRPr="008A24CD" w:rsidRDefault="008A24CD" w:rsidP="008A24CD">
      <w:pPr>
        <w:pStyle w:val="MDPI35textbeforelist"/>
        <w:spacing w:line="480" w:lineRule="auto"/>
        <w:ind w:left="0" w:firstLine="0"/>
        <w:jc w:val="left"/>
        <w:rPr>
          <w:rFonts w:ascii="Times New Roman" w:hAnsi="Times New Roman"/>
          <w:b/>
          <w:bCs/>
          <w:sz w:val="22"/>
        </w:rPr>
      </w:pPr>
      <w:r>
        <w:rPr>
          <w:rFonts w:ascii="Times New Roman" w:hAnsi="Times New Roman"/>
          <w:b/>
          <w:bCs/>
          <w:sz w:val="22"/>
        </w:rPr>
        <w:lastRenderedPageBreak/>
        <w:t>1. Life cycle inventory for the harvesting stage</w:t>
      </w:r>
    </w:p>
    <w:p w14:paraId="290C0295" w14:textId="1146AE80" w:rsidR="008A24CD" w:rsidRPr="008651FA" w:rsidRDefault="008A24CD" w:rsidP="008A24CD">
      <w:pPr>
        <w:pStyle w:val="MDPI35textbeforelist"/>
        <w:spacing w:line="480" w:lineRule="auto"/>
        <w:ind w:left="0" w:firstLine="0"/>
        <w:jc w:val="left"/>
        <w:rPr>
          <w:rFonts w:ascii="Times New Roman" w:hAnsi="Times New Roman"/>
          <w:sz w:val="22"/>
        </w:rPr>
      </w:pPr>
      <w:r w:rsidRPr="008651FA">
        <w:rPr>
          <w:rFonts w:ascii="Times New Roman" w:hAnsi="Times New Roman"/>
          <w:sz w:val="22"/>
        </w:rPr>
        <w:t xml:space="preserve">Information associated with soil </w:t>
      </w:r>
      <w:r>
        <w:rPr>
          <w:rFonts w:ascii="Times New Roman" w:hAnsi="Times New Roman"/>
          <w:sz w:val="22"/>
        </w:rPr>
        <w:t>quality,</w:t>
      </w:r>
      <w:r w:rsidRPr="008651FA">
        <w:rPr>
          <w:rFonts w:ascii="Times New Roman" w:hAnsi="Times New Roman"/>
          <w:sz w:val="22"/>
        </w:rPr>
        <w:t xml:space="preserve"> fertilizing requirements, and irrigation w</w:t>
      </w:r>
      <w:r>
        <w:rPr>
          <w:rFonts w:ascii="Times New Roman" w:hAnsi="Times New Roman"/>
          <w:sz w:val="22"/>
        </w:rPr>
        <w:t>as</w:t>
      </w:r>
      <w:r w:rsidRPr="008651FA">
        <w:rPr>
          <w:rFonts w:ascii="Times New Roman" w:hAnsi="Times New Roman"/>
          <w:sz w:val="22"/>
        </w:rPr>
        <w:t xml:space="preserve"> retrieved directly from </w:t>
      </w:r>
      <w:r>
        <w:rPr>
          <w:rFonts w:ascii="Times New Roman" w:hAnsi="Times New Roman"/>
          <w:sz w:val="22"/>
        </w:rPr>
        <w:t>farmers</w:t>
      </w:r>
      <w:r w:rsidRPr="008651FA">
        <w:rPr>
          <w:rFonts w:ascii="Times New Roman" w:hAnsi="Times New Roman"/>
          <w:sz w:val="22"/>
        </w:rPr>
        <w:t xml:space="preserve"> by using interviews. The sugarcane variety employed in the facility is ZC. This variety </w:t>
      </w:r>
      <w:r>
        <w:rPr>
          <w:rFonts w:ascii="Times New Roman" w:hAnsi="Times New Roman"/>
          <w:sz w:val="22"/>
        </w:rPr>
        <w:t>yields</w:t>
      </w:r>
      <w:r w:rsidRPr="008651FA">
        <w:rPr>
          <w:rFonts w:ascii="Times New Roman" w:hAnsi="Times New Roman"/>
          <w:sz w:val="22"/>
        </w:rPr>
        <w:t xml:space="preserve"> 216 t/ha with a crop period of 16 months (i.e., </w:t>
      </w:r>
      <w:r>
        <w:rPr>
          <w:rFonts w:ascii="Times New Roman" w:hAnsi="Times New Roman"/>
          <w:sz w:val="22"/>
        </w:rPr>
        <w:t xml:space="preserve">about </w:t>
      </w:r>
      <w:r w:rsidRPr="008651FA">
        <w:rPr>
          <w:rFonts w:ascii="Times New Roman" w:hAnsi="Times New Roman"/>
          <w:sz w:val="22"/>
        </w:rPr>
        <w:t>16</w:t>
      </w:r>
      <w:r>
        <w:rPr>
          <w:rFonts w:ascii="Times New Roman" w:hAnsi="Times New Roman"/>
          <w:sz w:val="22"/>
        </w:rPr>
        <w:t>3</w:t>
      </w:r>
      <w:r w:rsidRPr="008651FA">
        <w:rPr>
          <w:rFonts w:ascii="Times New Roman" w:hAnsi="Times New Roman"/>
          <w:sz w:val="22"/>
        </w:rPr>
        <w:t xml:space="preserve"> t/</w:t>
      </w:r>
      <w:r>
        <w:rPr>
          <w:rFonts w:ascii="Times New Roman" w:hAnsi="Times New Roman"/>
          <w:sz w:val="22"/>
        </w:rPr>
        <w:t>h</w:t>
      </w:r>
      <w:r w:rsidRPr="008651FA">
        <w:rPr>
          <w:rFonts w:ascii="Times New Roman" w:hAnsi="Times New Roman"/>
          <w:sz w:val="22"/>
        </w:rPr>
        <w:t xml:space="preserve">a*year) </w:t>
      </w:r>
      <w:r w:rsidRPr="008651FA">
        <w:rPr>
          <w:rFonts w:ascii="Times New Roman" w:hAnsi="Times New Roman"/>
          <w:sz w:val="22"/>
        </w:rPr>
        <w:fldChar w:fldCharType="begin" w:fldLock="1"/>
      </w:r>
      <w:r>
        <w:rPr>
          <w:rFonts w:ascii="Times New Roman" w:hAnsi="Times New Roman"/>
          <w:sz w:val="22"/>
        </w:rPr>
        <w:instrText>ADDIN CSL_CITATION {"citationItems":[{"id":"ITEM-1","itemData":{"ISBN":"9789587401783","author":[{"dropping-particle":"","family":"Ramírez-Durán","given":"Julio","non-dropping-particle":"","parse-names":false,"suffix":""},{"dropping-particle":"","family":"Insuasty-Burbano","given":"Orlando","non-dropping-particle":"","parse-names":false,"suffix":""},{"dropping-particle":"","family":"Murcia-Pardo","given":"Magda","non-dropping-particle":"","parse-names":false,"suffix":""}],"editor":[{"dropping-particle":"","family":"Nivia Gil","given":"Susana","non-dropping-particle":"","parse-names":false,"suffix":""}],"id":"ITEM-1","issued":{"date-parts":[["2014"]]},"number-of-pages":"116","publisher-place":"Barbosa, Santander","title":"Variedad de caña de azúcar empleadas para la agroindustria panelera de Colombia","type":"book"},"uris":["http://www.mendeley.com/documents/?uuid=eabcc28f-4ec8-4ad1-827a-d732fb7b46e7"]}],"mendeley":{"formattedCitation":"(Ramírez-Durán et al., 2014)","plainTextFormattedCitation":"(Ramírez-Durán et al., 2014)","previouslyFormattedCitation":"[1]"},"properties":{"noteIndex":0},"schema":"https://github.com/citation-style-language/schema/raw/master/csl-citation.json"}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(Ramírez-Durán et al., 2014)</w:t>
      </w:r>
      <w:r w:rsidRPr="008651FA">
        <w:rPr>
          <w:rFonts w:ascii="Times New Roman" w:hAnsi="Times New Roman"/>
          <w:sz w:val="22"/>
        </w:rPr>
        <w:fldChar w:fldCharType="end"/>
      </w:r>
      <w:r w:rsidRPr="008651FA">
        <w:rPr>
          <w:rFonts w:ascii="Times New Roman" w:hAnsi="Times New Roman"/>
          <w:sz w:val="22"/>
        </w:rPr>
        <w:t>. According to interviews, th</w:t>
      </w:r>
      <w:r>
        <w:rPr>
          <w:rFonts w:ascii="Times New Roman" w:hAnsi="Times New Roman"/>
          <w:sz w:val="22"/>
        </w:rPr>
        <w:t xml:space="preserve">e availability </w:t>
      </w:r>
      <w:r w:rsidRPr="008651FA">
        <w:rPr>
          <w:rFonts w:ascii="Times New Roman" w:hAnsi="Times New Roman"/>
          <w:sz w:val="22"/>
        </w:rPr>
        <w:t>of land is 23 ha correspond</w:t>
      </w:r>
      <w:r>
        <w:rPr>
          <w:rFonts w:ascii="Times New Roman" w:hAnsi="Times New Roman"/>
          <w:sz w:val="22"/>
        </w:rPr>
        <w:t>ing</w:t>
      </w:r>
      <w:r w:rsidRPr="008651FA">
        <w:rPr>
          <w:rFonts w:ascii="Times New Roman" w:hAnsi="Times New Roman"/>
          <w:sz w:val="22"/>
        </w:rPr>
        <w:t xml:space="preserve"> to </w:t>
      </w:r>
      <w:proofErr w:type="spellStart"/>
      <w:r w:rsidRPr="008651FA">
        <w:rPr>
          <w:rFonts w:ascii="Times New Roman" w:hAnsi="Times New Roman"/>
          <w:sz w:val="22"/>
        </w:rPr>
        <w:t>inceptisol</w:t>
      </w:r>
      <w:proofErr w:type="spellEnd"/>
      <w:r w:rsidRPr="008651FA">
        <w:rPr>
          <w:rFonts w:ascii="Times New Roman" w:hAnsi="Times New Roman"/>
          <w:sz w:val="22"/>
        </w:rPr>
        <w:t xml:space="preserve"> and </w:t>
      </w:r>
      <w:proofErr w:type="spellStart"/>
      <w:r w:rsidRPr="008651FA">
        <w:rPr>
          <w:rFonts w:ascii="Times New Roman" w:hAnsi="Times New Roman"/>
          <w:sz w:val="22"/>
        </w:rPr>
        <w:t>andisol</w:t>
      </w:r>
      <w:proofErr w:type="spellEnd"/>
      <w:r w:rsidRPr="008651FA">
        <w:rPr>
          <w:rFonts w:ascii="Times New Roman" w:hAnsi="Times New Roman"/>
          <w:sz w:val="22"/>
        </w:rPr>
        <w:t xml:space="preserve"> soils as stated by the United States Department of Agriculture (USDA) soil taxonomy. Therefore, the clay content of this soil is about 33.8 ± 17.04%, the average content of phosphorous is 32.</w:t>
      </w:r>
      <w:r>
        <w:rPr>
          <w:rFonts w:ascii="Times New Roman" w:hAnsi="Times New Roman"/>
          <w:sz w:val="22"/>
        </w:rPr>
        <w:t>4</w:t>
      </w:r>
      <w:r w:rsidRPr="008651FA">
        <w:rPr>
          <w:rFonts w:ascii="Times New Roman" w:hAnsi="Times New Roman"/>
          <w:sz w:val="22"/>
        </w:rPr>
        <w:t xml:space="preserve"> ± 54.88 ppm, calcium 2.89 ± 3.00 g/kg, magnesium 0.51 ± 0.52 g/kg, aluminum 0.37 ± 0.63 g/kg, and sodium 0.18 ± 0.43 g/kg </w:t>
      </w:r>
      <w:r w:rsidRPr="008651FA">
        <w:rPr>
          <w:rFonts w:ascii="Times New Roman" w:hAnsi="Times New Roman"/>
          <w:sz w:val="22"/>
        </w:rPr>
        <w:fldChar w:fldCharType="begin" w:fldLock="1"/>
      </w:r>
      <w:r>
        <w:rPr>
          <w:rFonts w:ascii="Times New Roman" w:hAnsi="Times New Roman"/>
          <w:sz w:val="22"/>
        </w:rPr>
        <w:instrText>ADDIN CSL_CITATION {"citationItems":[{"id":"ITEM-1","itemData":{"DOI":"10.1016/j.catena.2020.104940","ISSN":"03418162","abstract":"Advances in science and technology combined with the need to handle and manage natural resources have resulted in a gradual increase in soil data availability. This has allowed characterizing, describing, or proposing projects to address issues such as soil degradation, agricultural productivity, threats, and ecosystem services. Despite the availability of soil data, users are increasingly looking for additional, timely, and reliable information in order to respond to current and future situations, such as food security and climate change. IRAKA is a soil information system for the Colombian Cundiboyacense high plateau and the first to provide additional information from available official sources. It has a modular design based on the organization of a soil database whose structure incorporated 299 profiles, 1432 samples, and 55 properties and the integration, harmonization, and standardization of 8 soil surveys conducted in the area. The structured information enabled modeling and validating physical and chemical properties through digital soil mapping and comparing different machine learning techniques, including random forest, ranger, support vector machine, and ensemble models of these techniques. The interpolations of 11 quantitative properties and 1 qualitative property resulted in acceptable coefficients of goodness of fit due to different factors: property variability, representativeness, distribution in the study area, and property description based on environmental covariates. All the information generated has been made available for widespread use across different geographic web services. Thus IRAKA contributes to the management of information and knowledge through techniques and tools that allow users to visualize new information, use the information, and draw attention to new studies and improve databases in which the confidence level is insufficient and does not allow decision making.","author":[{"dropping-particle":"","family":"Araujo-Carrillo","given":"Gustavo A.","non-dropping-particle":"","parse-names":false,"suffix":""},{"dropping-particle":"","family":"Varón-Ramírez","given":"Viviana Marcela","non-dropping-particle":"","parse-names":false,"suffix":""},{"dropping-particle":"","family":"Jaramillo-Barrios","given":"Camilo Ignacio","non-dropping-particle":"","parse-names":false,"suffix":""},{"dropping-particle":"","family":"Estupiñan-Casallas","given":"Jhon M.","non-dropping-particle":"","parse-names":false,"suffix":""},{"dropping-particle":"","family":"Silva-Arero","given":"Elías Alexander","non-dropping-particle":"","parse-names":false,"suffix":""},{"dropping-particle":"","family":"Gómez-Latorre","given":"Douglas A.","non-dropping-particle":"","parse-names":false,"suffix":""},{"dropping-particle":"","family":"Martínez-Maldonado","given":"Fabio E.","non-dropping-particle":"","parse-names":false,"suffix":""}],"container-title":"Catena","id":"ITEM-1","issue":"February 2020","issued":{"date-parts":[["2021"]]},"title":"IRAKA: The first Colombian soil information system with digital soil mapping products","type":"article-journal","volume":"196"},"uris":["http://www.mendeley.com/documents/?uuid=6e5275a2-b6d2-4bcc-b457-5c611490b1aa"]}],"mendeley":{"formattedCitation":"(Araujo-Carrillo et al., 2021)","plainTextFormattedCitation":"(Araujo-Carrillo et al., 2021)","previouslyFormattedCitation":"[2]"},"properties":{"noteIndex":0},"schema":"https://github.com/citation-style-language/schema/raw/master/csl-citation.json"}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(Araujo-Carrillo et al., 2021)</w:t>
      </w:r>
      <w:r w:rsidRPr="008651FA">
        <w:rPr>
          <w:rFonts w:ascii="Times New Roman" w:hAnsi="Times New Roman"/>
          <w:sz w:val="22"/>
        </w:rPr>
        <w:fldChar w:fldCharType="end"/>
      </w:r>
      <w:r w:rsidRPr="00D6048E">
        <w:rPr>
          <w:rFonts w:ascii="Times New Roman" w:hAnsi="Times New Roman"/>
          <w:sz w:val="22"/>
        </w:rPr>
        <w:t xml:space="preserve">. </w:t>
      </w:r>
      <w:r w:rsidRPr="00C8738A">
        <w:rPr>
          <w:rFonts w:ascii="Times New Roman" w:hAnsi="Times New Roman"/>
          <w:sz w:val="22"/>
        </w:rPr>
        <w:t xml:space="preserve">According to </w:t>
      </w:r>
      <w:r w:rsidRPr="008651FA">
        <w:rPr>
          <w:rFonts w:ascii="Times New Roman" w:hAnsi="Times New Roman"/>
          <w:sz w:val="22"/>
        </w:rPr>
        <w:fldChar w:fldCharType="begin" w:fldLock="1"/>
      </w:r>
      <w:r>
        <w:rPr>
          <w:rFonts w:ascii="Times New Roman" w:hAnsi="Times New Roman"/>
          <w:sz w:val="22"/>
        </w:rPr>
        <w:instrText>ADDIN CSL_CITATION {"citationItems":[{"id":"ITEM-1","itemData":{"author":[{"dropping-particle":"","family":"Gonzáles Chavarro","given":"Felipe","non-dropping-particle":"","parse-names":false,"suffix":""},{"dropping-particle":"","family":"Cabezas Gutiérrez","given":"Marco","non-dropping-particle":"","parse-names":false,"suffix":""},{"dropping-particle":"","family":"Ramírez-Gómez","given":"Margarita","non-dropping-particle":"","parse-names":false,"suffix":""},{"dropping-particle":"","family":"Ramírez Durán","given":"Julio","non-dropping-particle":"","parse-names":false,"suffix":""}],"container-title":"Revista U.D.C.A Actualidad &amp; Divulgación Científica","id":"ITEM-1","issue":"2","issued":{"date-parts":[["2018"]]},"page":"395-404","title":"Macronutrient absorption curves in three varieties of sugarcane (Saccharum officinarum L.) for Panela in the Hoya del Río Suarez","type":"article-journal","volume":"21"},"uris":["http://www.mendeley.com/documents/?uuid=b2701544-b036-424f-adb0-d41a81771611"]}],"mendeley":{"formattedCitation":"(Gonzáles Chavarro et al., 2018)","manualFormatting":"Gonzáles Chavarro et al., (2018)","plainTextFormattedCitation":"(Gonzáles Chavarro et al., 2018)","previouslyFormattedCitation":"[3]"},"properties":{"noteIndex":0},"schema":"https://github.com/citation-style-language/schema/raw/master/csl-citation.json"}</w:instrText>
      </w:r>
      <w:r w:rsidRPr="008651FA">
        <w:rPr>
          <w:rFonts w:ascii="Times New Roman" w:hAnsi="Times New Roman"/>
          <w:sz w:val="22"/>
        </w:rPr>
        <w:fldChar w:fldCharType="separate"/>
      </w:r>
      <w:r w:rsidRPr="008A6D16">
        <w:rPr>
          <w:rFonts w:ascii="Times New Roman" w:hAnsi="Times New Roman"/>
          <w:noProof/>
          <w:sz w:val="22"/>
        </w:rPr>
        <w:t xml:space="preserve">Gonzáles Chavarro et al., </w:t>
      </w:r>
      <w:r>
        <w:rPr>
          <w:rFonts w:ascii="Times New Roman" w:hAnsi="Times New Roman"/>
          <w:noProof/>
          <w:sz w:val="22"/>
        </w:rPr>
        <w:t>(</w:t>
      </w:r>
      <w:r w:rsidRPr="008A6D16">
        <w:rPr>
          <w:rFonts w:ascii="Times New Roman" w:hAnsi="Times New Roman"/>
          <w:noProof/>
          <w:sz w:val="22"/>
        </w:rPr>
        <w:t>2018)</w:t>
      </w:r>
      <w:r w:rsidRPr="008651FA">
        <w:rPr>
          <w:rFonts w:ascii="Times New Roman" w:hAnsi="Times New Roman"/>
          <w:sz w:val="22"/>
        </w:rPr>
        <w:fldChar w:fldCharType="end"/>
      </w:r>
      <w:r w:rsidRPr="008651FA">
        <w:rPr>
          <w:rFonts w:ascii="Times New Roman" w:hAnsi="Times New Roman"/>
          <w:sz w:val="22"/>
        </w:rPr>
        <w:t xml:space="preserve">, the absorption of nitrogen for sugarcane is 279.2 ± 26.5 kg N/ha, for phosphorous is 42.6 ± 2.56 kg/ha, for potassium is 296.4 ± 44.4 kg/ha, for calcium is 73.7 ± 11.6 kg/ha, and for magnesium is 31.2 ± 4.15 kg/ha. </w:t>
      </w:r>
      <w:r>
        <w:rPr>
          <w:rFonts w:ascii="Times New Roman" w:hAnsi="Times New Roman"/>
          <w:sz w:val="22"/>
        </w:rPr>
        <w:t>O</w:t>
      </w:r>
      <w:r w:rsidRPr="008651FA">
        <w:rPr>
          <w:rFonts w:ascii="Times New Roman" w:hAnsi="Times New Roman"/>
          <w:sz w:val="22"/>
        </w:rPr>
        <w:t>rganic fertilizers such as leaves, buds, manure, and sugarcane press-mud are employed</w:t>
      </w:r>
      <w:r>
        <w:rPr>
          <w:rFonts w:ascii="Times New Roman" w:hAnsi="Times New Roman"/>
          <w:sz w:val="22"/>
        </w:rPr>
        <w:t xml:space="preserve"> t</w:t>
      </w:r>
      <w:r w:rsidRPr="008651FA">
        <w:rPr>
          <w:rFonts w:ascii="Times New Roman" w:hAnsi="Times New Roman"/>
          <w:sz w:val="22"/>
        </w:rPr>
        <w:t>o supply the macronutrients and micronutrients. Based on the interview</w:t>
      </w:r>
      <w:r>
        <w:rPr>
          <w:rFonts w:ascii="Times New Roman" w:hAnsi="Times New Roman"/>
          <w:sz w:val="22"/>
        </w:rPr>
        <w:t>s</w:t>
      </w:r>
      <w:r w:rsidRPr="008651FA">
        <w:rPr>
          <w:rFonts w:ascii="Times New Roman" w:hAnsi="Times New Roman"/>
          <w:sz w:val="22"/>
        </w:rPr>
        <w:t>, 768 t</w:t>
      </w:r>
      <w:r>
        <w:rPr>
          <w:rFonts w:ascii="Times New Roman" w:hAnsi="Times New Roman"/>
          <w:sz w:val="22"/>
        </w:rPr>
        <w:t xml:space="preserve"> of sug</w:t>
      </w:r>
      <w:r w:rsidRPr="008651FA">
        <w:rPr>
          <w:rFonts w:ascii="Times New Roman" w:hAnsi="Times New Roman"/>
          <w:sz w:val="22"/>
        </w:rPr>
        <w:t>ar</w:t>
      </w:r>
      <w:r>
        <w:rPr>
          <w:rFonts w:ascii="Times New Roman" w:hAnsi="Times New Roman"/>
          <w:sz w:val="22"/>
        </w:rPr>
        <w:t>cane</w:t>
      </w:r>
      <w:r w:rsidRPr="008651FA">
        <w:rPr>
          <w:rFonts w:ascii="Times New Roman" w:hAnsi="Times New Roman"/>
          <w:sz w:val="22"/>
        </w:rPr>
        <w:t xml:space="preserve"> </w:t>
      </w:r>
      <w:r>
        <w:rPr>
          <w:rFonts w:ascii="Times New Roman" w:hAnsi="Times New Roman"/>
          <w:sz w:val="22"/>
        </w:rPr>
        <w:t xml:space="preserve">is </w:t>
      </w:r>
      <w:r w:rsidRPr="008651FA">
        <w:rPr>
          <w:rFonts w:ascii="Times New Roman" w:hAnsi="Times New Roman"/>
          <w:sz w:val="22"/>
        </w:rPr>
        <w:t xml:space="preserve">yielded annually in the facility. Hence, </w:t>
      </w:r>
      <w:r>
        <w:rPr>
          <w:rFonts w:ascii="Times New Roman" w:hAnsi="Times New Roman"/>
          <w:sz w:val="22"/>
        </w:rPr>
        <w:t xml:space="preserve">annually </w:t>
      </w:r>
      <w:r w:rsidRPr="008651FA">
        <w:rPr>
          <w:rFonts w:ascii="Times New Roman" w:hAnsi="Times New Roman"/>
          <w:sz w:val="22"/>
        </w:rPr>
        <w:t>4.72</w:t>
      </w:r>
      <w:r>
        <w:rPr>
          <w:rFonts w:ascii="Times New Roman" w:hAnsi="Times New Roman"/>
          <w:sz w:val="22"/>
        </w:rPr>
        <w:t xml:space="preserve"> h</w:t>
      </w:r>
      <w:r w:rsidRPr="008651FA">
        <w:rPr>
          <w:rFonts w:ascii="Times New Roman" w:hAnsi="Times New Roman"/>
          <w:sz w:val="22"/>
        </w:rPr>
        <w:t xml:space="preserve">a are harvested.  </w:t>
      </w:r>
      <w:r>
        <w:rPr>
          <w:rFonts w:ascii="Times New Roman" w:hAnsi="Times New Roman"/>
          <w:sz w:val="22"/>
        </w:rPr>
        <w:t xml:space="preserve">Moreover, the environmental impacts associated with air, soil, and water emissions due to manure management and fertilizers applications were calculated according to the Intergovernmental Panel on Climate Change (IPCC) guidelines </w:t>
      </w:r>
      <w:r>
        <w:rPr>
          <w:rFonts w:ascii="Times New Roman" w:hAnsi="Times New Roman"/>
          <w:sz w:val="22"/>
        </w:rPr>
        <w:fldChar w:fldCharType="begin" w:fldLock="1"/>
      </w:r>
      <w:r>
        <w:rPr>
          <w:rFonts w:ascii="Times New Roman" w:hAnsi="Times New Roman"/>
          <w:sz w:val="22"/>
        </w:rPr>
        <w:instrText>ADDIN CSL_CITATION {"citationItems":[{"id":"ITEM-1","itemData":{"ISBN":"4887880324","abstract":"Intergovernmental Panel on Climate Change (IPCC) (2006), “2006 IPCC Guidelines for National Greenhouse Gas Inventories”, Geneva, Vol. 4, Chapter 11, pp. 1-54.","author":[{"dropping-particle":"","family":"Hergoualch","given":"Kristell","non-dropping-particle":"","parse-names":false,"suffix":""},{"dropping-particle":"","family":"Akiyama","given":"Hiroko","non-dropping-particle":"","parse-names":false,"suffix":""},{"dropping-particle":"","family":"Bernoux","given":"Martial","non-dropping-particle":"","parse-names":false,"suffix":""},{"dropping-particle":"","family":"Chirinda","given":"Ngonidzashe","non-dropping-particle":"","parse-names":false,"suffix":""},{"dropping-particle":"del","family":"Prado","given":"Agustin","non-dropping-particle":"","parse-names":false,"suffix":""},{"dropping-particle":"","family":"Kasimir","given":"Asa","non-dropping-particle":"","parse-names":false,"suffix":""},{"dropping-particle":"","family":"MacDonald","given":"James Douglas","non-dropping-particle":"","parse-names":false,"suffix":""},{"dropping-particle":"","family":"Ogle","given":"Stephen Michael","non-dropping-particle":"","parse-names":false,"suffix":""},{"dropping-particle":"","family":"Regina","given":"Kristiina","non-dropping-particle":"","parse-names":false,"suffix":""},{"dropping-particle":"","family":"Weerden","given":"Tony John","non-dropping-particle":"van der","parse-names":false,"suffix":""}],"chapter-number":"Chapter 11","container-title":"2019 Refinement to the 2006 IPCC Guidelines for National Greenhouse Gas Inventories","id":"ITEM-1","issued":{"date-parts":[["2019"]]},"page":"48","title":"N2O Emissions From Managed Soils, and CO2 Emissions From Lime and Urea Application","type":"chapter"},"uris":["http://www.mendeley.com/documents/?uuid=5fe5d2c6-207e-4492-b02e-51f3e235c530"]},{"id":"ITEM-2","itemData":{"ISBN":"4-88788-032-4","author":[{"dropping-particle":"","family":"Dong","given":"Hongmin","non-dropping-particle":"","parse-names":false,"suffix":""},{"dropping-particle":"","family":"Mangino","given":"Joe","non-dropping-particle":"","parse-names":false,"suffix":""},{"dropping-particle":"","family":"McAllister","given":"Tim A.","non-dropping-particle":"","parse-names":false,"suffix":""},{"dropping-particle":"","family":"Hatfield","given":"Jerry L","non-dropping-particle":"","parse-names":false,"suffix":""},{"dropping-particle":"","family":"Johnson","given":"Donald E","non-dropping-particle":"","parse-names":false,"suffix":""},{"dropping-particle":"","family":"Bartram","given":"Deborah","non-dropping-particle":"","parse-names":false,"suffix":""},{"dropping-particle":"","family":"Gibb","given":"Darryl","non-dropping-particle":"","parse-names":false,"suffix":""},{"dropping-particle":"","family":"Martin","given":"John H","non-dropping-particle":"","parse-names":false,"suffix":""}],"chapter-number":"Chapter 10","container-title":"IPCC Guidelines for National Greenhouse Gas inventories. Volume 4","editor":[{"dropping-particle":"","family":"Eggleston","given":"Simon","non-dropping-particle":"","parse-names":false,"suffix":""},{"dropping-particle":"","family":"Buendia","given":"Leandro","non-dropping-particle":"","parse-names":false,"suffix":""},{"dropping-particle":"","family":"Miwa","given":"Kyoko","non-dropping-particle":"","parse-names":false,"suffix":""},{"dropping-particle":"","family":"Ngara","given":"Todd","non-dropping-particle":"","parse-names":false,"suffix":""},{"dropping-particle":"","family":"Tanabe","given":"Kiyoto","non-dropping-particle":"","parse-names":false,"suffix":""}],"id":"ITEM-2","issued":{"date-parts":[["2006"]]},"page":"87","publisher":"Institute of Global Environmental Strategies","publisher-place":"Japan","title":"Emissions from livestock and manure management","type":"chapter"},"uris":["http://www.mendeley.com/documents/?uuid=839ce2ad-222b-4f3c-8ffb-d541db85ae6e"]},{"id":"ITEM-3","itemData":{"ISSN":"00129976","author":[{"dropping-particle":"","family":"Lasco","given":"Rodel D.","non-dropping-particle":"","parse-names":false,"suffix":""},{"dropping-particle":"","family":"Ogle","given":"Stephen","non-dropping-particle":"","parse-names":false,"suffix":""},{"dropping-particle":"","family":"Raison","given":"John","non-dropping-particle":"","parse-names":false,"suffix":""},{"dropping-particle":"","family":"Verchot","given":"Louis","non-dropping-particle":"","parse-names":false,"suffix":""},{"dropping-particle":"","family":"Wassmann","given":"Reiner","non-dropping-particle":"","parse-names":false,"suffix":""},{"dropping-particle":"","family":"Yagi","given":"Kazuyuki","non-dropping-particle":"","parse-names":false,"suffix":""}],"chapter-number":"Chapter 5","container-title":"2006 IPCC Guidelines for National Greenhouse Gas Inventories. Volume 4: Agriculture, Forestry and other Land Use","id":"ITEM-3","issued":{"date-parts":[["2006"]]},"page":"66","title":"Cropland","type":"chapter"},"uris":["http://www.mendeley.com/documents/?uuid=0b15bb61-9c97-4560-a204-b11aa7ab577c"]},{"id":"ITEM-4","itemData":{"DOI":"10.1016/bs.ache.2021.10.005","ISBN":"9780128206478","ISSN":"00652377","abstract":"To alleviate climate change caused by carbon emissions, carbon capture and storage (CCS) technologies have been widely studied and implemented in power plants and industrial processes with intensive carbon emissions. CCS is the process of capturing CO2 before or after it enters the atmosphere, transporting it, and storing it for sequestration or utilization. It can be integrated into systems of synthetic hydrocarbon production for CO2 utilization. In this chapter, various CCS methods, including traditional absorption and adsorption carbon capture, and more novel means, such as membrane-based, solar thermal, and hydrate-based carbon capture, are introduced. Existing pilots of direct air capture approaches are also reviewed.","author":[{"dropping-particle":"","family":"Metz","given":"Bert","non-dropping-particle":"","parse-names":false,"suffix":""},{"dropping-particle":"","family":"Davidson","given":"Ogunlade","non-dropping-particle":"","parse-names":false,"suffix":""},{"dropping-particle":"de","family":"Coninck","given":"Heleen","non-dropping-particle":"","parse-names":false,"suffix":""},{"dropping-particle":"","family":"Loos","given":"Manuela","non-dropping-particle":"","parse-names":false,"suffix":""},{"dropping-particle":"","family":"Meyer","given":"Leo","non-dropping-particle":"","parse-names":false,"suffix":""}],"container-title":"Intergovernmental Panel on Climate Change","id":"ITEM-4","issued":{"date-parts":[["2005"]]},"number-of-pages":"431","title":"IPCC Special Report on Carbon Dioxide Capture and Storage","type":"report","volume":"58"},"uris":["http://www.mendeley.com/documents/?uuid=cd5ee9b0-ea23-409b-8415-512310b34df6"]}],"mendeley":{"formattedCitation":"(Dong et al., 2006; Hergoualch et al., 2019; Lasco et al., 2006; Metz et al., 2005)","plainTextFormattedCitation":"(Dong et al., 2006; Hergoualch et al., 2019; Lasco et al., 2006; Metz et al., 2005)","previouslyFormattedCitation":"[4–7]"},"properties":{"noteIndex":0},"schema":"https://github.com/citation-style-language/schema/raw/master/csl-citation.json"}</w:instrText>
      </w:r>
      <w:r>
        <w:rPr>
          <w:rFonts w:ascii="Times New Roman" w:hAnsi="Times New Roman"/>
          <w:sz w:val="22"/>
        </w:rPr>
        <w:fldChar w:fldCharType="separate"/>
      </w:r>
      <w:r w:rsidRPr="008A24CD">
        <w:rPr>
          <w:rFonts w:ascii="Times New Roman" w:hAnsi="Times New Roman"/>
          <w:noProof/>
          <w:sz w:val="22"/>
        </w:rPr>
        <w:t>(Dong et al., 2006; Hergoualch et al., 2019; Lasco et al., 2006; Metz et al., 2005)</w:t>
      </w:r>
      <w:r>
        <w:rPr>
          <w:rFonts w:ascii="Times New Roman" w:hAnsi="Times New Roman"/>
          <w:sz w:val="22"/>
        </w:rPr>
        <w:fldChar w:fldCharType="end"/>
      </w:r>
      <w:r>
        <w:rPr>
          <w:rFonts w:ascii="Times New Roman" w:hAnsi="Times New Roman"/>
          <w:sz w:val="22"/>
        </w:rPr>
        <w:t xml:space="preserve"> as shown below.</w:t>
      </w:r>
    </w:p>
    <w:p w14:paraId="4CCBE066" w14:textId="77777777" w:rsidR="008A24CD" w:rsidRPr="008651FA" w:rsidRDefault="008A24CD" w:rsidP="008A24CD">
      <w:pPr>
        <w:pStyle w:val="MDPI35textbeforelist"/>
        <w:spacing w:line="480" w:lineRule="auto"/>
        <w:jc w:val="left"/>
        <w:rPr>
          <w:rFonts w:ascii="Times New Roman" w:hAnsi="Times New Roman"/>
          <w:sz w:val="22"/>
        </w:rPr>
      </w:pPr>
    </w:p>
    <w:p w14:paraId="446C93D4" w14:textId="0A6EDF9D" w:rsidR="008A24CD" w:rsidRPr="008651FA" w:rsidRDefault="008A24CD" w:rsidP="008A24CD">
      <w:pPr>
        <w:pStyle w:val="MDPI35textbeforelist"/>
        <w:spacing w:line="480" w:lineRule="auto"/>
        <w:ind w:left="0" w:firstLine="0"/>
        <w:jc w:val="left"/>
        <w:rPr>
          <w:rFonts w:ascii="Times New Roman" w:hAnsi="Times New Roman"/>
          <w:sz w:val="22"/>
        </w:rPr>
      </w:pPr>
      <w:r w:rsidRPr="008651FA">
        <w:rPr>
          <w:rFonts w:ascii="Times New Roman" w:hAnsi="Times New Roman"/>
          <w:sz w:val="22"/>
        </w:rPr>
        <w:t>Manure is the main fertiliz</w:t>
      </w:r>
      <w:r>
        <w:rPr>
          <w:rFonts w:ascii="Times New Roman" w:hAnsi="Times New Roman"/>
          <w:sz w:val="22"/>
        </w:rPr>
        <w:t>er in the production facility</w:t>
      </w:r>
      <w:r w:rsidRPr="008651FA">
        <w:rPr>
          <w:rFonts w:ascii="Times New Roman" w:hAnsi="Times New Roman"/>
          <w:sz w:val="22"/>
        </w:rPr>
        <w:t xml:space="preserve">. According to the interview, the facility has five swine, </w:t>
      </w:r>
      <w:r>
        <w:rPr>
          <w:rFonts w:ascii="Times New Roman" w:hAnsi="Times New Roman"/>
          <w:sz w:val="22"/>
        </w:rPr>
        <w:t>eighty</w:t>
      </w:r>
      <w:r w:rsidRPr="008651FA">
        <w:rPr>
          <w:rFonts w:ascii="Times New Roman" w:hAnsi="Times New Roman"/>
          <w:sz w:val="22"/>
        </w:rPr>
        <w:t xml:space="preserve"> poultries, and </w:t>
      </w:r>
      <w:r>
        <w:rPr>
          <w:rFonts w:ascii="Times New Roman" w:hAnsi="Times New Roman"/>
          <w:sz w:val="22"/>
        </w:rPr>
        <w:t>six</w:t>
      </w:r>
      <w:r w:rsidRPr="008651FA">
        <w:rPr>
          <w:rFonts w:ascii="Times New Roman" w:hAnsi="Times New Roman"/>
          <w:sz w:val="22"/>
        </w:rPr>
        <w:t xml:space="preserve"> mules. The latter are employed for transporting the sugarcane from the harvest area to the facility. Emissions associated with animals </w:t>
      </w:r>
      <w:r>
        <w:rPr>
          <w:rFonts w:ascii="Times New Roman" w:hAnsi="Times New Roman"/>
          <w:sz w:val="22"/>
        </w:rPr>
        <w:t xml:space="preserve">are </w:t>
      </w:r>
      <w:r w:rsidRPr="008651FA">
        <w:rPr>
          <w:rFonts w:ascii="Times New Roman" w:hAnsi="Times New Roman"/>
          <w:sz w:val="22"/>
        </w:rPr>
        <w:t>divided in</w:t>
      </w:r>
      <w:r>
        <w:rPr>
          <w:rFonts w:ascii="Times New Roman" w:hAnsi="Times New Roman"/>
          <w:sz w:val="22"/>
        </w:rPr>
        <w:t>to</w:t>
      </w:r>
      <w:r w:rsidRPr="008651FA">
        <w:rPr>
          <w:rFonts w:ascii="Times New Roman" w:hAnsi="Times New Roman"/>
          <w:sz w:val="22"/>
        </w:rPr>
        <w:t xml:space="preserve"> enteric fermentation and manure management. In the former case, enteric fermentation produces methane as </w:t>
      </w:r>
      <w:r>
        <w:rPr>
          <w:rFonts w:ascii="Times New Roman" w:hAnsi="Times New Roman"/>
          <w:sz w:val="22"/>
        </w:rPr>
        <w:t xml:space="preserve">the </w:t>
      </w:r>
      <w:r w:rsidRPr="008651FA">
        <w:rPr>
          <w:rFonts w:ascii="Times New Roman" w:hAnsi="Times New Roman"/>
          <w:sz w:val="22"/>
        </w:rPr>
        <w:t>sole emission</w:t>
      </w:r>
      <w:r>
        <w:rPr>
          <w:rFonts w:ascii="Times New Roman" w:hAnsi="Times New Roman"/>
          <w:sz w:val="22"/>
        </w:rPr>
        <w:t xml:space="preserve"> and i</w:t>
      </w:r>
      <w:r w:rsidRPr="008651FA">
        <w:rPr>
          <w:rFonts w:ascii="Times New Roman" w:hAnsi="Times New Roman"/>
          <w:sz w:val="22"/>
        </w:rPr>
        <w:t xml:space="preserve">t was calculated according to Eq (1) where </w:t>
      </w:r>
      <m:oMath>
        <m:sSubSup>
          <m:sSubSupPr>
            <m:ctrlPr>
              <w:rPr>
                <w:rFonts w:ascii="Cambria Math" w:hAnsi="Cambria Math"/>
                <w:sz w:val="22"/>
              </w:rPr>
            </m:ctrlPr>
          </m:sSubSupPr>
          <m:e>
            <m:r>
              <m:rPr>
                <m:sty m:val="p"/>
              </m:rPr>
              <w:rPr>
                <w:rFonts w:ascii="Cambria Math" w:hAnsi="Cambria Math"/>
                <w:sz w:val="22"/>
              </w:rPr>
              <m:t>m</m:t>
            </m:r>
          </m:e>
          <m:sub>
            <m:r>
              <m:rPr>
                <m:sty m:val="p"/>
              </m:rPr>
              <w:rPr>
                <w:rFonts w:ascii="Cambria Math" w:hAnsi="Cambria Math"/>
                <w:sz w:val="22"/>
              </w:rPr>
              <m:t>CH4</m:t>
            </m:r>
          </m:sub>
          <m:sup>
            <m:r>
              <m:rPr>
                <m:sty m:val="p"/>
              </m:rPr>
              <w:rPr>
                <w:rFonts w:ascii="Cambria Math" w:hAnsi="Cambria Math"/>
                <w:sz w:val="22"/>
              </w:rPr>
              <m:t>EF</m:t>
            </m:r>
          </m:sup>
        </m:sSubSup>
      </m:oMath>
      <w:r w:rsidRPr="008651FA">
        <w:rPr>
          <w:rFonts w:ascii="Times New Roman" w:hAnsi="Times New Roman"/>
          <w:sz w:val="22"/>
        </w:rPr>
        <w:t xml:space="preserve"> is the amount of methane produced through enteric fermentation (kg CH</w:t>
      </w:r>
      <w:r w:rsidRPr="008651FA">
        <w:rPr>
          <w:rFonts w:ascii="Times New Roman" w:hAnsi="Times New Roman"/>
          <w:sz w:val="22"/>
          <w:vertAlign w:val="subscript"/>
        </w:rPr>
        <w:t>4</w:t>
      </w:r>
      <w:r w:rsidRPr="008651FA">
        <w:rPr>
          <w:rFonts w:ascii="Times New Roman" w:hAnsi="Times New Roman"/>
          <w:sz w:val="22"/>
        </w:rPr>
        <w:t>/</w:t>
      </w:r>
      <w:r>
        <w:rPr>
          <w:rFonts w:ascii="Times New Roman" w:hAnsi="Times New Roman"/>
          <w:sz w:val="22"/>
        </w:rPr>
        <w:t>a</w:t>
      </w:r>
      <w:r w:rsidRPr="008651FA">
        <w:rPr>
          <w:rFonts w:ascii="Times New Roman" w:hAnsi="Times New Roman"/>
          <w:sz w:val="22"/>
        </w:rPr>
        <w:t>), GE</w:t>
      </w:r>
      <w:r w:rsidRPr="008651FA">
        <w:rPr>
          <w:rFonts w:ascii="Times New Roman" w:hAnsi="Times New Roman"/>
          <w:sz w:val="22"/>
          <w:vertAlign w:val="subscript"/>
        </w:rPr>
        <w:t>T</w:t>
      </w:r>
      <w:r w:rsidRPr="008651FA">
        <w:rPr>
          <w:rFonts w:ascii="Times New Roman" w:hAnsi="Times New Roman"/>
          <w:sz w:val="22"/>
        </w:rPr>
        <w:t xml:space="preserve"> is the gross energy intake per animal T (MJ/head/day), </w:t>
      </w:r>
      <w:proofErr w:type="spellStart"/>
      <w:r w:rsidRPr="008651FA">
        <w:rPr>
          <w:rFonts w:ascii="Times New Roman" w:hAnsi="Times New Roman"/>
          <w:sz w:val="22"/>
        </w:rPr>
        <w:t>Y</w:t>
      </w:r>
      <w:r w:rsidRPr="008651FA">
        <w:rPr>
          <w:rFonts w:ascii="Times New Roman" w:hAnsi="Times New Roman"/>
          <w:sz w:val="22"/>
          <w:vertAlign w:val="subscript"/>
        </w:rPr>
        <w:t>m,T</w:t>
      </w:r>
      <w:proofErr w:type="spellEnd"/>
      <w:r w:rsidRPr="008651FA">
        <w:rPr>
          <w:rFonts w:ascii="Times New Roman" w:hAnsi="Times New Roman"/>
          <w:sz w:val="22"/>
          <w:vertAlign w:val="subscript"/>
        </w:rPr>
        <w:t xml:space="preserve"> </w:t>
      </w:r>
      <w:r w:rsidRPr="008651FA">
        <w:rPr>
          <w:rFonts w:ascii="Times New Roman" w:hAnsi="Times New Roman"/>
          <w:sz w:val="22"/>
        </w:rPr>
        <w:t xml:space="preserve">is the methane conversion factor that depends on the animal T, and </w:t>
      </w:r>
      <w:r w:rsidRPr="008651FA">
        <w:rPr>
          <w:rFonts w:ascii="Times New Roman" w:hAnsi="Times New Roman"/>
          <w:sz w:val="22"/>
        </w:rPr>
        <w:lastRenderedPageBreak/>
        <w:t>N</w:t>
      </w:r>
      <w:r w:rsidRPr="008651FA">
        <w:rPr>
          <w:rFonts w:ascii="Times New Roman" w:hAnsi="Times New Roman"/>
          <w:sz w:val="22"/>
          <w:vertAlign w:val="subscript"/>
        </w:rPr>
        <w:t xml:space="preserve">T </w:t>
      </w:r>
      <w:r w:rsidRPr="008651FA">
        <w:rPr>
          <w:rFonts w:ascii="Times New Roman" w:hAnsi="Times New Roman"/>
          <w:sz w:val="22"/>
        </w:rPr>
        <w:t xml:space="preserve">is the total animal T available in the facility </w:t>
      </w:r>
      <w:r w:rsidRPr="008651FA">
        <w:rPr>
          <w:rFonts w:ascii="Times New Roman" w:hAnsi="Times New Roman"/>
          <w:sz w:val="22"/>
        </w:rPr>
        <w:fldChar w:fldCharType="begin" w:fldLock="1"/>
      </w:r>
      <w:r>
        <w:rPr>
          <w:rFonts w:ascii="Times New Roman" w:hAnsi="Times New Roman"/>
          <w:sz w:val="22"/>
        </w:rPr>
        <w:instrText>ADDIN CSL_CITATION {"citationItems":[{"id":"ITEM-1","itemData":{"author":[{"dropping-particle":"","family":"Nemecek","given":"Thomas","non-dropping-particle":"","parse-names":false,"suffix":""},{"dropping-particle":"","family":"Bengoa","given":"Xavier","non-dropping-particle":"","parse-names":false,"suffix":""},{"dropping-particle":"","family":"Lansche","given":"Jens","non-dropping-particle":"","parse-names":false,"suffix":""},{"dropping-particle":"","family":"Mouron","given":"Patrik","non-dropping-particle":"","parse-names":false,"suffix":""},{"dropping-particle":"","family":"Rossi","given":"Vincent","non-dropping-particle":"","parse-names":false,"suffix":""},{"dropping-particle":"","family":"Humbert","given":"Sebastian","non-dropping-particle":"","parse-names":false,"suffix":""}],"id":"ITEM-1","issue":"July","issued":{"date-parts":[["2014"]]},"number-of-pages":"80","publisher-place":"Lausanne and Zurich, Switzerland","title":"Methodological Guidelines for the Life Cycle Inventory of Agricultural Products","type":"report"},"uris":["http://www.mendeley.com/documents/?uuid=f2318c4e-9d58-4a16-9980-a07e1c55d4b3"]}],"mendeley":{"formattedCitation":"(Nemecek et al., 2014)","plainTextFormattedCitation":"(Nemecek et al., 2014)","previouslyFormattedCitation":"[8]"},"properties":{"noteIndex":0},"schema":"https://github.com/citation-style-language/schema/raw/master/csl-citation.json"}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(Nemecek et al., 2014)</w:t>
      </w:r>
      <w:r w:rsidRPr="008651FA">
        <w:rPr>
          <w:rFonts w:ascii="Times New Roman" w:hAnsi="Times New Roman"/>
          <w:sz w:val="22"/>
        </w:rPr>
        <w:fldChar w:fldCharType="end"/>
      </w:r>
      <w:r w:rsidRPr="008651FA">
        <w:rPr>
          <w:rFonts w:ascii="Times New Roman" w:hAnsi="Times New Roman"/>
          <w:sz w:val="22"/>
        </w:rPr>
        <w:t xml:space="preserve">. For manure management, Tier 1 </w:t>
      </w:r>
      <w:r>
        <w:rPr>
          <w:rFonts w:ascii="Times New Roman" w:hAnsi="Times New Roman"/>
          <w:sz w:val="22"/>
        </w:rPr>
        <w:t xml:space="preserve">of IPCC method </w:t>
      </w:r>
      <w:r w:rsidRPr="008651FA">
        <w:rPr>
          <w:rFonts w:ascii="Times New Roman" w:hAnsi="Times New Roman"/>
          <w:sz w:val="22"/>
        </w:rPr>
        <w:t>was employed as</w:t>
      </w:r>
      <w:r>
        <w:rPr>
          <w:rFonts w:ascii="Times New Roman" w:hAnsi="Times New Roman"/>
          <w:sz w:val="22"/>
        </w:rPr>
        <w:t xml:space="preserve"> an</w:t>
      </w:r>
      <w:r w:rsidRPr="008651FA">
        <w:rPr>
          <w:rFonts w:ascii="Times New Roman" w:hAnsi="Times New Roman"/>
          <w:sz w:val="22"/>
        </w:rPr>
        <w:t xml:space="preserve"> approach to calculate methane emissions, as shown in Eq. (2) where EF</w:t>
      </w:r>
      <w:r w:rsidRPr="008651FA">
        <w:rPr>
          <w:rFonts w:ascii="Times New Roman" w:hAnsi="Times New Roman"/>
          <w:sz w:val="22"/>
          <w:vertAlign w:val="subscript"/>
        </w:rPr>
        <w:t>T</w:t>
      </w:r>
      <w:r w:rsidRPr="008651FA">
        <w:rPr>
          <w:rFonts w:ascii="Times New Roman" w:hAnsi="Times New Roman"/>
          <w:sz w:val="22"/>
        </w:rPr>
        <w:t xml:space="preserve"> is the emission factor for manure management that depends on the animal and the region temperature. The emission factors for swine, poultry, and mules were 1, 0.02, and 0.9 kg CH</w:t>
      </w:r>
      <w:r w:rsidRPr="008651FA">
        <w:rPr>
          <w:rFonts w:ascii="Times New Roman" w:hAnsi="Times New Roman"/>
          <w:sz w:val="22"/>
          <w:vertAlign w:val="subscript"/>
        </w:rPr>
        <w:t>4</w:t>
      </w:r>
      <w:r w:rsidRPr="008651FA">
        <w:rPr>
          <w:rFonts w:ascii="Times New Roman" w:hAnsi="Times New Roman"/>
          <w:sz w:val="22"/>
        </w:rPr>
        <w:t>/head/</w:t>
      </w:r>
      <w:r>
        <w:rPr>
          <w:rFonts w:ascii="Times New Roman" w:hAnsi="Times New Roman"/>
          <w:sz w:val="22"/>
        </w:rPr>
        <w:t>a</w:t>
      </w:r>
      <w:r w:rsidRPr="008651FA">
        <w:rPr>
          <w:rFonts w:ascii="Times New Roman" w:hAnsi="Times New Roman"/>
          <w:sz w:val="22"/>
        </w:rPr>
        <w:t xml:space="preserve">, respectively </w:t>
      </w:r>
      <w:r w:rsidRPr="008651FA">
        <w:rPr>
          <w:rFonts w:ascii="Times New Roman" w:hAnsi="Times New Roman"/>
          <w:sz w:val="22"/>
        </w:rPr>
        <w:fldChar w:fldCharType="begin" w:fldLock="1"/>
      </w:r>
      <w:r>
        <w:rPr>
          <w:rFonts w:ascii="Times New Roman" w:hAnsi="Times New Roman"/>
          <w:sz w:val="22"/>
        </w:rPr>
        <w:instrText>ADDIN CSL_CITATION {"citationItems":[{"id":"ITEM-1","itemData":{"ISBN":"4-88788-032-4","author":[{"dropping-particle":"","family":"Dong","given":"Hongmin","non-dropping-particle":"","parse-names":false,"suffix":""},{"dropping-particle":"","family":"Mangino","given":"Joe","non-dropping-particle":"","parse-names":false,"suffix":""},{"dropping-particle":"","family":"McAllister","given":"Tim A.","non-dropping-particle":"","parse-names":false,"suffix":""},{"dropping-particle":"","family":"Hatfield","given":"Jerry L","non-dropping-particle":"","parse-names":false,"suffix":""},{"dropping-particle":"","family":"Johnson","given":"Donald E","non-dropping-particle":"","parse-names":false,"suffix":""},{"dropping-particle":"","family":"Bartram","given":"Deborah","non-dropping-particle":"","parse-names":false,"suffix":""},{"dropping-particle":"","family":"Gibb","given":"Darryl","non-dropping-particle":"","parse-names":false,"suffix":""},{"dropping-particle":"","family":"Martin","given":"John H","non-dropping-particle":"","parse-names":false,"suffix":""}],"chapter-number":"Chapter 10","container-title":"IPCC Guidelines for National Greenhouse Gas inventories. Volume 4","editor":[{"dropping-particle":"","family":"Eggleston","given":"Simon","non-dropping-particle":"","parse-names":false,"suffix":""},{"dropping-particle":"","family":"Buendia","given":"Leandro","non-dropping-particle":"","parse-names":false,"suffix":""},{"dropping-particle":"","family":"Miwa","given":"Kyoko","non-dropping-particle":"","parse-names":false,"suffix":""},{"dropping-particle":"","family":"Ngara","given":"Todd","non-dropping-particle":"","parse-names":false,"suffix":""},{"dropping-particle":"","family":"Tanabe","given":"Kiyoto","non-dropping-particle":"","parse-names":false,"suffix":""}],"id":"ITEM-1","issued":{"date-parts":[["2006"]]},"page":"87","publisher":"Institute of Global Environmental Strategies","publisher-place":"Japan","title":"Emissions from livestock and manure management","type":"chapter"},"uris":["http://www.mendeley.com/documents/?uuid=839ce2ad-222b-4f3c-8ffb-d541db85ae6e"]}],"mendeley":{"formattedCitation":"(Dong et al., 2006)","plainTextFormattedCitation":"(Dong et al., 2006)","previouslyFormattedCitation":"[5]"},"properties":{"noteIndex":0},"schema":"https://github.com/citation-style-language/schema/raw/master/csl-citation.json"}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(Dong et al., 2006)</w:t>
      </w:r>
      <w:r w:rsidRPr="008651FA">
        <w:rPr>
          <w:rFonts w:ascii="Times New Roman" w:hAnsi="Times New Roman"/>
          <w:sz w:val="22"/>
        </w:rPr>
        <w:fldChar w:fldCharType="end"/>
      </w:r>
      <w:r w:rsidRPr="008651FA">
        <w:rPr>
          <w:rFonts w:ascii="Times New Roman" w:hAnsi="Times New Roman"/>
          <w:sz w:val="22"/>
        </w:rPr>
        <w:t xml:space="preserve">. </w:t>
      </w:r>
    </w:p>
    <w:p w14:paraId="146FFFA3" w14:textId="77777777" w:rsidR="008A24CD" w:rsidRPr="008651FA" w:rsidRDefault="008A24CD" w:rsidP="008A24CD">
      <w:pPr>
        <w:pStyle w:val="MDPI35textbeforelist"/>
        <w:spacing w:line="480" w:lineRule="auto"/>
        <w:jc w:val="left"/>
        <w:rPr>
          <w:rFonts w:ascii="Times New Roman" w:hAnsi="Times New Roman"/>
          <w:sz w:val="22"/>
        </w:rPr>
      </w:pPr>
    </w:p>
    <w:p w14:paraId="27AEDEF7"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Sup>
          <m:sSubSupPr>
            <m:ctrlPr>
              <w:rPr>
                <w:rFonts w:ascii="Cambria Math" w:hAnsi="Cambria Math"/>
                <w:sz w:val="22"/>
              </w:rPr>
            </m:ctrlPr>
          </m:sSubSupPr>
          <m:e>
            <m:r>
              <m:rPr>
                <m:sty m:val="p"/>
              </m:rPr>
              <w:rPr>
                <w:rFonts w:ascii="Cambria Math" w:hAnsi="Cambria Math"/>
                <w:sz w:val="22"/>
              </w:rPr>
              <m:t>m</m:t>
            </m:r>
          </m:e>
          <m:sub>
            <m:r>
              <m:rPr>
                <m:sty m:val="p"/>
              </m:rPr>
              <w:rPr>
                <w:rFonts w:ascii="Cambria Math" w:hAnsi="Cambria Math"/>
                <w:sz w:val="22"/>
              </w:rPr>
              <m:t>CH4</m:t>
            </m:r>
          </m:sub>
          <m:sup>
            <m:r>
              <m:rPr>
                <m:sty m:val="p"/>
              </m:rPr>
              <w:rPr>
                <w:rFonts w:ascii="Cambria Math" w:hAnsi="Cambria Math"/>
                <w:sz w:val="22"/>
              </w:rPr>
              <m:t>EF</m:t>
            </m:r>
          </m:sup>
        </m:sSubSup>
        <m:r>
          <m:rPr>
            <m:sty m:val="p"/>
          </m:rPr>
          <w:rPr>
            <w:rFonts w:ascii="Cambria Math" w:hAnsi="Cambria Math"/>
            <w:sz w:val="22"/>
          </w:rPr>
          <m:t>=</m:t>
        </m:r>
        <m:nary>
          <m:naryPr>
            <m:chr m:val="∑"/>
            <m:limLoc m:val="undOvr"/>
            <m:supHide m:val="1"/>
            <m:ctrlPr>
              <w:rPr>
                <w:rFonts w:ascii="Cambria Math" w:hAnsi="Cambria Math"/>
                <w:sz w:val="22"/>
              </w:rPr>
            </m:ctrlPr>
          </m:naryPr>
          <m:sub>
            <m:r>
              <m:rPr>
                <m:sty m:val="p"/>
              </m:rPr>
              <w:rPr>
                <w:rFonts w:ascii="Cambria Math" w:hAnsi="Cambria Math"/>
                <w:sz w:val="22"/>
              </w:rPr>
              <m:t>T</m:t>
            </m:r>
          </m:sub>
          <m:sup/>
          <m:e>
            <m:d>
              <m:dPr>
                <m:ctrlPr>
                  <w:rPr>
                    <w:rFonts w:ascii="Cambria Math" w:hAnsi="Cambria Math"/>
                    <w:sz w:val="22"/>
                  </w:rPr>
                </m:ctrlPr>
              </m:dPr>
              <m:e>
                <m:f>
                  <m:fPr>
                    <m:ctrlPr>
                      <w:rPr>
                        <w:rFonts w:ascii="Cambria Math" w:hAnsi="Cambria Math"/>
                        <w:sz w:val="22"/>
                      </w:rPr>
                    </m:ctrlPr>
                  </m:fPr>
                  <m:num>
                    <m:sSub>
                      <m:sSubPr>
                        <m:ctrlPr>
                          <w:rPr>
                            <w:rFonts w:ascii="Cambria Math" w:hAnsi="Cambria Math"/>
                            <w:sz w:val="22"/>
                          </w:rPr>
                        </m:ctrlPr>
                      </m:sSubPr>
                      <m:e>
                        <m:r>
                          <m:rPr>
                            <m:sty m:val="p"/>
                          </m:rPr>
                          <w:rPr>
                            <w:rFonts w:ascii="Cambria Math" w:hAnsi="Cambria Math"/>
                            <w:sz w:val="22"/>
                          </w:rPr>
                          <m:t>GE</m:t>
                        </m:r>
                      </m:e>
                      <m:sub>
                        <m:r>
                          <m:rPr>
                            <m:sty m:val="p"/>
                          </m:rPr>
                          <w:rPr>
                            <w:rFonts w:ascii="Cambria Math" w:hAnsi="Cambria Math"/>
                            <w:sz w:val="22"/>
                          </w:rPr>
                          <m:t>T</m:t>
                        </m:r>
                      </m:sub>
                    </m:sSub>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Y</m:t>
                        </m:r>
                      </m:e>
                      <m:sub>
                        <m:r>
                          <m:rPr>
                            <m:sty m:val="p"/>
                          </m:rPr>
                          <w:rPr>
                            <w:rFonts w:ascii="Cambria Math" w:hAnsi="Cambria Math"/>
                            <w:sz w:val="22"/>
                          </w:rPr>
                          <m:t>m,T</m:t>
                        </m:r>
                      </m:sub>
                    </m:sSub>
                    <m:r>
                      <m:rPr>
                        <m:sty m:val="p"/>
                      </m:rPr>
                      <w:rPr>
                        <w:rFonts w:ascii="Cambria Math" w:hAnsi="Cambria Math"/>
                        <w:sz w:val="22"/>
                      </w:rPr>
                      <m:t>*365</m:t>
                    </m:r>
                  </m:num>
                  <m:den>
                    <m:r>
                      <m:rPr>
                        <m:sty m:val="p"/>
                      </m:rPr>
                      <w:rPr>
                        <w:rFonts w:ascii="Cambria Math" w:hAnsi="Cambria Math"/>
                        <w:sz w:val="22"/>
                      </w:rPr>
                      <m:t>55.45</m:t>
                    </m:r>
                  </m:den>
                </m:f>
              </m:e>
            </m:d>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N</m:t>
                </m:r>
              </m:e>
              <m:sub>
                <m:r>
                  <m:rPr>
                    <m:sty m:val="p"/>
                  </m:rPr>
                  <w:rPr>
                    <w:rFonts w:ascii="Cambria Math" w:hAnsi="Cambria Math"/>
                    <w:sz w:val="22"/>
                  </w:rPr>
                  <m:t>T</m:t>
                </m:r>
              </m:sub>
            </m:sSub>
          </m:e>
        </m:nary>
      </m:oMath>
      <w:r w:rsidR="008A24CD" w:rsidRPr="008651FA">
        <w:rPr>
          <w:rFonts w:ascii="Times New Roman" w:hAnsi="Times New Roman"/>
          <w:iCs/>
          <w:sz w:val="22"/>
        </w:rPr>
        <w:tab/>
        <w:t xml:space="preserve"> </w:t>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t>Eq. (1)</w:t>
      </w:r>
    </w:p>
    <w:p w14:paraId="7AAC7FE5" w14:textId="77777777" w:rsidR="008A24CD" w:rsidRPr="008651FA" w:rsidRDefault="008A24CD" w:rsidP="008A24CD">
      <w:pPr>
        <w:pStyle w:val="MDPI35textbeforelist"/>
        <w:spacing w:line="480" w:lineRule="auto"/>
        <w:ind w:left="3118" w:firstLine="452"/>
        <w:jc w:val="left"/>
        <w:rPr>
          <w:rFonts w:ascii="Times New Roman" w:hAnsi="Times New Roman"/>
          <w:iCs/>
          <w:sz w:val="22"/>
        </w:rPr>
      </w:pPr>
    </w:p>
    <w:p w14:paraId="46B3700C" w14:textId="77777777" w:rsidR="008A24CD" w:rsidRPr="008651FA" w:rsidRDefault="0009182D" w:rsidP="008A24CD">
      <w:pPr>
        <w:pStyle w:val="MDPI35textbeforelist"/>
        <w:spacing w:line="480" w:lineRule="auto"/>
        <w:ind w:left="0" w:firstLine="0"/>
        <w:jc w:val="left"/>
        <w:rPr>
          <w:rFonts w:ascii="Times New Roman" w:hAnsi="Times New Roman"/>
          <w:sz w:val="22"/>
        </w:rPr>
      </w:pPr>
      <m:oMath>
        <m:sSub>
          <m:sSubPr>
            <m:ctrlPr>
              <w:rPr>
                <w:rFonts w:ascii="Cambria Math" w:hAnsi="Cambria Math"/>
                <w:sz w:val="22"/>
              </w:rPr>
            </m:ctrlPr>
          </m:sSubPr>
          <m:e>
            <m:r>
              <m:rPr>
                <m:sty m:val="p"/>
              </m:rPr>
              <w:rPr>
                <w:rFonts w:ascii="Cambria Math" w:hAnsi="Cambria Math"/>
                <w:sz w:val="22"/>
              </w:rPr>
              <m:t>CH</m:t>
            </m:r>
          </m:e>
          <m:sub>
            <m:r>
              <m:rPr>
                <m:sty m:val="p"/>
              </m:rPr>
              <w:rPr>
                <w:rFonts w:ascii="Cambria Math" w:hAnsi="Cambria Math"/>
                <w:sz w:val="22"/>
              </w:rPr>
              <m:t>4,manure</m:t>
            </m:r>
          </m:sub>
        </m:sSub>
        <m:r>
          <m:rPr>
            <m:sty m:val="p"/>
          </m:rPr>
          <w:rPr>
            <w:rFonts w:ascii="Cambria Math" w:hAnsi="Cambria Math"/>
            <w:sz w:val="22"/>
          </w:rPr>
          <m:t>=</m:t>
        </m:r>
        <m:nary>
          <m:naryPr>
            <m:chr m:val="∑"/>
            <m:limLoc m:val="undOvr"/>
            <m:supHide m:val="1"/>
            <m:ctrlPr>
              <w:rPr>
                <w:rFonts w:ascii="Cambria Math" w:hAnsi="Cambria Math"/>
                <w:sz w:val="22"/>
              </w:rPr>
            </m:ctrlPr>
          </m:naryPr>
          <m:sub>
            <m:r>
              <m:rPr>
                <m:sty m:val="p"/>
              </m:rPr>
              <w:rPr>
                <w:rFonts w:ascii="Cambria Math" w:hAnsi="Cambria Math"/>
                <w:sz w:val="22"/>
              </w:rPr>
              <m:t>T</m:t>
            </m:r>
          </m:sub>
          <m:sup/>
          <m:e>
            <m:sSub>
              <m:sSubPr>
                <m:ctrlPr>
                  <w:rPr>
                    <w:rFonts w:ascii="Cambria Math" w:hAnsi="Cambria Math"/>
                    <w:sz w:val="22"/>
                  </w:rPr>
                </m:ctrlPr>
              </m:sSubPr>
              <m:e>
                <m:r>
                  <m:rPr>
                    <m:sty m:val="p"/>
                  </m:rPr>
                  <w:rPr>
                    <w:rFonts w:ascii="Cambria Math" w:hAnsi="Cambria Math"/>
                    <w:sz w:val="22"/>
                  </w:rPr>
                  <m:t>EF</m:t>
                </m:r>
              </m:e>
              <m:sub>
                <m:r>
                  <m:rPr>
                    <m:sty m:val="p"/>
                  </m:rPr>
                  <w:rPr>
                    <w:rFonts w:ascii="Cambria Math" w:hAnsi="Cambria Math"/>
                    <w:sz w:val="22"/>
                  </w:rPr>
                  <m:t>T</m:t>
                </m:r>
              </m:sub>
            </m:sSub>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N</m:t>
                </m:r>
              </m:e>
              <m:sub>
                <m:r>
                  <m:rPr>
                    <m:sty m:val="p"/>
                  </m:rPr>
                  <w:rPr>
                    <w:rFonts w:ascii="Cambria Math" w:hAnsi="Cambria Math"/>
                    <w:sz w:val="22"/>
                  </w:rPr>
                  <m:t>T</m:t>
                </m:r>
              </m:sub>
            </m:sSub>
          </m:e>
        </m:nary>
      </m:oMath>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t>Eq. (2)</w:t>
      </w:r>
    </w:p>
    <w:p w14:paraId="6CDE5FF0" w14:textId="77777777" w:rsidR="008A24CD" w:rsidRPr="008651FA" w:rsidRDefault="008A24CD" w:rsidP="008A24CD">
      <w:pPr>
        <w:pStyle w:val="MDPI35textbeforelist"/>
        <w:spacing w:line="480" w:lineRule="auto"/>
        <w:ind w:left="3118" w:firstLine="452"/>
        <w:jc w:val="left"/>
        <w:rPr>
          <w:rFonts w:ascii="Times New Roman" w:hAnsi="Times New Roman"/>
          <w:sz w:val="22"/>
        </w:rPr>
      </w:pPr>
    </w:p>
    <w:p w14:paraId="2A136363" w14:textId="238B518A" w:rsidR="008A24CD" w:rsidRPr="008651FA" w:rsidRDefault="008A24CD" w:rsidP="008A24CD">
      <w:pPr>
        <w:pStyle w:val="MDPI35textbeforelist"/>
        <w:spacing w:line="480" w:lineRule="auto"/>
        <w:ind w:left="0" w:firstLine="0"/>
        <w:jc w:val="left"/>
        <w:rPr>
          <w:rFonts w:ascii="Times New Roman" w:hAnsi="Times New Roman"/>
          <w:sz w:val="22"/>
        </w:rPr>
      </w:pPr>
      <w:r w:rsidRPr="008651FA">
        <w:rPr>
          <w:rFonts w:ascii="Times New Roman" w:hAnsi="Times New Roman"/>
          <w:sz w:val="22"/>
        </w:rPr>
        <w:t>Manure obtained from the animals is directly deposited in the grass as fertilizer after i</w:t>
      </w:r>
      <w:r>
        <w:rPr>
          <w:rFonts w:ascii="Times New Roman" w:hAnsi="Times New Roman"/>
          <w:sz w:val="22"/>
        </w:rPr>
        <w:t>ts</w:t>
      </w:r>
      <w:r w:rsidRPr="008651FA">
        <w:rPr>
          <w:rFonts w:ascii="Times New Roman" w:hAnsi="Times New Roman"/>
          <w:sz w:val="22"/>
        </w:rPr>
        <w:t xml:space="preserve"> management. Eq. (3) was employed to calculate the amount of indirect emissions of N</w:t>
      </w:r>
      <w:r w:rsidRPr="008651FA">
        <w:rPr>
          <w:rFonts w:ascii="Times New Roman" w:hAnsi="Times New Roman"/>
          <w:sz w:val="22"/>
          <w:vertAlign w:val="subscript"/>
        </w:rPr>
        <w:t>2</w:t>
      </w:r>
      <w:r w:rsidRPr="008651FA">
        <w:rPr>
          <w:rFonts w:ascii="Times New Roman" w:hAnsi="Times New Roman"/>
          <w:sz w:val="22"/>
        </w:rPr>
        <w:t>O where N</w:t>
      </w:r>
      <w:r w:rsidRPr="008651FA">
        <w:rPr>
          <w:rFonts w:ascii="Times New Roman" w:hAnsi="Times New Roman"/>
          <w:sz w:val="22"/>
          <w:vertAlign w:val="subscript"/>
        </w:rPr>
        <w:t>2</w:t>
      </w:r>
      <w:r w:rsidRPr="008651FA">
        <w:rPr>
          <w:rFonts w:ascii="Times New Roman" w:hAnsi="Times New Roman"/>
          <w:sz w:val="22"/>
        </w:rPr>
        <w:t>O</w:t>
      </w:r>
      <w:r w:rsidRPr="008651FA">
        <w:rPr>
          <w:rFonts w:ascii="Times New Roman" w:hAnsi="Times New Roman"/>
          <w:sz w:val="22"/>
          <w:vertAlign w:val="subscript"/>
        </w:rPr>
        <w:t>(ATD)-</w:t>
      </w:r>
      <w:r w:rsidRPr="008651FA">
        <w:rPr>
          <w:rFonts w:ascii="Times New Roman" w:hAnsi="Times New Roman"/>
          <w:sz w:val="22"/>
        </w:rPr>
        <w:t>N is the annual amount of N</w:t>
      </w:r>
      <w:r w:rsidRPr="008651FA">
        <w:rPr>
          <w:rFonts w:ascii="Times New Roman" w:hAnsi="Times New Roman"/>
          <w:sz w:val="22"/>
          <w:vertAlign w:val="subscript"/>
        </w:rPr>
        <w:t>2</w:t>
      </w:r>
      <w:r w:rsidRPr="008651FA">
        <w:rPr>
          <w:rFonts w:ascii="Times New Roman" w:hAnsi="Times New Roman"/>
          <w:sz w:val="22"/>
        </w:rPr>
        <w:t>O-N produced from atmospheric deposition of N volatilized from managed soils (kg N</w:t>
      </w:r>
      <w:r w:rsidRPr="008651FA">
        <w:rPr>
          <w:rFonts w:ascii="Times New Roman" w:hAnsi="Times New Roman"/>
          <w:sz w:val="22"/>
          <w:vertAlign w:val="subscript"/>
        </w:rPr>
        <w:t>2</w:t>
      </w:r>
      <w:r w:rsidRPr="008651FA">
        <w:rPr>
          <w:rFonts w:ascii="Times New Roman" w:hAnsi="Times New Roman"/>
          <w:sz w:val="22"/>
        </w:rPr>
        <w:t>O-N/year), F</w:t>
      </w:r>
      <w:r w:rsidRPr="008651FA">
        <w:rPr>
          <w:rFonts w:ascii="Times New Roman" w:hAnsi="Times New Roman"/>
          <w:sz w:val="22"/>
          <w:vertAlign w:val="subscript"/>
        </w:rPr>
        <w:t>ON</w:t>
      </w:r>
      <w:r w:rsidRPr="008651FA">
        <w:rPr>
          <w:rFonts w:ascii="Times New Roman" w:hAnsi="Times New Roman"/>
          <w:sz w:val="22"/>
        </w:rPr>
        <w:t xml:space="preserve"> is the annual amount of managed animal manure, compost, and other organic nitrogen source applied to soil (kg N/year), FRAC</w:t>
      </w:r>
      <w:r w:rsidRPr="008651FA">
        <w:rPr>
          <w:rFonts w:ascii="Times New Roman" w:hAnsi="Times New Roman"/>
          <w:sz w:val="22"/>
          <w:vertAlign w:val="subscript"/>
        </w:rPr>
        <w:t xml:space="preserve">GASM </w:t>
      </w:r>
      <w:r w:rsidRPr="008651FA">
        <w:rPr>
          <w:rFonts w:ascii="Times New Roman" w:hAnsi="Times New Roman"/>
          <w:sz w:val="22"/>
        </w:rPr>
        <w:t>is the fraction of applied organic N fertilizer materials that volatilizes as NH</w:t>
      </w:r>
      <w:r w:rsidRPr="008651FA">
        <w:rPr>
          <w:rFonts w:ascii="Times New Roman" w:hAnsi="Times New Roman"/>
          <w:sz w:val="22"/>
          <w:vertAlign w:val="subscript"/>
        </w:rPr>
        <w:t>3</w:t>
      </w:r>
      <w:r w:rsidRPr="008651FA">
        <w:rPr>
          <w:rFonts w:ascii="Times New Roman" w:hAnsi="Times New Roman"/>
          <w:sz w:val="22"/>
        </w:rPr>
        <w:t xml:space="preserve"> and NO</w:t>
      </w:r>
      <w:r w:rsidRPr="008651FA">
        <w:rPr>
          <w:rFonts w:ascii="Times New Roman" w:hAnsi="Times New Roman"/>
          <w:sz w:val="22"/>
          <w:vertAlign w:val="subscript"/>
        </w:rPr>
        <w:t>x</w:t>
      </w:r>
      <w:r w:rsidRPr="008651FA">
        <w:rPr>
          <w:rFonts w:ascii="Times New Roman" w:hAnsi="Times New Roman"/>
          <w:sz w:val="22"/>
        </w:rPr>
        <w:t xml:space="preserve"> (kg N volatilized/kg N deposited), F</w:t>
      </w:r>
      <w:r w:rsidRPr="008651FA">
        <w:rPr>
          <w:rFonts w:ascii="Times New Roman" w:hAnsi="Times New Roman"/>
          <w:sz w:val="22"/>
          <w:vertAlign w:val="subscript"/>
        </w:rPr>
        <w:t xml:space="preserve">PRP </w:t>
      </w:r>
      <w:r w:rsidRPr="008651FA">
        <w:rPr>
          <w:rFonts w:ascii="Times New Roman" w:hAnsi="Times New Roman"/>
          <w:sz w:val="22"/>
        </w:rPr>
        <w:t>is the annual amount of urine and dung deposited by grazing animals (kg N/animal), and EF</w:t>
      </w:r>
      <w:r w:rsidRPr="008651FA">
        <w:rPr>
          <w:rFonts w:ascii="Times New Roman" w:hAnsi="Times New Roman"/>
          <w:sz w:val="22"/>
          <w:vertAlign w:val="subscript"/>
        </w:rPr>
        <w:t>1</w:t>
      </w:r>
      <w:r w:rsidRPr="008651FA">
        <w:rPr>
          <w:rFonts w:ascii="Times New Roman" w:hAnsi="Times New Roman"/>
          <w:sz w:val="22"/>
        </w:rPr>
        <w:t xml:space="preserve"> is the emission factor for N</w:t>
      </w:r>
      <w:r w:rsidRPr="008651FA">
        <w:rPr>
          <w:rFonts w:ascii="Times New Roman" w:hAnsi="Times New Roman"/>
          <w:sz w:val="22"/>
          <w:vertAlign w:val="subscript"/>
        </w:rPr>
        <w:t>2</w:t>
      </w:r>
      <w:r w:rsidRPr="008651FA">
        <w:rPr>
          <w:rFonts w:ascii="Times New Roman" w:hAnsi="Times New Roman"/>
          <w:sz w:val="22"/>
        </w:rPr>
        <w:t xml:space="preserve">O emissions from atmospheric deposition of N on soils </w:t>
      </w:r>
      <w:r w:rsidRPr="008651FA">
        <w:rPr>
          <w:rFonts w:ascii="Times New Roman" w:hAnsi="Times New Roman"/>
          <w:sz w:val="22"/>
        </w:rPr>
        <w:fldChar w:fldCharType="begin" w:fldLock="1"/>
      </w:r>
      <w:r>
        <w:rPr>
          <w:rFonts w:ascii="Times New Roman" w:hAnsi="Times New Roman"/>
          <w:sz w:val="22"/>
        </w:rPr>
        <w:instrText>ADDIN CSL_CITATION {"citationItems":[{"id":"ITEM-1","itemData":{"ISBN":"4887880324","abstract":"Intergovernmental Panel on Climate Change (IPCC) (2006), “2006 IPCC Guidelines for National Greenhouse Gas Inventories”, Geneva, Vol. 4, Chapter 11, pp. 1-54.","author":[{"dropping-particle":"","family":"Hergoualch","given":"Kristell","non-dropping-particle":"","parse-names":false,"suffix":""},{"dropping-particle":"","family":"Akiyama","given":"Hiroko","non-dropping-particle":"","parse-names":false,"suffix":""},{"dropping-particle":"","family":"Bernoux","given":"Martial","non-dropping-particle":"","parse-names":false,"suffix":""},{"dropping-particle":"","family":"Chirinda","given":"Ngonidzashe","non-dropping-particle":"","parse-names":false,"suffix":""},{"dropping-particle":"del","family":"Prado","given":"Agustin","non-dropping-particle":"","parse-names":false,"suffix":""},{"dropping-particle":"","family":"Kasimir","given":"Asa","non-dropping-particle":"","parse-names":false,"suffix":""},{"dropping-particle":"","family":"MacDonald","given":"James Douglas","non-dropping-particle":"","parse-names":false,"suffix":""},{"dropping-particle":"","family":"Ogle","given":"Stephen Michael","non-dropping-particle":"","parse-names":false,"suffix":""},{"dropping-particle":"","family":"Regina","given":"Kristiina","non-dropping-particle":"","parse-names":false,"suffix":""},{"dropping-particle":"","family":"Weerden","given":"Tony John","non-dropping-particle":"van der","parse-names":false,"suffix":""}],"chapter-number":"Chapter 11","container-title":"2019 Refinement to the 2006 IPCC Guidelines for National Greenhouse Gas Inventories","id":"ITEM-1","issued":{"date-parts":[["2019"]]},"page":"48","title":"N2O Emissions From Managed Soils, and CO2 Emissions From Lime and Urea Application","type":"chapter"},"uris":["http://www.mendeley.com/documents/?uuid=5fe5d2c6-207e-4492-b02e-51f3e235c530"]}],"mendeley":{"formattedCitation":"(Hergoualch et al., 2019)","plainTextFormattedCitation":"(Hergoualch et al., 2019)","previouslyFormattedCitation":"[4]"},"properties":{"noteIndex":0},"schema":"https://github.com/citation-style-language/schema/raw/master/csl-citation.json"}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(Hergoualch et al., 2019)</w:t>
      </w:r>
      <w:r w:rsidRPr="008651FA">
        <w:rPr>
          <w:rFonts w:ascii="Times New Roman" w:hAnsi="Times New Roman"/>
          <w:sz w:val="22"/>
        </w:rPr>
        <w:fldChar w:fldCharType="end"/>
      </w:r>
      <w:r w:rsidRPr="008651FA">
        <w:rPr>
          <w:rFonts w:ascii="Times New Roman" w:hAnsi="Times New Roman"/>
          <w:sz w:val="22"/>
        </w:rPr>
        <w:t>. In this case</w:t>
      </w:r>
      <w:r>
        <w:rPr>
          <w:rFonts w:ascii="Times New Roman" w:hAnsi="Times New Roman"/>
          <w:sz w:val="22"/>
        </w:rPr>
        <w:t>,</w:t>
      </w:r>
      <w:r w:rsidRPr="008651FA">
        <w:rPr>
          <w:rFonts w:ascii="Times New Roman" w:hAnsi="Times New Roman"/>
          <w:sz w:val="22"/>
        </w:rPr>
        <w:t xml:space="preserve"> three organic nitrogen sources are employed (i.e., leaves, sugarcane press</w:t>
      </w:r>
      <w:r>
        <w:rPr>
          <w:rFonts w:ascii="Times New Roman" w:hAnsi="Times New Roman"/>
          <w:sz w:val="22"/>
        </w:rPr>
        <w:t xml:space="preserve"> </w:t>
      </w:r>
      <w:r w:rsidRPr="008651FA">
        <w:rPr>
          <w:rFonts w:ascii="Times New Roman" w:hAnsi="Times New Roman"/>
          <w:sz w:val="22"/>
        </w:rPr>
        <w:t>mud, and manure). F</w:t>
      </w:r>
      <w:r w:rsidRPr="008651FA">
        <w:rPr>
          <w:rFonts w:ascii="Times New Roman" w:hAnsi="Times New Roman"/>
          <w:sz w:val="22"/>
          <w:vertAlign w:val="subscript"/>
        </w:rPr>
        <w:t>ON</w:t>
      </w:r>
      <w:r w:rsidRPr="008651FA">
        <w:rPr>
          <w:rFonts w:ascii="Times New Roman" w:hAnsi="Times New Roman"/>
          <w:sz w:val="22"/>
        </w:rPr>
        <w:t xml:space="preserve"> was calculated based on the amount of residue and the nitrogen content, whose values are shown in Table 2.  </w:t>
      </w:r>
    </w:p>
    <w:p w14:paraId="44D8A7B4" w14:textId="77777777" w:rsidR="008A24CD" w:rsidRPr="008651FA" w:rsidRDefault="008A24CD" w:rsidP="008A24CD">
      <w:pPr>
        <w:pStyle w:val="MDPI35textbeforelist"/>
        <w:spacing w:line="480" w:lineRule="auto"/>
        <w:jc w:val="left"/>
        <w:rPr>
          <w:rFonts w:ascii="Times New Roman" w:hAnsi="Times New Roman"/>
          <w:sz w:val="22"/>
        </w:rPr>
      </w:pPr>
    </w:p>
    <w:p w14:paraId="46A67CF5" w14:textId="77777777" w:rsidR="008A24CD" w:rsidRPr="008651FA" w:rsidRDefault="0009182D" w:rsidP="008A24CD">
      <w:pPr>
        <w:pStyle w:val="MDPI35textbeforelist"/>
        <w:spacing w:line="480" w:lineRule="auto"/>
        <w:ind w:left="0" w:firstLine="0"/>
        <w:jc w:val="left"/>
        <w:rPr>
          <w:rFonts w:ascii="Times New Roman" w:hAnsi="Times New Roman"/>
          <w:sz w:val="22"/>
        </w:rPr>
      </w:pPr>
      <m:oMath>
        <m:sSub>
          <m:sSubPr>
            <m:ctrlPr>
              <w:rPr>
                <w:rFonts w:ascii="Cambria Math" w:hAnsi="Cambria Math"/>
                <w:iCs/>
                <w:sz w:val="22"/>
              </w:rPr>
            </m:ctrlPr>
          </m:sSubPr>
          <m:e>
            <m:r>
              <m:rPr>
                <m:sty m:val="p"/>
              </m:rPr>
              <w:rPr>
                <w:rFonts w:ascii="Cambria Math" w:hAnsi="Cambria Math"/>
                <w:sz w:val="22"/>
              </w:rPr>
              <m:t>N</m:t>
            </m:r>
          </m:e>
          <m:sub>
            <m:r>
              <m:rPr>
                <m:sty m:val="p"/>
              </m:rPr>
              <w:rPr>
                <w:rFonts w:ascii="Cambria Math" w:hAnsi="Cambria Math"/>
                <w:sz w:val="22"/>
              </w:rPr>
              <m:t>2</m:t>
            </m:r>
          </m:sub>
        </m:sSub>
        <m:sSub>
          <m:sSubPr>
            <m:ctrlPr>
              <w:rPr>
                <w:rFonts w:ascii="Cambria Math" w:hAnsi="Cambria Math"/>
                <w:iCs/>
                <w:sz w:val="22"/>
              </w:rPr>
            </m:ctrlPr>
          </m:sSubPr>
          <m:e>
            <m:r>
              <m:rPr>
                <m:sty m:val="p"/>
              </m:rPr>
              <w:rPr>
                <w:rFonts w:ascii="Cambria Math" w:hAnsi="Cambria Math"/>
                <w:sz w:val="22"/>
              </w:rPr>
              <m:t>O</m:t>
            </m:r>
          </m:e>
          <m:sub>
            <m:r>
              <m:rPr>
                <m:sty m:val="p"/>
              </m:rPr>
              <w:rPr>
                <w:rFonts w:ascii="Cambria Math" w:hAnsi="Cambria Math"/>
                <w:sz w:val="22"/>
              </w:rPr>
              <m:t>(ATD)</m:t>
            </m:r>
          </m:sub>
        </m:sSub>
        <m:r>
          <m:rPr>
            <m:sty m:val="p"/>
          </m:rPr>
          <w:rPr>
            <w:rFonts w:ascii="Cambria Math" w:hAnsi="Cambria Math"/>
            <w:sz w:val="22"/>
          </w:rPr>
          <m:t>-N=</m:t>
        </m:r>
        <m:nary>
          <m:naryPr>
            <m:chr m:val="∑"/>
            <m:limLoc m:val="undOvr"/>
            <m:subHide m:val="1"/>
            <m:supHide m:val="1"/>
            <m:ctrlPr>
              <w:rPr>
                <w:rFonts w:ascii="Cambria Math" w:hAnsi="Cambria Math"/>
                <w:iCs/>
                <w:sz w:val="22"/>
              </w:rPr>
            </m:ctrlPr>
          </m:naryPr>
          <m:sub/>
          <m:sup/>
          <m:e>
            <m: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F</m:t>
                </m:r>
              </m:e>
              <m:sub>
                <m:r>
                  <m:rPr>
                    <m:sty m:val="p"/>
                  </m:rPr>
                  <w:rPr>
                    <w:rFonts w:ascii="Cambria Math" w:hAnsi="Cambria Math"/>
                    <w:sz w:val="22"/>
                  </w:rPr>
                  <m:t>ON</m:t>
                </m:r>
              </m:sub>
            </m:sSub>
            <m:r>
              <m:rPr>
                <m:sty m:val="p"/>
              </m:rPr>
              <w:rPr>
                <w:rFonts w:ascii="Cambria Math" w:hAnsi="Cambria Math"/>
                <w:sz w:val="22"/>
              </w:rPr>
              <m:t>+</m:t>
            </m:r>
            <m:sSub>
              <m:sSubPr>
                <m:ctrlPr>
                  <w:rPr>
                    <w:rFonts w:ascii="Cambria Math" w:hAnsi="Cambria Math"/>
                    <w:iCs/>
                    <w:sz w:val="22"/>
                    <w:lang w:val="es-CO"/>
                  </w:rPr>
                </m:ctrlPr>
              </m:sSubPr>
              <m:e>
                <m:r>
                  <w:rPr>
                    <w:rFonts w:ascii="Cambria Math" w:hAnsi="Cambria Math"/>
                    <w:sz w:val="22"/>
                    <w:lang w:val="es-CO"/>
                  </w:rPr>
                  <m:t>F</m:t>
                </m:r>
              </m:e>
              <m:sub>
                <m:r>
                  <w:rPr>
                    <w:rFonts w:ascii="Cambria Math" w:hAnsi="Cambria Math"/>
                    <w:sz w:val="22"/>
                    <w:lang w:val="es-CO"/>
                  </w:rPr>
                  <m:t>PRP</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FRAC</m:t>
                </m:r>
              </m:e>
              <m:sub>
                <m:r>
                  <m:rPr>
                    <m:sty m:val="p"/>
                  </m:rPr>
                  <w:rPr>
                    <w:rFonts w:ascii="Cambria Math" w:hAnsi="Cambria Math"/>
                    <w:sz w:val="22"/>
                  </w:rPr>
                  <m:t>GASM</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EF</m:t>
                </m:r>
              </m:e>
              <m:sub>
                <m:r>
                  <m:rPr>
                    <m:sty m:val="p"/>
                  </m:rPr>
                  <w:rPr>
                    <w:rFonts w:ascii="Cambria Math" w:hAnsi="Cambria Math"/>
                    <w:sz w:val="22"/>
                  </w:rPr>
                  <m:t>1</m:t>
                </m:r>
              </m:sub>
            </m:sSub>
          </m:e>
        </m:nary>
      </m:oMath>
      <w:r w:rsidR="008A24CD" w:rsidRPr="008651FA">
        <w:rPr>
          <w:rFonts w:ascii="Times New Roman" w:hAnsi="Times New Roman"/>
          <w:sz w:val="22"/>
        </w:rPr>
        <w:t xml:space="preserve"> </w:t>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t>Eq. (3)</w:t>
      </w:r>
    </w:p>
    <w:p w14:paraId="7C14914D" w14:textId="77777777" w:rsidR="008A24CD" w:rsidRDefault="008A24CD" w:rsidP="008A24CD">
      <w:pPr>
        <w:pStyle w:val="MDPI35textbeforelist"/>
        <w:spacing w:line="480" w:lineRule="auto"/>
        <w:jc w:val="left"/>
        <w:rPr>
          <w:rFonts w:ascii="Times New Roman" w:hAnsi="Times New Roman"/>
          <w:sz w:val="22"/>
        </w:rPr>
      </w:pPr>
    </w:p>
    <w:p w14:paraId="7831EBD2" w14:textId="77777777" w:rsidR="008A24CD" w:rsidRPr="008651FA" w:rsidRDefault="008A24CD" w:rsidP="008A24CD">
      <w:pPr>
        <w:pStyle w:val="MDPI35textbeforelist"/>
        <w:spacing w:line="480" w:lineRule="auto"/>
        <w:jc w:val="left"/>
        <w:rPr>
          <w:rFonts w:ascii="Times New Roman" w:hAnsi="Times New Roman"/>
          <w:sz w:val="22"/>
        </w:rPr>
      </w:pPr>
    </w:p>
    <w:p w14:paraId="3C17300F" w14:textId="495565B7" w:rsidR="008A24CD" w:rsidRPr="008651FA" w:rsidRDefault="008A24CD" w:rsidP="008A24CD">
      <w:pPr>
        <w:pStyle w:val="MDPI35textbeforelist"/>
        <w:spacing w:line="480" w:lineRule="auto"/>
        <w:ind w:left="0" w:firstLine="0"/>
        <w:jc w:val="left"/>
        <w:rPr>
          <w:rFonts w:ascii="Times New Roman" w:hAnsi="Times New Roman"/>
          <w:sz w:val="22"/>
        </w:rPr>
      </w:pPr>
      <w:r w:rsidRPr="008651FA">
        <w:rPr>
          <w:rFonts w:ascii="Times New Roman" w:hAnsi="Times New Roman"/>
          <w:b/>
          <w:bCs/>
          <w:sz w:val="22"/>
        </w:rPr>
        <w:lastRenderedPageBreak/>
        <w:t xml:space="preserve">Table </w:t>
      </w:r>
      <w:r>
        <w:rPr>
          <w:rFonts w:ascii="Times New Roman" w:hAnsi="Times New Roman"/>
          <w:b/>
          <w:bCs/>
          <w:sz w:val="22"/>
        </w:rPr>
        <w:t>A.1</w:t>
      </w:r>
      <w:r w:rsidRPr="008651FA">
        <w:rPr>
          <w:rFonts w:ascii="Times New Roman" w:hAnsi="Times New Roman"/>
          <w:sz w:val="22"/>
        </w:rPr>
        <w:t>. Production of residues in the</w:t>
      </w:r>
      <w:r>
        <w:rPr>
          <w:rFonts w:ascii="Times New Roman" w:hAnsi="Times New Roman"/>
          <w:sz w:val="22"/>
        </w:rPr>
        <w:t xml:space="preserve"> local</w:t>
      </w:r>
      <w:r w:rsidRPr="008651FA">
        <w:rPr>
          <w:rFonts w:ascii="Times New Roman" w:hAnsi="Times New Roman"/>
          <w:sz w:val="22"/>
        </w:rPr>
        <w:t xml:space="preserve"> non-centrifugal sugar industry</w: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1"/>
        <w:gridCol w:w="1700"/>
        <w:gridCol w:w="1693"/>
        <w:gridCol w:w="1426"/>
        <w:gridCol w:w="1748"/>
      </w:tblGrid>
      <w:tr w:rsidR="008A24CD" w:rsidRPr="008651FA" w14:paraId="24CF255E" w14:textId="77777777" w:rsidTr="00CC6EE8">
        <w:tc>
          <w:tcPr>
            <w:tcW w:w="1284" w:type="pct"/>
            <w:tcBorders>
              <w:top w:val="single" w:sz="4" w:space="0" w:color="auto"/>
              <w:bottom w:val="single" w:sz="4" w:space="0" w:color="auto"/>
            </w:tcBorders>
          </w:tcPr>
          <w:p w14:paraId="609B774E"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lang w:val="es-CO"/>
              </w:rPr>
            </w:pPr>
            <w:proofErr w:type="spellStart"/>
            <w:r w:rsidRPr="008651FA">
              <w:rPr>
                <w:rFonts w:ascii="Times New Roman" w:hAnsi="Times New Roman"/>
                <w:b/>
                <w:bCs/>
                <w:sz w:val="22"/>
                <w:szCs w:val="22"/>
                <w:lang w:val="es-CO"/>
              </w:rPr>
              <w:t>Residue</w:t>
            </w:r>
            <w:proofErr w:type="spellEnd"/>
          </w:p>
        </w:tc>
        <w:tc>
          <w:tcPr>
            <w:tcW w:w="962" w:type="pct"/>
            <w:tcBorders>
              <w:top w:val="single" w:sz="4" w:space="0" w:color="auto"/>
              <w:bottom w:val="single" w:sz="4" w:space="0" w:color="auto"/>
            </w:tcBorders>
          </w:tcPr>
          <w:p w14:paraId="473CCC98"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 xml:space="preserve">Amount of </w:t>
            </w:r>
            <w:r>
              <w:rPr>
                <w:rFonts w:ascii="Times New Roman" w:hAnsi="Times New Roman"/>
                <w:b/>
                <w:bCs/>
                <w:sz w:val="22"/>
                <w:szCs w:val="22"/>
              </w:rPr>
              <w:t>the</w:t>
            </w:r>
          </w:p>
          <w:p w14:paraId="0281B438"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residue (t/year)</w:t>
            </w:r>
          </w:p>
        </w:tc>
        <w:tc>
          <w:tcPr>
            <w:tcW w:w="958" w:type="pct"/>
            <w:tcBorders>
              <w:top w:val="single" w:sz="4" w:space="0" w:color="auto"/>
              <w:bottom w:val="single" w:sz="4" w:space="0" w:color="auto"/>
            </w:tcBorders>
          </w:tcPr>
          <w:p w14:paraId="44EB8962"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 xml:space="preserve">Manure </w:t>
            </w:r>
          </w:p>
          <w:p w14:paraId="1B02418F"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production (kg/head*year)</w:t>
            </w:r>
          </w:p>
        </w:tc>
        <w:tc>
          <w:tcPr>
            <w:tcW w:w="807" w:type="pct"/>
            <w:tcBorders>
              <w:top w:val="single" w:sz="4" w:space="0" w:color="auto"/>
              <w:bottom w:val="single" w:sz="4" w:space="0" w:color="auto"/>
            </w:tcBorders>
          </w:tcPr>
          <w:p w14:paraId="4099C3F8"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Nitrogen (%)</w:t>
            </w:r>
          </w:p>
        </w:tc>
        <w:tc>
          <w:tcPr>
            <w:tcW w:w="990" w:type="pct"/>
            <w:tcBorders>
              <w:top w:val="single" w:sz="4" w:space="0" w:color="auto"/>
              <w:bottom w:val="single" w:sz="4" w:space="0" w:color="auto"/>
            </w:tcBorders>
          </w:tcPr>
          <w:p w14:paraId="65FFE3B3"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Reference</w:t>
            </w:r>
          </w:p>
        </w:tc>
      </w:tr>
      <w:tr w:rsidR="008A24CD" w:rsidRPr="008651FA" w14:paraId="3926EC04" w14:textId="77777777" w:rsidTr="00CC6EE8">
        <w:tc>
          <w:tcPr>
            <w:tcW w:w="1284" w:type="pct"/>
            <w:tcBorders>
              <w:top w:val="single" w:sz="4" w:space="0" w:color="auto"/>
            </w:tcBorders>
          </w:tcPr>
          <w:p w14:paraId="39D94ABC"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proofErr w:type="spellStart"/>
            <w:r w:rsidRPr="008651FA">
              <w:rPr>
                <w:rFonts w:ascii="Times New Roman" w:hAnsi="Times New Roman"/>
                <w:sz w:val="22"/>
                <w:szCs w:val="22"/>
                <w:lang w:val="es-CO"/>
              </w:rPr>
              <w:t>Leaves</w:t>
            </w:r>
            <w:proofErr w:type="spellEnd"/>
            <w:r w:rsidRPr="008651FA">
              <w:rPr>
                <w:rFonts w:ascii="Times New Roman" w:hAnsi="Times New Roman"/>
                <w:sz w:val="22"/>
                <w:szCs w:val="22"/>
                <w:lang w:val="es-CO"/>
              </w:rPr>
              <w:t xml:space="preserve"> and </w:t>
            </w:r>
            <w:proofErr w:type="spellStart"/>
            <w:r w:rsidRPr="008651FA">
              <w:rPr>
                <w:rFonts w:ascii="Times New Roman" w:hAnsi="Times New Roman"/>
                <w:sz w:val="22"/>
                <w:szCs w:val="22"/>
                <w:lang w:val="es-CO"/>
              </w:rPr>
              <w:t>buds</w:t>
            </w:r>
            <w:proofErr w:type="spellEnd"/>
          </w:p>
        </w:tc>
        <w:tc>
          <w:tcPr>
            <w:tcW w:w="962" w:type="pct"/>
            <w:tcBorders>
              <w:top w:val="single" w:sz="4" w:space="0" w:color="auto"/>
            </w:tcBorders>
          </w:tcPr>
          <w:p w14:paraId="6014E1FD"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szCs w:val="22"/>
                <w:lang w:val="es-CO"/>
              </w:rPr>
              <w:t>211.6</w:t>
            </w:r>
          </w:p>
        </w:tc>
        <w:tc>
          <w:tcPr>
            <w:tcW w:w="958" w:type="pct"/>
            <w:tcBorders>
              <w:top w:val="single" w:sz="4" w:space="0" w:color="auto"/>
            </w:tcBorders>
          </w:tcPr>
          <w:p w14:paraId="1C2EA2FE"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szCs w:val="22"/>
                <w:lang w:val="es-CO"/>
              </w:rPr>
              <w:t>NA</w:t>
            </w:r>
          </w:p>
        </w:tc>
        <w:tc>
          <w:tcPr>
            <w:tcW w:w="807" w:type="pct"/>
            <w:tcBorders>
              <w:top w:val="single" w:sz="4" w:space="0" w:color="auto"/>
            </w:tcBorders>
          </w:tcPr>
          <w:p w14:paraId="442FBC52"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szCs w:val="22"/>
                <w:lang w:val="es-CO"/>
              </w:rPr>
              <w:t>0.84</w:t>
            </w:r>
          </w:p>
        </w:tc>
        <w:tc>
          <w:tcPr>
            <w:tcW w:w="990" w:type="pct"/>
            <w:tcBorders>
              <w:top w:val="single" w:sz="4" w:space="0" w:color="auto"/>
            </w:tcBorders>
          </w:tcPr>
          <w:p w14:paraId="76586BA7" w14:textId="522E5E2D"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lang w:val="es-CO"/>
              </w:rPr>
              <w:fldChar w:fldCharType="begin" w:fldLock="1"/>
            </w:r>
            <w:r>
              <w:rPr>
                <w:rFonts w:ascii="Times New Roman" w:hAnsi="Times New Roman"/>
                <w:sz w:val="22"/>
                <w:szCs w:val="22"/>
                <w:lang w:val="es-CO"/>
              </w:rPr>
              <w:instrText>ADDIN CSL_CITATION {"citationItems":[{"id":"ITEM-1","itemData":{"URL":"http://www.fedepanela.org.co/publicaciones/cartillas/Subproductos.pdf","accessed":{"date-parts":[["2019","2","11"]]},"author":[{"dropping-particle":"","family":"Angel Riveros","given":"Mauricio","non-dropping-particle":"","parse-names":false,"suffix":""}],"container-title":"Fedepanela","id":"ITEM-1","issued":{"date-parts":[["2012"]]},"page":"20","publisher-place":"Bogotá, Colombia","title":"Aprovechamiento de subproductos de la caña panelera en la alimentación animal","type":"webpage"},"uris":["http://www.mendeley.com/documents/?uuid=fdb3585e-3394-47d4-97b2-8815de9b9f70"]}],"mendeley":{"formattedCitation":"(Angel Riveros, 2012)","plainTextFormattedCitation":"(Angel Riveros, 2012)","previouslyFormattedCitation":"[9]"},"properties":{"noteIndex":0},"schema":"https://github.com/citation-style-language/schema/raw/master/csl-citation.json"}</w:instrText>
            </w:r>
            <w:r w:rsidRPr="008651FA">
              <w:rPr>
                <w:rFonts w:ascii="Times New Roman" w:hAnsi="Times New Roman"/>
                <w:sz w:val="22"/>
                <w:lang w:val="es-CO"/>
              </w:rPr>
              <w:fldChar w:fldCharType="separate"/>
            </w:r>
            <w:r w:rsidRPr="008A24CD">
              <w:rPr>
                <w:rFonts w:ascii="Times New Roman" w:hAnsi="Times New Roman"/>
                <w:noProof/>
                <w:sz w:val="22"/>
                <w:szCs w:val="22"/>
                <w:lang w:val="es-CO"/>
              </w:rPr>
              <w:t>(Angel Riveros, 2012)</w:t>
            </w:r>
            <w:r w:rsidRPr="008651FA">
              <w:rPr>
                <w:rFonts w:ascii="Times New Roman" w:hAnsi="Times New Roman"/>
                <w:sz w:val="22"/>
                <w:lang w:val="es-CO"/>
              </w:rPr>
              <w:fldChar w:fldCharType="end"/>
            </w:r>
          </w:p>
        </w:tc>
      </w:tr>
      <w:tr w:rsidR="008A24CD" w:rsidRPr="008651FA" w14:paraId="314B7A99" w14:textId="77777777" w:rsidTr="00CC6EE8">
        <w:tc>
          <w:tcPr>
            <w:tcW w:w="1284" w:type="pct"/>
          </w:tcPr>
          <w:p w14:paraId="25392328"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proofErr w:type="spellStart"/>
            <w:r w:rsidRPr="008651FA">
              <w:rPr>
                <w:rFonts w:ascii="Times New Roman" w:hAnsi="Times New Roman"/>
                <w:sz w:val="22"/>
                <w:szCs w:val="22"/>
                <w:lang w:val="es-CO"/>
              </w:rPr>
              <w:t>Sugarcane</w:t>
            </w:r>
            <w:proofErr w:type="spellEnd"/>
            <w:r w:rsidRPr="008651FA">
              <w:rPr>
                <w:rFonts w:ascii="Times New Roman" w:hAnsi="Times New Roman"/>
                <w:sz w:val="22"/>
                <w:szCs w:val="22"/>
                <w:lang w:val="es-CO"/>
              </w:rPr>
              <w:t xml:space="preserve"> </w:t>
            </w:r>
            <w:proofErr w:type="spellStart"/>
            <w:r w:rsidRPr="008651FA">
              <w:rPr>
                <w:rFonts w:ascii="Times New Roman" w:hAnsi="Times New Roman"/>
                <w:sz w:val="22"/>
                <w:szCs w:val="22"/>
                <w:lang w:val="es-CO"/>
              </w:rPr>
              <w:t>press-mud</w:t>
            </w:r>
            <w:proofErr w:type="spellEnd"/>
          </w:p>
        </w:tc>
        <w:tc>
          <w:tcPr>
            <w:tcW w:w="962" w:type="pct"/>
          </w:tcPr>
          <w:p w14:paraId="1C0676DF"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szCs w:val="22"/>
                <w:lang w:val="es-CO"/>
              </w:rPr>
              <w:t>29.9</w:t>
            </w:r>
          </w:p>
        </w:tc>
        <w:tc>
          <w:tcPr>
            <w:tcW w:w="958" w:type="pct"/>
          </w:tcPr>
          <w:p w14:paraId="3F0B0B79"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szCs w:val="22"/>
                <w:lang w:val="es-CO"/>
              </w:rPr>
              <w:t>NA</w:t>
            </w:r>
          </w:p>
        </w:tc>
        <w:tc>
          <w:tcPr>
            <w:tcW w:w="807" w:type="pct"/>
          </w:tcPr>
          <w:p w14:paraId="25C3FF38"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szCs w:val="22"/>
                <w:lang w:val="es-CO"/>
              </w:rPr>
              <w:t>1.12</w:t>
            </w:r>
          </w:p>
        </w:tc>
        <w:tc>
          <w:tcPr>
            <w:tcW w:w="990" w:type="pct"/>
          </w:tcPr>
          <w:p w14:paraId="6B22CE26"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proofErr w:type="spellStart"/>
            <w:r w:rsidRPr="008651FA">
              <w:rPr>
                <w:rFonts w:ascii="Times New Roman" w:hAnsi="Times New Roman"/>
                <w:sz w:val="22"/>
                <w:szCs w:val="22"/>
                <w:lang w:val="es-CO"/>
              </w:rPr>
              <w:t>This</w:t>
            </w:r>
            <w:proofErr w:type="spellEnd"/>
            <w:r w:rsidRPr="008651FA">
              <w:rPr>
                <w:rFonts w:ascii="Times New Roman" w:hAnsi="Times New Roman"/>
                <w:sz w:val="22"/>
                <w:szCs w:val="22"/>
                <w:lang w:val="es-CO"/>
              </w:rPr>
              <w:t xml:space="preserve"> </w:t>
            </w:r>
            <w:proofErr w:type="spellStart"/>
            <w:r w:rsidRPr="008651FA">
              <w:rPr>
                <w:rFonts w:ascii="Times New Roman" w:hAnsi="Times New Roman"/>
                <w:sz w:val="22"/>
                <w:szCs w:val="22"/>
                <w:lang w:val="es-CO"/>
              </w:rPr>
              <w:t>study</w:t>
            </w:r>
            <w:proofErr w:type="spellEnd"/>
          </w:p>
        </w:tc>
      </w:tr>
      <w:tr w:rsidR="008A24CD" w:rsidRPr="008651FA" w14:paraId="0C3C94CC" w14:textId="77777777" w:rsidTr="00CC6EE8">
        <w:tc>
          <w:tcPr>
            <w:tcW w:w="1284" w:type="pct"/>
          </w:tcPr>
          <w:p w14:paraId="37AAFD8C"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proofErr w:type="spellStart"/>
            <w:r w:rsidRPr="008651FA">
              <w:rPr>
                <w:rFonts w:ascii="Times New Roman" w:hAnsi="Times New Roman"/>
                <w:sz w:val="22"/>
                <w:szCs w:val="22"/>
                <w:lang w:val="es-CO"/>
              </w:rPr>
              <w:t>Swine</w:t>
            </w:r>
            <w:proofErr w:type="spellEnd"/>
            <w:r w:rsidRPr="008651FA">
              <w:rPr>
                <w:rFonts w:ascii="Times New Roman" w:hAnsi="Times New Roman"/>
                <w:sz w:val="22"/>
                <w:szCs w:val="22"/>
                <w:lang w:val="es-CO"/>
              </w:rPr>
              <w:t xml:space="preserve"> </w:t>
            </w:r>
            <w:proofErr w:type="spellStart"/>
            <w:r w:rsidRPr="008651FA">
              <w:rPr>
                <w:rFonts w:ascii="Times New Roman" w:hAnsi="Times New Roman"/>
                <w:sz w:val="22"/>
                <w:szCs w:val="22"/>
                <w:lang w:val="es-CO"/>
              </w:rPr>
              <w:t>manure</w:t>
            </w:r>
            <w:proofErr w:type="spellEnd"/>
          </w:p>
        </w:tc>
        <w:tc>
          <w:tcPr>
            <w:tcW w:w="962" w:type="pct"/>
          </w:tcPr>
          <w:p w14:paraId="35CDC604"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szCs w:val="22"/>
                <w:lang w:val="es-CO"/>
              </w:rPr>
              <w:t>3.99</w:t>
            </w:r>
          </w:p>
        </w:tc>
        <w:tc>
          <w:tcPr>
            <w:tcW w:w="958" w:type="pct"/>
          </w:tcPr>
          <w:p w14:paraId="32325F58"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szCs w:val="22"/>
                <w:lang w:val="es-CO"/>
              </w:rPr>
              <w:t>799</w:t>
            </w:r>
          </w:p>
        </w:tc>
        <w:tc>
          <w:tcPr>
            <w:tcW w:w="807" w:type="pct"/>
          </w:tcPr>
          <w:p w14:paraId="51808F48" w14:textId="77777777" w:rsidR="008A24CD" w:rsidRPr="008651FA" w:rsidRDefault="008A24CD" w:rsidP="00CC6EE8">
            <w:pPr>
              <w:pStyle w:val="MDPI35textbeforelist"/>
              <w:spacing w:line="240" w:lineRule="auto"/>
              <w:ind w:left="0" w:firstLine="0"/>
              <w:jc w:val="left"/>
              <w:rPr>
                <w:rFonts w:ascii="Times New Roman" w:hAnsi="Times New Roman"/>
                <w:sz w:val="22"/>
                <w:szCs w:val="22"/>
                <w:lang w:val="es-CO"/>
              </w:rPr>
            </w:pPr>
            <w:r w:rsidRPr="008651FA">
              <w:rPr>
                <w:rFonts w:ascii="Times New Roman" w:hAnsi="Times New Roman"/>
                <w:sz w:val="22"/>
                <w:szCs w:val="22"/>
                <w:lang w:val="es-CO"/>
              </w:rPr>
              <w:t>0.70</w:t>
            </w:r>
          </w:p>
        </w:tc>
        <w:tc>
          <w:tcPr>
            <w:tcW w:w="990" w:type="pct"/>
          </w:tcPr>
          <w:p w14:paraId="4C058E9A" w14:textId="146CC84C"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lang w:val="es-CO"/>
              </w:rPr>
              <w:fldChar w:fldCharType="begin" w:fldLock="1"/>
            </w:r>
            <w:r>
              <w:rPr>
                <w:rFonts w:ascii="Times New Roman" w:hAnsi="Times New Roman"/>
                <w:sz w:val="22"/>
                <w:szCs w:val="22"/>
                <w:lang w:val="es-CO"/>
              </w:rPr>
              <w:instrText>ADDIN CSL_CITATION {"citationItems":[{"id":"ITEM-1","itemData":{"DOI":"10.1016/j.deveng.2022.100093","ISSN":"23527285","abstract":"Modern energy services are essential to replace the extensive use of traditional biomass fuels driving several environmental, health, and social issues affecting the welfare of low-income citizens. Particularly, in Colombia, 11% of the households rely on inefficient firewood cooking systems, while two million people have either intermittent access or no access to electricity. This is particularly important in the department of Cordoba, where an average of 32% of the households relies on firewood for cooking, increasing to 66% of the households in rural areas. Furthermore, 20% of the rural population lack access to electricity. Therefore, this study aims at defining the biogas-based energy potential of the available agricultural and manure wastes in the department. To this end, governmental data is used to estimate the demand for firewood for cooking, the resulting GHG emissions, and the available agricultural and manure wastes. Overall, there are around 1.2 million t of agricultural wastes and 2.2 million t of manure yearly available in the department, representing an energy potential of 6687 TJ. Using 26% of the biogas-based energy potential identified suffices to support the 1334 TJ of biogas needed to replace cooking firewood and to supply the 390 TJ needed for household electricity generation. The use of biogas can reduce GHG emissions to 11% of the emissions resulting from cooking firewood. Polyethylene tubular digesters appear as the most indicated household technology, contrasted to geomembrane tubular digesters that need 2.4 times the initial capital investment while fixed dome digesters need 7.9 times the initial capital investment. Implementing household digesters to support the energy demand for cooking in the department, necessitates a minimum of 18 million USD, while the implementation of ‘digester + electric generator’ needs between 1.7 and 5.7 million USDdepending on the monthly demand of electricity of 60 kWh or 187 kWh.","author":[{"dropping-particle":"","family":"Sagastume Gutiérrez","given":"Alexis","non-dropping-particle":"","parse-names":false,"suffix":""},{"dropping-particle":"","family":"Mendoza Fandiño","given":"Jorge Mario","non-dropping-particle":"","parse-names":false,"suffix":""},{"dropping-particle":"","family":"Cabello Eras","given":"Juan José","non-dropping-particle":"","parse-names":false,"suffix":""},{"dropping-particle":"","family":"Sofan German","given":"Stiven Javier","non-dropping-particle":"","parse-names":false,"suffix":""}],"container-title":"Development Engineering","id":"ITEM-1","issue":"October 2021","issued":{"date-parts":[["2022"]]},"title":"Potential of livestock manure and agricultural wastes to mitigate the use of firewood for cooking in rural areas. The case of the department of Cordoba (Colombia)","type":"article-journal","volume":"7"},"uris":["http://www.mendeley.com/documents/?uuid=ca472fda-4eef-4ee0-a348-f7acaa03a87f"]},{"id":"ITEM-2","itemData":{"DOI":"10.1016/j.jclepro.2021.128106","ISSN":"09596526","abstract":"Current trends of livestock expansion and associated mass production of manure bring a net import of nutrients that have led to a significant excess in many areas. The implementation of an efficient and more economical technology solution to recover and re-use nutrients from raw or digested wastes is essential and will reduce the need for fossil-fuel based fertilizers. From a waste management standpoint, the identification of nutrient recovery technologies is considered one of the main challenges within a circular economy context. Several traditional techniques exist for manure treatment such as, gasification, thermochemical conversion, composting, hydrothermal carbonization, and liquefaction. However, these technologies face many challenges related to energy consumption and recovered nutrient quality. In this context, freeze concentration (FC) is an emerging technique that can be applied to recover water and concentrate nutrients from waste liquid effluents. This technology brings advantages such as high concentration factor and low energy usage. However, freeze concentration technology is only semi-industrialised and for most applications remains at the development stage. Many studies have been conducted to design and develop processes and applications that target the improvement of both productivity and efficiency, which makes freeze concentration an attractive research subject to the scientific community. Combination of freeze concentration technology with another technology, such as membranes, to generate a more efficient hybrid process must also be considered. This approach of resource recovery from animal manure would ultimately create a more sustainable and circular economy. This paper evaluates the current state-of-the-art and processing strategies related to the treatment of livestock waste materials and contains an up-to-date and critical review on nutrient-rich effluent valorization technologies; focusing on the latest technological progress to recover nutrients from animal manure and introduces the potential that freeze concentration offers, which has only been marginally explored to date. This work makes a comparative analysis of the different processes in terms of their efficiency, cost, energy consumption, operational management, and the results obtained from both bench and large-scale experiments; making it possible to determine the current best practice procedures for the treatment of animal manure.","author":[{"dropping-particle":"","family":"Dadrasnia","given":"Arezoo","non-dropping-particle":"","parse-names":false,"suffix":""},{"dropping-particle":"","family":"Bona Muñoz","given":"Isabella","non-dropping-particle":"de","parse-names":false,"suffix":""},{"dropping-particle":"","family":"Yáñez","given":"Eduardo Hernandez","non-dropping-particle":"","parse-names":false,"suffix":""},{"dropping-particle":"","family":"Lamkaddam","given":"Imane Uald","non-dropping-particle":"","parse-names":false,"suffix":""},{"dropping-particle":"","family":"Mora","given":"Mabel","non-dropping-particle":"","parse-names":false,"suffix":""},{"dropping-particle":"","family":"Ponsá","given":"Sergio","non-dropping-particle":"","parse-names":false,"suffix":""},{"dropping-particle":"","family":"Ahmed","given":"Mansour","non-dropping-particle":"","parse-names":false,"suffix":""},{"dropping-particle":"","family":"Argelaguet","given":"Laia Llenas","non-dropping-particle":"","parse-names":false,"suffix":""},{"dropping-particle":"","family":"Williams","given":"Paul M.","non-dropping-particle":"","parse-names":false,"suffix":""},{"dropping-particle":"","family":"Oatley-Radcliffe","given":"Darren L.","non-dropping-particle":"","parse-names":false,"suffix":""}],"container-title":"Journal of Cleaner Production","id":"ITEM-2","issued":{"date-parts":[["2021"]]},"page":"128106","title":"Sustainable nutrient recovery from animal manure: A review of current best practice technology and the potential for freeze concentration","type":"article-journal","volume":"315"},"uris":["http://www.mendeley.com/documents/?uuid=7ca54297-06fd-4808-98c7-92c1441975b1"]}],"mendeley":{"formattedCitation":"(Dadrasnia et al., 2021; Sagastume Gutiérrez et al., 2022)","plainTextFormattedCitation":"(Dadrasnia et al., 2021; Sagastume Gutiérrez et al., 2022)","previouslyFormattedCitation":"[10,11]"},"properties":{"noteIndex":0},"schema":"https://github.com/citation-style-language/schema/raw/master/csl-citation.json"}</w:instrText>
            </w:r>
            <w:r w:rsidRPr="008651FA">
              <w:rPr>
                <w:rFonts w:ascii="Times New Roman" w:hAnsi="Times New Roman"/>
                <w:sz w:val="22"/>
                <w:lang w:val="es-CO"/>
              </w:rPr>
              <w:fldChar w:fldCharType="separate"/>
            </w:r>
            <w:r w:rsidRPr="008A24CD">
              <w:rPr>
                <w:rFonts w:ascii="Times New Roman" w:hAnsi="Times New Roman"/>
                <w:noProof/>
                <w:sz w:val="22"/>
                <w:szCs w:val="22"/>
              </w:rPr>
              <w:t>(Dadrasnia et al., 2021; Sagastume Gutiérrez et al., 2022)</w:t>
            </w:r>
            <w:r w:rsidRPr="008651FA">
              <w:rPr>
                <w:rFonts w:ascii="Times New Roman" w:hAnsi="Times New Roman"/>
                <w:sz w:val="22"/>
                <w:lang w:val="es-CO"/>
              </w:rPr>
              <w:fldChar w:fldCharType="end"/>
            </w:r>
          </w:p>
        </w:tc>
      </w:tr>
      <w:tr w:rsidR="008A24CD" w:rsidRPr="008651FA" w14:paraId="4FA299F0" w14:textId="77777777" w:rsidTr="00CC6EE8">
        <w:tc>
          <w:tcPr>
            <w:tcW w:w="1284" w:type="pct"/>
          </w:tcPr>
          <w:p w14:paraId="0B250A57"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Poultry manure</w:t>
            </w:r>
          </w:p>
        </w:tc>
        <w:tc>
          <w:tcPr>
            <w:tcW w:w="962" w:type="pct"/>
          </w:tcPr>
          <w:p w14:paraId="270A4FDF"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3.04</w:t>
            </w:r>
          </w:p>
        </w:tc>
        <w:tc>
          <w:tcPr>
            <w:tcW w:w="958" w:type="pct"/>
          </w:tcPr>
          <w:p w14:paraId="51A6F48E"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38</w:t>
            </w:r>
          </w:p>
        </w:tc>
        <w:tc>
          <w:tcPr>
            <w:tcW w:w="807" w:type="pct"/>
          </w:tcPr>
          <w:p w14:paraId="0D00BD90"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3.0</w:t>
            </w:r>
          </w:p>
        </w:tc>
        <w:tc>
          <w:tcPr>
            <w:tcW w:w="990" w:type="pct"/>
          </w:tcPr>
          <w:p w14:paraId="7074E5D9" w14:textId="5597E2B4"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lang w:val="es-CO"/>
              </w:rPr>
              <w:fldChar w:fldCharType="begin" w:fldLock="1"/>
            </w:r>
            <w:r>
              <w:rPr>
                <w:rFonts w:ascii="Times New Roman" w:hAnsi="Times New Roman"/>
                <w:sz w:val="22"/>
                <w:szCs w:val="22"/>
                <w:lang w:val="es-CO"/>
              </w:rPr>
              <w:instrText>ADDIN CSL_CITATION {"citationItems":[{"id":"ITEM-1","itemData":{"DOI":"10.1016/j.deveng.2022.100093","ISSN":"23527285","abstract":"Modern energy services are essential to replace the extensive use of traditional biomass fuels driving several environmental, health, and social issues affecting the welfare of low-income citizens. Particularly, in Colombia, 11% of the households rely on inefficient firewood cooking systems, while two million people have either intermittent access or no access to electricity. This is particularly important in the department of Cordoba, where an average of 32% of the households relies on firewood for cooking, increasing to 66% of the households in rural areas. Furthermore, 20% of the rural population lack access to electricity. Therefore, this study aims at defining the biogas-based energy potential of the available agricultural and manure wastes in the department. To this end, governmental data is used to estimate the demand for firewood for cooking, the resulting GHG emissions, and the available agricultural and manure wastes. Overall, there are around 1.2 million t of agricultural wastes and 2.2 million t of manure yearly available in the department, representing an energy potential of 6687 TJ. Using 26% of the biogas-based energy potential identified suffices to support the 1334 TJ of biogas needed to replace cooking firewood and to supply the 390 TJ needed for household electricity generation. The use of biogas can reduce GHG emissions to 11% of the emissions resulting from cooking firewood. Polyethylene tubular digesters appear as the most indicated household technology, contrasted to geomembrane tubular digesters that need 2.4 times the initial capital investment while fixed dome digesters need 7.9 times the initial capital investment. Implementing household digesters to support the energy demand for cooking in the department, necessitates a minimum of 18 million USD, while the implementation of ‘digester + electric generator’ needs between 1.7 and 5.7 million USDdepending on the monthly demand of electricity of 60 kWh or 187 kWh.","author":[{"dropping-particle":"","family":"Sagastume Gutiérrez","given":"Alexis","non-dropping-particle":"","parse-names":false,"suffix":""},{"dropping-particle":"","family":"Mendoza Fandiño","given":"Jorge Mario","non-dropping-particle":"","parse-names":false,"suffix":""},{"dropping-particle":"","family":"Cabello Eras","given":"Juan José","non-dropping-particle":"","parse-names":false,"suffix":""},{"dropping-particle":"","family":"Sofan German","given":"Stiven Javier","non-dropping-particle":"","parse-names":false,"suffix":""}],"container-title":"Development Engineering","id":"ITEM-1","issue":"October 2021","issued":{"date-parts":[["2022"]]},"title":"Potential of livestock manure and agricultural wastes to mitigate the use of firewood for cooking in rural areas. The case of the department of Cordoba (Colombia)","type":"article-journal","volume":"7"},"uris":["http://www.mendeley.com/documents/?uuid=ca472fda-4eef-4ee0-a348-f7acaa03a87f"]},{"id":"ITEM-2","itemData":{"DOI":"10.1016/j.jclepro.2021.128106","ISSN":"09596526","abstract":"Current trends of livestock expansion and associated mass production of manure bring a net import of nutrients that have led to a significant excess in many areas. The implementation of an efficient and more economical technology solution to recover and re-use nutrients from raw or digested wastes is essential and will reduce the need for fossil-fuel based fertilizers. From a waste management standpoint, the identification of nutrient recovery technologies is considered one of the main challenges within a circular economy context. Several traditional techniques exist for manure treatment such as, gasification, thermochemical conversion, composting, hydrothermal carbonization, and liquefaction. However, these technologies face many challenges related to energy consumption and recovered nutrient quality. In this context, freeze concentration (FC) is an emerging technique that can be applied to recover water and concentrate nutrients from waste liquid effluents. This technology brings advantages such as high concentration factor and low energy usage. However, freeze concentration technology is only semi-industrialised and for most applications remains at the development stage. Many studies have been conducted to design and develop processes and applications that target the improvement of both productivity and efficiency, which makes freeze concentration an attractive research subject to the scientific community. Combination of freeze concentration technology with another technology, such as membranes, to generate a more efficient hybrid process must also be considered. This approach of resource recovery from animal manure would ultimately create a more sustainable and circular economy. This paper evaluates the current state-of-the-art and processing strategies related to the treatment of livestock waste materials and contains an up-to-date and critical review on nutrient-rich effluent valorization technologies; focusing on the latest technological progress to recover nutrients from animal manure and introduces the potential that freeze concentration offers, which has only been marginally explored to date. This work makes a comparative analysis of the different processes in terms of their efficiency, cost, energy consumption, operational management, and the results obtained from both bench and large-scale experiments; making it possible to determine the current best practice procedures for the treatment of animal manure.","author":[{"dropping-particle":"","family":"Dadrasnia","given":"Arezoo","non-dropping-particle":"","parse-names":false,"suffix":""},{"dropping-particle":"","family":"Bona Muñoz","given":"Isabella","non-dropping-particle":"de","parse-names":false,"suffix":""},{"dropping-particle":"","family":"Yáñez","given":"Eduardo Hernandez","non-dropping-particle":"","parse-names":false,"suffix":""},{"dropping-particle":"","family":"Lamkaddam","given":"Imane Uald","non-dropping-particle":"","parse-names":false,"suffix":""},{"dropping-particle":"","family":"Mora","given":"Mabel","non-dropping-particle":"","parse-names":false,"suffix":""},{"dropping-particle":"","family":"Ponsá","given":"Sergio","non-dropping-particle":"","parse-names":false,"suffix":""},{"dropping-particle":"","family":"Ahmed","given":"Mansour","non-dropping-particle":"","parse-names":false,"suffix":""},{"dropping-particle":"","family":"Argelaguet","given":"Laia Llenas","non-dropping-particle":"","parse-names":false,"suffix":""},{"dropping-particle":"","family":"Williams","given":"Paul M.","non-dropping-particle":"","parse-names":false,"suffix":""},{"dropping-particle":"","family":"Oatley-Radcliffe","given":"Darren L.","non-dropping-particle":"","parse-names":false,"suffix":""}],"container-title":"Journal of Cleaner Production","id":"ITEM-2","issued":{"date-parts":[["2021"]]},"page":"128106","title":"Sustainable nutrient recovery from animal manure: A review of current best practice technology and the potential for freeze concentration","type":"article-journal","volume":"315"},"uris":["http://www.mendeley.com/documents/?uuid=7ca54297-06fd-4808-98c7-92c1441975b1"]}],"mendeley":{"formattedCitation":"(Dadrasnia et al., 2021; Sagastume Gutiérrez et al., 2022)","plainTextFormattedCitation":"(Dadrasnia et al., 2021; Sagastume Gutiérrez et al., 2022)","previouslyFormattedCitation":"[10,11]"},"properties":{"noteIndex":0},"schema":"https://github.com/citation-style-language/schema/raw/master/csl-citation.json"}</w:instrText>
            </w:r>
            <w:r w:rsidRPr="008651FA">
              <w:rPr>
                <w:rFonts w:ascii="Times New Roman" w:hAnsi="Times New Roman"/>
                <w:sz w:val="22"/>
                <w:lang w:val="es-CO"/>
              </w:rPr>
              <w:fldChar w:fldCharType="separate"/>
            </w:r>
            <w:r w:rsidRPr="008A24CD">
              <w:rPr>
                <w:rFonts w:ascii="Times New Roman" w:hAnsi="Times New Roman"/>
                <w:noProof/>
                <w:sz w:val="22"/>
                <w:szCs w:val="22"/>
              </w:rPr>
              <w:t>(Dadrasnia et al., 2021; Sagastume Gutiérrez et al., 2022)</w:t>
            </w:r>
            <w:r w:rsidRPr="008651FA">
              <w:rPr>
                <w:rFonts w:ascii="Times New Roman" w:hAnsi="Times New Roman"/>
                <w:sz w:val="22"/>
                <w:lang w:val="es-CO"/>
              </w:rPr>
              <w:fldChar w:fldCharType="end"/>
            </w:r>
          </w:p>
        </w:tc>
      </w:tr>
      <w:tr w:rsidR="008A24CD" w:rsidRPr="00AC65E1" w14:paraId="082C0F19" w14:textId="77777777" w:rsidTr="00CC6EE8">
        <w:tc>
          <w:tcPr>
            <w:tcW w:w="1284" w:type="pct"/>
            <w:tcBorders>
              <w:bottom w:val="single" w:sz="4" w:space="0" w:color="auto"/>
            </w:tcBorders>
          </w:tcPr>
          <w:p w14:paraId="2BF85971"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Mule manure</w:t>
            </w:r>
          </w:p>
        </w:tc>
        <w:tc>
          <w:tcPr>
            <w:tcW w:w="962" w:type="pct"/>
            <w:tcBorders>
              <w:bottom w:val="single" w:sz="4" w:space="0" w:color="auto"/>
            </w:tcBorders>
          </w:tcPr>
          <w:p w14:paraId="718C01F0"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21.9</w:t>
            </w:r>
          </w:p>
        </w:tc>
        <w:tc>
          <w:tcPr>
            <w:tcW w:w="958" w:type="pct"/>
            <w:tcBorders>
              <w:bottom w:val="single" w:sz="4" w:space="0" w:color="auto"/>
            </w:tcBorders>
          </w:tcPr>
          <w:p w14:paraId="233355BE"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3650</w:t>
            </w:r>
          </w:p>
        </w:tc>
        <w:tc>
          <w:tcPr>
            <w:tcW w:w="807" w:type="pct"/>
            <w:tcBorders>
              <w:bottom w:val="single" w:sz="4" w:space="0" w:color="auto"/>
            </w:tcBorders>
          </w:tcPr>
          <w:p w14:paraId="036D0FC0"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0.70</w:t>
            </w:r>
          </w:p>
        </w:tc>
        <w:tc>
          <w:tcPr>
            <w:tcW w:w="990" w:type="pct"/>
            <w:tcBorders>
              <w:bottom w:val="single" w:sz="4" w:space="0" w:color="auto"/>
            </w:tcBorders>
          </w:tcPr>
          <w:p w14:paraId="0A01F54C" w14:textId="6620664D"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rPr>
              <w:fldChar w:fldCharType="begin" w:fldLock="1"/>
            </w:r>
            <w:r>
              <w:rPr>
                <w:rFonts w:ascii="Times New Roman" w:hAnsi="Times New Roman"/>
                <w:sz w:val="22"/>
                <w:szCs w:val="22"/>
              </w:rPr>
              <w:instrText>ADDIN CSL_CITATION {"citationItems":[{"id":"ITEM-1","itemData":{"DOI":"10.5772/intechopen.79534","abstract":"Abstract Long-haul travel does not constitute an obstacle for tourists to travel and is fast gaining the attention of tourists in new and unique experiences. This study was conducted to identify the long-haul travel motivation by international tourists to Penang. A total of 400 respondents participated in this survey, conducted around the tourist attractions in Penang, using cluster random sampling. However, only 370 questionnaires were only used for this research. Data were analysed using SPSS software 22 version. The findings, ‘knowledge and novelty seeking’ were the main push factors that drove long-haul travel by international tourists to Penang. Meanwhile, the main pull factor that attracts long- haul travel by international tourists to Penang was its ‘culture and history’. Additionally, there were partly direct and significant relationships between socio-demographic, trip characteristics and travel motivation (push factors and pull factors). Overall, this study identified the long-haul travel motivations by international tourists to Penang based on socio-demographic, trip characteristics and travel motivation and has indirectly helped in understanding the long-haul travel market particularly for Penang and Southeast Asia. This research also suggested for an effective marketing and promotion strategy in pro- viding useful information that is the key to attract international tourists to travel long distances. Keywords:","author":[{"dropping-particle":"","family":"Mitiku Teferra","given":"Demsew","non-dropping-particle":"","parse-names":false,"suffix":""},{"dropping-particle":"","family":"Wubu","given":"Wondwosen","non-dropping-particle":"","parse-names":false,"suffix":""}],"container-title":"Anaerobic Digestion","id":"ITEM-1","issued":{"date-parts":[["2019"]]},"page":"1-20","publisher":"IntechOpen","title":"Biogas for Clean Energy","type":"chapter","volume":"3"},"uris":["http://www.mendeley.com/documents/?uuid=d6bb898c-c81e-4f3f-b1cb-1d56665ae098"]},{"id":"ITEM-2","itemData":{"DOI":"10.1016/j.jclepro.2021.128106","ISSN":"09596526","abstract":"Current trends of livestock expansion and associated mass production of manure bring a net import of nutrients that have led to a significant excess in many areas. The implementation of an efficient and more economical technology solution to recover and re-use nutrients from raw or digested wastes is essential and will reduce the need for fossil-fuel based fertilizers. From a waste management standpoint, the identification of nutrient recovery technologies is considered one of the main challenges within a circular economy context. Several traditional techniques exist for manure treatment such as, gasification, thermochemical conversion, composting, hydrothermal carbonization, and liquefaction. However, these technologies face many challenges related to energy consumption and recovered nutrient quality. In this context, freeze concentration (FC) is an emerging technique that can be applied to recover water and concentrate nutrients from waste liquid effluents. This technology brings advantages such as high concentration factor and low energy usage. However, freeze concentration technology is only semi-industrialised and for most applications remains at the development stage. Many studies have been conducted to design and develop processes and applications that target the improvement of both productivity and efficiency, which makes freeze concentration an attractive research subject to the scientific community. Combination of freeze concentration technology with another technology, such as membranes, to generate a more efficient hybrid process must also be considered. This approach of resource recovery from animal manure would ultimately create a more sustainable and circular economy. This paper evaluates the current state-of-the-art and processing strategies related to the treatment of livestock waste materials and contains an up-to-date and critical review on nutrient-rich effluent valorization technologies; focusing on the latest technological progress to recover nutrients from animal manure and introduces the potential that freeze concentration offers, which has only been marginally explored to date. This work makes a comparative analysis of the different processes in terms of their efficiency, cost, energy consumption, operational management, and the results obtained from both bench and large-scale experiments; making it possible to determine the current best practice procedures for the treatment of animal manure.","author":[{"dropping-particle":"","family":"Dadrasnia","given":"Arezoo","non-dropping-particle":"","parse-names":false,"suffix":""},{"dropping-particle":"","family":"Bona Muñoz","given":"Isabella","non-dropping-particle":"de","parse-names":false,"suffix":""},{"dropping-particle":"","family":"Yáñez","given":"Eduardo Hernandez","non-dropping-particle":"","parse-names":false,"suffix":""},{"dropping-particle":"","family":"Lamkaddam","given":"Imane Uald","non-dropping-particle":"","parse-names":false,"suffix":""},{"dropping-particle":"","family":"Mora","given":"Mabel","non-dropping-particle":"","parse-names":false,"suffix":""},{"dropping-particle":"","family":"Ponsá","given":"Sergio","non-dropping-particle":"","parse-names":false,"suffix":""},{"dropping-particle":"","family":"Ahmed","given":"Mansour","non-dropping-particle":"","parse-names":false,"suffix":""},{"dropping-particle":"","family":"Argelaguet","given":"Laia Llenas","non-dropping-particle":"","parse-names":false,"suffix":""},{"dropping-particle":"","family":"Williams","given":"Paul M.","non-dropping-particle":"","parse-names":false,"suffix":""},{"dropping-particle":"","family":"Oatley-Radcliffe","given":"Darren L.","non-dropping-particle":"","parse-names":false,"suffix":""}],"container-title":"Journal of Cleaner Production","id":"ITEM-2","issued":{"date-parts":[["2021"]]},"page":"128106","title":"Sustainable nutrient recovery from animal manure: A review of current best practice technology and the potential for freeze concentration","type":"article-journal","volume":"315"},"uris":["http://www.mendeley.com/documents/?uuid=7ca54297-06fd-4808-98c7-92c1441975b1"]}],"mendeley":{"formattedCitation":"(Dadrasnia et al., 2021; Mitiku Teferra and Wubu, 2019)","plainTextFormattedCitation":"(Dadrasnia et al., 2021; Mitiku Teferra and Wubu, 2019)","previouslyFormattedCitation":"[11,12]"},"properties":{"noteIndex":0},"schema":"https://github.com/citation-style-language/schema/raw/master/csl-citation.json"}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szCs w:val="22"/>
              </w:rPr>
              <w:t>(Dadrasnia et al., 2021; Mitiku Teferra and Wubu, 2019)</w:t>
            </w:r>
            <w:r w:rsidRPr="008651FA">
              <w:rPr>
                <w:rFonts w:ascii="Times New Roman" w:hAnsi="Times New Roman"/>
                <w:sz w:val="22"/>
              </w:rPr>
              <w:fldChar w:fldCharType="end"/>
            </w:r>
          </w:p>
        </w:tc>
      </w:tr>
    </w:tbl>
    <w:p w14:paraId="1D4BE530" w14:textId="77777777" w:rsidR="008A24CD" w:rsidRPr="008651FA" w:rsidRDefault="008A24CD" w:rsidP="008A24CD">
      <w:pPr>
        <w:pStyle w:val="MDPI35textbeforelist"/>
        <w:spacing w:line="480" w:lineRule="auto"/>
        <w:jc w:val="left"/>
        <w:rPr>
          <w:rFonts w:ascii="Times New Roman" w:hAnsi="Times New Roman"/>
          <w:sz w:val="22"/>
        </w:rPr>
      </w:pPr>
    </w:p>
    <w:p w14:paraId="03A41146" w14:textId="326F2921" w:rsidR="008A24CD" w:rsidRPr="008651FA" w:rsidRDefault="008A24CD" w:rsidP="008A24CD">
      <w:pPr>
        <w:pStyle w:val="MDPI35textbeforelist"/>
        <w:spacing w:line="480" w:lineRule="auto"/>
        <w:ind w:left="0" w:firstLine="0"/>
        <w:jc w:val="left"/>
        <w:rPr>
          <w:rFonts w:ascii="Times New Roman" w:hAnsi="Times New Roman"/>
          <w:sz w:val="22"/>
        </w:rPr>
      </w:pPr>
      <w:r w:rsidRPr="008651FA">
        <w:rPr>
          <w:rFonts w:ascii="Times New Roman" w:hAnsi="Times New Roman"/>
          <w:sz w:val="22"/>
        </w:rPr>
        <w:t>Direct emissions of N</w:t>
      </w:r>
      <w:r w:rsidRPr="008651FA">
        <w:rPr>
          <w:rFonts w:ascii="Times New Roman" w:hAnsi="Times New Roman"/>
          <w:sz w:val="22"/>
          <w:vertAlign w:val="subscript"/>
        </w:rPr>
        <w:t>2</w:t>
      </w:r>
      <w:r w:rsidRPr="008651FA">
        <w:rPr>
          <w:rFonts w:ascii="Times New Roman" w:hAnsi="Times New Roman"/>
          <w:sz w:val="22"/>
        </w:rPr>
        <w:t>O were calculated according to Eq. (4) where N</w:t>
      </w:r>
      <w:r w:rsidRPr="008651FA">
        <w:rPr>
          <w:rFonts w:ascii="Times New Roman" w:hAnsi="Times New Roman"/>
          <w:sz w:val="22"/>
          <w:vertAlign w:val="subscript"/>
        </w:rPr>
        <w:t>2</w:t>
      </w:r>
      <w:r w:rsidRPr="008651FA">
        <w:rPr>
          <w:rFonts w:ascii="Times New Roman" w:hAnsi="Times New Roman"/>
          <w:sz w:val="22"/>
        </w:rPr>
        <w:t>O</w:t>
      </w:r>
      <w:r w:rsidRPr="008651FA">
        <w:rPr>
          <w:rFonts w:ascii="Times New Roman" w:hAnsi="Times New Roman"/>
          <w:sz w:val="22"/>
          <w:vertAlign w:val="subscript"/>
        </w:rPr>
        <w:t>Direct</w:t>
      </w:r>
      <w:r w:rsidRPr="008651FA">
        <w:rPr>
          <w:rFonts w:ascii="Times New Roman" w:hAnsi="Times New Roman"/>
          <w:sz w:val="22"/>
        </w:rPr>
        <w:t>-N is the annual direct N</w:t>
      </w:r>
      <w:r w:rsidRPr="008651FA">
        <w:rPr>
          <w:rFonts w:ascii="Times New Roman" w:hAnsi="Times New Roman"/>
          <w:sz w:val="22"/>
          <w:vertAlign w:val="subscript"/>
        </w:rPr>
        <w:t>2</w:t>
      </w:r>
      <w:r w:rsidRPr="008651FA">
        <w:rPr>
          <w:rFonts w:ascii="Times New Roman" w:hAnsi="Times New Roman"/>
          <w:sz w:val="22"/>
        </w:rPr>
        <w:t>O-N emissions produced from managed soils, F</w:t>
      </w:r>
      <w:r w:rsidRPr="008651FA">
        <w:rPr>
          <w:rFonts w:ascii="Times New Roman" w:hAnsi="Times New Roman"/>
          <w:sz w:val="22"/>
          <w:vertAlign w:val="subscript"/>
        </w:rPr>
        <w:t xml:space="preserve">ON </w:t>
      </w:r>
      <w:r w:rsidRPr="008651FA">
        <w:rPr>
          <w:rFonts w:ascii="Times New Roman" w:hAnsi="Times New Roman"/>
          <w:sz w:val="22"/>
        </w:rPr>
        <w:t>is the annual amount of animal manure and other organic additions applied to soils (kg N/year), EF</w:t>
      </w:r>
      <w:r w:rsidRPr="008651FA">
        <w:rPr>
          <w:rFonts w:ascii="Times New Roman" w:hAnsi="Times New Roman"/>
          <w:sz w:val="22"/>
          <w:vertAlign w:val="subscript"/>
        </w:rPr>
        <w:t>2</w:t>
      </w:r>
      <w:r w:rsidRPr="008651FA">
        <w:rPr>
          <w:rFonts w:ascii="Times New Roman" w:hAnsi="Times New Roman"/>
          <w:sz w:val="22"/>
        </w:rPr>
        <w:t xml:space="preserve"> is the emissions factor whose value is 0.010 kg N</w:t>
      </w:r>
      <w:r w:rsidRPr="008651FA">
        <w:rPr>
          <w:rFonts w:ascii="Times New Roman" w:hAnsi="Times New Roman"/>
          <w:sz w:val="22"/>
          <w:vertAlign w:val="subscript"/>
        </w:rPr>
        <w:t>2</w:t>
      </w:r>
      <w:r w:rsidRPr="008651FA">
        <w:rPr>
          <w:rFonts w:ascii="Times New Roman" w:hAnsi="Times New Roman"/>
          <w:sz w:val="22"/>
        </w:rPr>
        <w:t xml:space="preserve">O-N/kg N, </w:t>
      </w:r>
      <w:proofErr w:type="spellStart"/>
      <w:r w:rsidRPr="008651FA">
        <w:rPr>
          <w:rFonts w:ascii="Times New Roman" w:hAnsi="Times New Roman"/>
          <w:sz w:val="22"/>
        </w:rPr>
        <w:t>F</w:t>
      </w:r>
      <w:r w:rsidRPr="008651FA">
        <w:rPr>
          <w:rFonts w:ascii="Times New Roman" w:hAnsi="Times New Roman"/>
          <w:sz w:val="22"/>
          <w:vertAlign w:val="subscript"/>
        </w:rPr>
        <w:t>PRP,i</w:t>
      </w:r>
      <w:proofErr w:type="spellEnd"/>
      <w:r w:rsidRPr="008651FA">
        <w:rPr>
          <w:rFonts w:ascii="Times New Roman" w:hAnsi="Times New Roman"/>
          <w:sz w:val="22"/>
          <w:vertAlign w:val="subscript"/>
        </w:rPr>
        <w:t xml:space="preserve"> </w:t>
      </w:r>
      <w:r w:rsidRPr="008651FA">
        <w:rPr>
          <w:rFonts w:ascii="Times New Roman" w:hAnsi="Times New Roman"/>
          <w:sz w:val="22"/>
        </w:rPr>
        <w:t xml:space="preserve">is the annual amount of urine and dung deposited by grazing animals (kg N/year), and </w:t>
      </w:r>
      <w:proofErr w:type="spellStart"/>
      <w:r w:rsidRPr="008651FA">
        <w:rPr>
          <w:rFonts w:ascii="Times New Roman" w:hAnsi="Times New Roman"/>
          <w:sz w:val="22"/>
        </w:rPr>
        <w:t>EF</w:t>
      </w:r>
      <w:r w:rsidRPr="008651FA">
        <w:rPr>
          <w:rFonts w:ascii="Times New Roman" w:hAnsi="Times New Roman"/>
          <w:sz w:val="22"/>
          <w:vertAlign w:val="subscript"/>
        </w:rPr>
        <w:t>i</w:t>
      </w:r>
      <w:proofErr w:type="spellEnd"/>
      <w:r w:rsidRPr="008651FA">
        <w:rPr>
          <w:rFonts w:ascii="Times New Roman" w:hAnsi="Times New Roman"/>
          <w:sz w:val="22"/>
        </w:rPr>
        <w:t xml:space="preserve"> is the emission factor for N</w:t>
      </w:r>
      <w:r w:rsidRPr="008651FA">
        <w:rPr>
          <w:rFonts w:ascii="Times New Roman" w:hAnsi="Times New Roman"/>
          <w:sz w:val="22"/>
          <w:vertAlign w:val="subscript"/>
        </w:rPr>
        <w:t>2</w:t>
      </w:r>
      <w:r w:rsidRPr="008651FA">
        <w:rPr>
          <w:rFonts w:ascii="Times New Roman" w:hAnsi="Times New Roman"/>
          <w:sz w:val="22"/>
        </w:rPr>
        <w:t>O emissions from urine and dung deposited on pasture (kg N</w:t>
      </w:r>
      <w:r w:rsidRPr="008651FA">
        <w:rPr>
          <w:rFonts w:ascii="Times New Roman" w:hAnsi="Times New Roman"/>
          <w:sz w:val="22"/>
          <w:vertAlign w:val="subscript"/>
        </w:rPr>
        <w:t>2</w:t>
      </w:r>
      <w:r w:rsidRPr="008651FA">
        <w:rPr>
          <w:rFonts w:ascii="Times New Roman" w:hAnsi="Times New Roman"/>
          <w:sz w:val="22"/>
        </w:rPr>
        <w:t xml:space="preserve">O-N/kg N). This emission factor is 0.004 for swine and poultry and 0.003 for mules </w:t>
      </w:r>
      <w:r w:rsidRPr="008651FA">
        <w:rPr>
          <w:rFonts w:ascii="Times New Roman" w:hAnsi="Times New Roman"/>
          <w:sz w:val="22"/>
        </w:rPr>
        <w:fldChar w:fldCharType="begin" w:fldLock="1"/>
      </w:r>
      <w:r>
        <w:rPr>
          <w:rFonts w:ascii="Times New Roman" w:hAnsi="Times New Roman"/>
          <w:sz w:val="22"/>
        </w:rPr>
        <w:instrText>ADDIN CSL_CITATION {"citationItems":[{"id":"ITEM-1","itemData":{"ISBN":"4887880324","abstract":"Intergovernmental Panel on Climate Change (IPCC) (2006), “2006 IPCC Guidelines for National Greenhouse Gas Inventories”, Geneva, Vol. 4, Chapter 11, pp. 1-54.","author":[{"dropping-particle":"","family":"Hergoualch","given":"Kristell","non-dropping-particle":"","parse-names":false,"suffix":""},{"dropping-particle":"","family":"Akiyama","given":"Hiroko","non-dropping-particle":"","parse-names":false,"suffix":""},{"dropping-particle":"","family":"Bernoux","given":"Martial","non-dropping-particle":"","parse-names":false,"suffix":""},{"dropping-particle":"","family":"Chirinda","given":"Ngonidzashe","non-dropping-particle":"","parse-names":false,"suffix":""},{"dropping-particle":"del","family":"Prado","given":"Agustin","non-dropping-particle":"","parse-names":false,"suffix":""},{"dropping-particle":"","family":"Kasimir","given":"Asa","non-dropping-particle":"","parse-names":false,"suffix":""},{"dropping-particle":"","family":"MacDonald","given":"James Douglas","non-dropping-particle":"","parse-names":false,"suffix":""},{"dropping-particle":"","family":"Ogle","given":"Stephen Michael","non-dropping-particle":"","parse-names":false,"suffix":""},{"dropping-particle":"","family":"Regina","given":"Kristiina","non-dropping-particle":"","parse-names":false,"suffix":""},{"dropping-particle":"","family":"Weerden","given":"Tony John","non-dropping-particle":"van der","parse-names":false,"suffix":""}],"chapter-number":"Chapter 11","container-title":"2019 Refinement to the 2006 IPCC Guidelines for National Greenhouse Gas Inventories","id":"ITEM-1","issued":{"date-parts":[["2019"]]},"page":"48","title":"N2O Emissions From Managed Soils, and CO2 Emissions From Lime and Urea Application","type":"chapter"},"uris":["http://www.mendeley.com/documents/?uuid=5fe5d2c6-207e-4492-b02e-51f3e235c530"]}],"mendeley":{"formattedCitation":"(Hergoualch et al., 2019)","plainTextFormattedCitation":"(Hergoualch et al., 2019)","previouslyFormattedCitation":"[4]"},"properties":{"noteIndex":0},"schema":"https://github.com/citation-style-language/schema/raw/master/csl-citation.json"}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(Hergoualch et al., 2019)</w:t>
      </w:r>
      <w:r w:rsidRPr="008651FA">
        <w:rPr>
          <w:rFonts w:ascii="Times New Roman" w:hAnsi="Times New Roman"/>
          <w:sz w:val="22"/>
        </w:rPr>
        <w:fldChar w:fldCharType="end"/>
      </w:r>
      <w:r w:rsidRPr="008651FA">
        <w:rPr>
          <w:rFonts w:ascii="Times New Roman" w:hAnsi="Times New Roman"/>
          <w:sz w:val="22"/>
        </w:rPr>
        <w:t>. F</w:t>
      </w:r>
      <w:r w:rsidRPr="008651FA">
        <w:rPr>
          <w:rFonts w:ascii="Times New Roman" w:hAnsi="Times New Roman"/>
          <w:sz w:val="22"/>
          <w:vertAlign w:val="subscript"/>
        </w:rPr>
        <w:t>PRP</w:t>
      </w:r>
      <w:r w:rsidRPr="008651FA">
        <w:rPr>
          <w:rFonts w:ascii="Times New Roman" w:hAnsi="Times New Roman"/>
          <w:sz w:val="22"/>
        </w:rPr>
        <w:t xml:space="preserve"> is calculated according to Eq. (5) where N</w:t>
      </w:r>
      <w:r w:rsidRPr="008651FA">
        <w:rPr>
          <w:rFonts w:ascii="Times New Roman" w:hAnsi="Times New Roman"/>
          <w:sz w:val="22"/>
          <w:vertAlign w:val="subscript"/>
        </w:rPr>
        <w:t>(T)</w:t>
      </w:r>
      <w:r w:rsidRPr="008651FA">
        <w:rPr>
          <w:rFonts w:ascii="Times New Roman" w:hAnsi="Times New Roman"/>
          <w:sz w:val="22"/>
        </w:rPr>
        <w:t xml:space="preserve"> is the number of head of livestock species T in the facility, N</w:t>
      </w:r>
      <w:r w:rsidRPr="008651FA">
        <w:rPr>
          <w:rFonts w:ascii="Times New Roman" w:hAnsi="Times New Roman"/>
          <w:sz w:val="22"/>
          <w:vertAlign w:val="subscript"/>
        </w:rPr>
        <w:t xml:space="preserve">rate,(T) </w:t>
      </w:r>
      <w:r w:rsidRPr="008651FA">
        <w:rPr>
          <w:rFonts w:ascii="Times New Roman" w:hAnsi="Times New Roman"/>
          <w:sz w:val="22"/>
        </w:rPr>
        <w:t>is the annual average N excretion per head of species in the facility (kg N/animal/</w:t>
      </w:r>
      <w:r>
        <w:rPr>
          <w:rFonts w:ascii="Times New Roman" w:hAnsi="Times New Roman"/>
          <w:sz w:val="22"/>
        </w:rPr>
        <w:t>a</w:t>
      </w:r>
      <w:r w:rsidRPr="008651FA">
        <w:rPr>
          <w:rFonts w:ascii="Times New Roman" w:hAnsi="Times New Roman"/>
          <w:sz w:val="22"/>
        </w:rPr>
        <w:t>), MS</w:t>
      </w:r>
      <w:r w:rsidRPr="008651FA">
        <w:rPr>
          <w:rFonts w:ascii="Times New Roman" w:hAnsi="Times New Roman"/>
          <w:sz w:val="22"/>
          <w:vertAlign w:val="subscript"/>
        </w:rPr>
        <w:t>T,PRP</w:t>
      </w:r>
      <w:r w:rsidRPr="008651FA">
        <w:rPr>
          <w:rFonts w:ascii="Times New Roman" w:hAnsi="Times New Roman"/>
          <w:sz w:val="22"/>
        </w:rPr>
        <w:t xml:space="preserve"> is the fraction of total amount of nitrogen excretion for each specie T that is managed in manure management system S in the country that is deposited on pasture. Said value is 0% for swine and poultry, and 100% for mules. TAM is the average weight of animals whose values for swine </w:t>
      </w:r>
      <w:r>
        <w:rPr>
          <w:rFonts w:ascii="Times New Roman" w:hAnsi="Times New Roman"/>
          <w:sz w:val="22"/>
        </w:rPr>
        <w:t xml:space="preserve">are </w:t>
      </w:r>
      <w:r w:rsidRPr="008651FA">
        <w:rPr>
          <w:rFonts w:ascii="Times New Roman" w:hAnsi="Times New Roman"/>
          <w:sz w:val="22"/>
        </w:rPr>
        <w:t xml:space="preserve">218 kg, while for poultry and mules are 1.9 and 250 kg, respectively </w:t>
      </w:r>
      <w:r w:rsidRPr="008651FA">
        <w:rPr>
          <w:rFonts w:ascii="Times New Roman" w:hAnsi="Times New Roman"/>
          <w:sz w:val="22"/>
        </w:rPr>
        <w:fldChar w:fldCharType="begin" w:fldLock="1"/>
      </w:r>
      <w:r>
        <w:rPr>
          <w:rFonts w:ascii="Times New Roman" w:hAnsi="Times New Roman"/>
          <w:sz w:val="22"/>
        </w:rPr>
        <w:instrText>ADDIN CSL_CITATION {"citationItems":[{"id":"ITEM-1","itemData":{"DOI":"10.3390/ani5020193","ISSN":"20762615","abstract":"Manure management in livestock makes a significant contribution towards greenhouse gas emissions in the Agriculture; Forestry and Other Land Use category in South Africa. Methane and nitrous oxide emissions are prevalent in contrasting manure management systems; promoting anaerobic and aerobic conditions respectively. In this paper; both Tier 1 and modified Tier 2 approaches of the IPCC guidelines are utilized to estimate the emissions from South African livestock manure management. Activity data (animal population, animal weights, manure management systems, etc.) were sourced from various resources for estimation of both emissions factors and emissions of methane and nitrous oxide. The results show relatively high methane emissions factors from manure management for mature female dairy cattle (40.98 kg/year/animal), sows (25.23 kg/year/animal) and boars (25.23 kg/year/animal). Hence, contributions for pig farming and dairy cattle are the highest at 54.50 Gg and 32.01 Gg respectively, with total emissions of 134.97 Gg (3104 Gg CO2 Equivalent). Total nitrous oxide emissions are estimated at 7.10 Gg (2272 Gg CO2 Equivalent) and the three main contributors are commercial beef cattle; poultry and small-scale beef farming at 1.80 Gg; 1.72 Gg and 1.69 Gg respectively. Mitigation options from manure management must be taken with care due to divergent conducive requirements of methane and nitrous oxide emissions requirements.","author":[{"dropping-particle":"","family":"Moeletsi","given":"Mokhele Edmond","non-dropping-particle":"","parse-names":false,"suffix":""},{"dropping-particle":"","family":"Tongwane","given":"Mphethe Isaac","non-dropping-particle":"","parse-names":false,"suffix":""}],"container-title":"Animals","id":"ITEM-1","issue":"2","issued":{"date-parts":[["2015"]]},"page":"193-205","title":"2004 methane and nitrous oxide emissions from manure management in South Africa","type":"article-journal","volume":"5"},"uris":["http://www.mendeley.com/documents/?uuid=94c3eb2d-83c5-4351-a3d8-3bfcad3ff2e8"]}],"mendeley":{"formattedCitation":"(Moeletsi and Tongwane, 2015)","plainTextFormattedCitation":"(Moeletsi and Tongwane, 2015)","previouslyFormattedCitation":"[13]"},"properties":{"noteIndex":0},"schema":"https://github.com/citation-style-language/schema/raw/master/csl-citation.json"}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(Moeletsi and Tongwane, 2015)</w:t>
      </w:r>
      <w:r w:rsidRPr="008651FA">
        <w:rPr>
          <w:rFonts w:ascii="Times New Roman" w:hAnsi="Times New Roman"/>
          <w:sz w:val="22"/>
        </w:rPr>
        <w:fldChar w:fldCharType="end"/>
      </w:r>
      <w:r w:rsidRPr="008651FA">
        <w:rPr>
          <w:rFonts w:ascii="Times New Roman" w:hAnsi="Times New Roman"/>
          <w:sz w:val="22"/>
        </w:rPr>
        <w:t xml:space="preserve">. </w:t>
      </w:r>
    </w:p>
    <w:p w14:paraId="48374BB3" w14:textId="77777777" w:rsidR="008A24CD" w:rsidRPr="008651FA" w:rsidRDefault="008A24CD" w:rsidP="008A24CD">
      <w:pPr>
        <w:pStyle w:val="MDPI35textbeforelist"/>
        <w:spacing w:line="480" w:lineRule="auto"/>
        <w:jc w:val="left"/>
        <w:rPr>
          <w:rFonts w:ascii="Times New Roman" w:hAnsi="Times New Roman"/>
          <w:sz w:val="22"/>
        </w:rPr>
      </w:pPr>
    </w:p>
    <w:p w14:paraId="0C5FDE62"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
          <m:sSubPr>
            <m:ctrlPr>
              <w:rPr>
                <w:rFonts w:ascii="Cambria Math" w:hAnsi="Cambria Math"/>
                <w:sz w:val="22"/>
              </w:rPr>
            </m:ctrlPr>
          </m:sSubPr>
          <m:e>
            <m:r>
              <m:rPr>
                <m:sty m:val="p"/>
              </m:rPr>
              <w:rPr>
                <w:rFonts w:ascii="Cambria Math" w:hAnsi="Cambria Math"/>
                <w:sz w:val="22"/>
              </w:rPr>
              <m:t>N</m:t>
            </m:r>
          </m:e>
          <m:sub>
            <m:r>
              <m:rPr>
                <m:sty m:val="p"/>
              </m:rPr>
              <w:rPr>
                <w:rFonts w:ascii="Cambria Math" w:hAnsi="Cambria Math"/>
                <w:sz w:val="22"/>
              </w:rPr>
              <m:t>2</m:t>
            </m:r>
          </m:sub>
        </m:sSub>
        <m:sSub>
          <m:sSubPr>
            <m:ctrlPr>
              <w:rPr>
                <w:rFonts w:ascii="Cambria Math" w:hAnsi="Cambria Math"/>
                <w:sz w:val="22"/>
              </w:rPr>
            </m:ctrlPr>
          </m:sSubPr>
          <m:e>
            <m:r>
              <m:rPr>
                <m:sty m:val="p"/>
              </m:rPr>
              <w:rPr>
                <w:rFonts w:ascii="Cambria Math" w:hAnsi="Cambria Math"/>
                <w:sz w:val="22"/>
              </w:rPr>
              <m:t>O</m:t>
            </m:r>
          </m:e>
          <m:sub>
            <m:r>
              <m:rPr>
                <m:sty m:val="p"/>
              </m:rPr>
              <w:rPr>
                <w:rFonts w:ascii="Cambria Math" w:hAnsi="Cambria Math"/>
                <w:sz w:val="22"/>
              </w:rPr>
              <m:t>(D)</m:t>
            </m:r>
          </m:sub>
        </m:sSub>
        <m:r>
          <m:rPr>
            <m:sty m:val="p"/>
          </m:rPr>
          <w:rPr>
            <w:rFonts w:ascii="Cambria Math" w:hAnsi="Cambria Math"/>
            <w:sz w:val="22"/>
          </w:rPr>
          <m:t>-N=</m:t>
        </m:r>
        <m:nary>
          <m:naryPr>
            <m:chr m:val="∑"/>
            <m:limLoc m:val="undOvr"/>
            <m:subHide m:val="1"/>
            <m:supHide m:val="1"/>
            <m:ctrlPr>
              <w:rPr>
                <w:rFonts w:ascii="Cambria Math" w:hAnsi="Cambria Math"/>
                <w:sz w:val="22"/>
              </w:rPr>
            </m:ctrlPr>
          </m:naryPr>
          <m:sub/>
          <m:sup/>
          <m:e>
            <m:sSub>
              <m:sSubPr>
                <m:ctrlPr>
                  <w:rPr>
                    <w:rFonts w:ascii="Cambria Math" w:hAnsi="Cambria Math"/>
                    <w:sz w:val="22"/>
                  </w:rPr>
                </m:ctrlPr>
              </m:sSubPr>
              <m:e>
                <m:r>
                  <m:rPr>
                    <m:sty m:val="p"/>
                  </m:rPr>
                  <w:rPr>
                    <w:rFonts w:ascii="Cambria Math" w:hAnsi="Cambria Math"/>
                    <w:sz w:val="22"/>
                  </w:rPr>
                  <m:t>F</m:t>
                </m:r>
              </m:e>
              <m:sub>
                <m:r>
                  <m:rPr>
                    <m:sty m:val="p"/>
                  </m:rPr>
                  <w:rPr>
                    <w:rFonts w:ascii="Cambria Math" w:hAnsi="Cambria Math"/>
                    <w:sz w:val="22"/>
                  </w:rPr>
                  <m:t>ON</m:t>
                </m:r>
              </m:sub>
            </m:sSub>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EF</m:t>
                </m:r>
              </m:e>
              <m:sub>
                <m:r>
                  <m:rPr>
                    <m:sty m:val="p"/>
                  </m:rPr>
                  <w:rPr>
                    <w:rFonts w:ascii="Cambria Math" w:hAnsi="Cambria Math"/>
                    <w:sz w:val="22"/>
                  </w:rPr>
                  <m:t>2</m:t>
                </m:r>
              </m:sub>
            </m:sSub>
            <m:r>
              <m:rPr>
                <m:sty m:val="p"/>
              </m:rPr>
              <w:rPr>
                <w:rFonts w:ascii="Cambria Math" w:hAnsi="Cambria Math"/>
                <w:sz w:val="22"/>
              </w:rPr>
              <m:t>+</m:t>
            </m:r>
            <m:nary>
              <m:naryPr>
                <m:chr m:val="∑"/>
                <m:limLoc m:val="undOvr"/>
                <m:supHide m:val="1"/>
                <m:ctrlPr>
                  <w:rPr>
                    <w:rFonts w:ascii="Cambria Math" w:hAnsi="Cambria Math"/>
                    <w:sz w:val="22"/>
                  </w:rPr>
                </m:ctrlPr>
              </m:naryPr>
              <m:sub>
                <m:r>
                  <m:rPr>
                    <m:sty m:val="p"/>
                  </m:rPr>
                  <w:rPr>
                    <w:rFonts w:ascii="Cambria Math" w:hAnsi="Cambria Math"/>
                    <w:sz w:val="22"/>
                  </w:rPr>
                  <m:t>i</m:t>
                </m:r>
              </m:sub>
              <m:sup/>
              <m:e>
                <m:sSub>
                  <m:sSubPr>
                    <m:ctrlPr>
                      <w:rPr>
                        <w:rFonts w:ascii="Cambria Math" w:hAnsi="Cambria Math"/>
                        <w:sz w:val="22"/>
                      </w:rPr>
                    </m:ctrlPr>
                  </m:sSubPr>
                  <m:e>
                    <m:r>
                      <m:rPr>
                        <m:sty m:val="p"/>
                      </m:rPr>
                      <w:rPr>
                        <w:rFonts w:ascii="Cambria Math" w:hAnsi="Cambria Math"/>
                        <w:sz w:val="22"/>
                      </w:rPr>
                      <m:t>F</m:t>
                    </m:r>
                  </m:e>
                  <m:sub>
                    <m:r>
                      <m:rPr>
                        <m:sty m:val="p"/>
                      </m:rPr>
                      <w:rPr>
                        <w:rFonts w:ascii="Cambria Math" w:hAnsi="Cambria Math"/>
                        <w:sz w:val="22"/>
                      </w:rPr>
                      <m:t>PRP,i</m:t>
                    </m:r>
                  </m:sub>
                </m:sSub>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EF</m:t>
                    </m:r>
                  </m:e>
                  <m:sub>
                    <m:r>
                      <m:rPr>
                        <m:sty m:val="p"/>
                      </m:rPr>
                      <w:rPr>
                        <w:rFonts w:ascii="Cambria Math" w:hAnsi="Cambria Math"/>
                        <w:sz w:val="22"/>
                      </w:rPr>
                      <m:t>i</m:t>
                    </m:r>
                  </m:sub>
                </m:sSub>
              </m:e>
            </m:nary>
          </m:e>
        </m:nary>
      </m:oMath>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t xml:space="preserve"> Eq. (4)</w:t>
      </w:r>
    </w:p>
    <w:p w14:paraId="54E30C99" w14:textId="77777777" w:rsidR="008A24CD" w:rsidRPr="008651FA" w:rsidRDefault="008A24CD" w:rsidP="008A24CD">
      <w:pPr>
        <w:pStyle w:val="MDPI35textbeforelist"/>
        <w:spacing w:line="480" w:lineRule="auto"/>
        <w:jc w:val="left"/>
        <w:rPr>
          <w:rFonts w:ascii="Times New Roman" w:hAnsi="Times New Roman"/>
          <w:sz w:val="22"/>
        </w:rPr>
      </w:pPr>
    </w:p>
    <w:p w14:paraId="25672FDC"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
          <m:sSubPr>
            <m:ctrlPr>
              <w:rPr>
                <w:rFonts w:ascii="Cambria Math" w:hAnsi="Cambria Math"/>
                <w:sz w:val="22"/>
              </w:rPr>
            </m:ctrlPr>
          </m:sSubPr>
          <m:e>
            <m:r>
              <m:rPr>
                <m:sty m:val="p"/>
              </m:rPr>
              <w:rPr>
                <w:rFonts w:ascii="Cambria Math" w:hAnsi="Cambria Math"/>
                <w:sz w:val="22"/>
              </w:rPr>
              <m:t>F</m:t>
            </m:r>
          </m:e>
          <m:sub>
            <m:r>
              <m:rPr>
                <m:sty m:val="p"/>
              </m:rPr>
              <w:rPr>
                <w:rFonts w:ascii="Cambria Math" w:hAnsi="Cambria Math"/>
                <w:sz w:val="22"/>
              </w:rPr>
              <m:t>PRP</m:t>
            </m:r>
          </m:sub>
        </m:sSub>
        <m:r>
          <m:rPr>
            <m:sty m:val="p"/>
          </m:rPr>
          <w:rPr>
            <w:rFonts w:ascii="Cambria Math" w:hAnsi="Cambria Math"/>
            <w:sz w:val="22"/>
          </w:rPr>
          <m:t>=</m:t>
        </m:r>
        <m:nary>
          <m:naryPr>
            <m:chr m:val="∑"/>
            <m:limLoc m:val="undOvr"/>
            <m:supHide m:val="1"/>
            <m:ctrlPr>
              <w:rPr>
                <w:rFonts w:ascii="Cambria Math" w:hAnsi="Cambria Math"/>
                <w:sz w:val="22"/>
              </w:rPr>
            </m:ctrlPr>
          </m:naryPr>
          <m:sub>
            <m:r>
              <m:rPr>
                <m:sty m:val="p"/>
              </m:rPr>
              <w:rPr>
                <w:rFonts w:ascii="Cambria Math" w:hAnsi="Cambria Math"/>
                <w:sz w:val="22"/>
              </w:rPr>
              <m:t>T</m:t>
            </m:r>
          </m:sub>
          <m:sup/>
          <m:e>
            <m:d>
              <m:dPr>
                <m:ctrlPr>
                  <w:rPr>
                    <w:rFonts w:ascii="Cambria Math" w:hAnsi="Cambria Math"/>
                    <w:sz w:val="22"/>
                  </w:rPr>
                </m:ctrlPr>
              </m:dPr>
              <m:e>
                <m:r>
                  <m:rPr>
                    <m:sty m:val="p"/>
                  </m:rPr>
                  <w:rPr>
                    <w:rFonts w:ascii="Cambria Math" w:hAnsi="Cambria Math"/>
                    <w:sz w:val="22"/>
                  </w:rPr>
                  <m:t>365*</m:t>
                </m:r>
                <m:sSub>
                  <m:sSubPr>
                    <m:ctrlPr>
                      <w:rPr>
                        <w:rFonts w:ascii="Cambria Math" w:hAnsi="Cambria Math"/>
                        <w:sz w:val="22"/>
                      </w:rPr>
                    </m:ctrlPr>
                  </m:sSubPr>
                  <m:e>
                    <m:r>
                      <m:rPr>
                        <m:sty m:val="p"/>
                      </m:rPr>
                      <w:rPr>
                        <w:rFonts w:ascii="Cambria Math" w:hAnsi="Cambria Math"/>
                        <w:sz w:val="22"/>
                      </w:rPr>
                      <m:t>N</m:t>
                    </m:r>
                  </m:e>
                  <m:sub>
                    <m:r>
                      <m:rPr>
                        <m:sty m:val="p"/>
                      </m:rPr>
                      <w:rPr>
                        <w:rFonts w:ascii="Cambria Math" w:hAnsi="Cambria Math"/>
                        <w:sz w:val="22"/>
                      </w:rPr>
                      <m:t>T</m:t>
                    </m:r>
                  </m:sub>
                </m:sSub>
                <m:r>
                  <m:rPr>
                    <m:sty m:val="p"/>
                  </m:rPr>
                  <w:rPr>
                    <w:rFonts w:ascii="Cambria Math" w:hAnsi="Cambria Math"/>
                    <w:sz w:val="22"/>
                  </w:rPr>
                  <m:t>*TAM*</m:t>
                </m:r>
                <m:f>
                  <m:fPr>
                    <m:ctrlPr>
                      <w:rPr>
                        <w:rFonts w:ascii="Cambria Math" w:hAnsi="Cambria Math"/>
                        <w:sz w:val="22"/>
                      </w:rPr>
                    </m:ctrlPr>
                  </m:fPr>
                  <m:num>
                    <m:sSub>
                      <m:sSubPr>
                        <m:ctrlPr>
                          <w:rPr>
                            <w:rFonts w:ascii="Cambria Math" w:hAnsi="Cambria Math"/>
                            <w:sz w:val="22"/>
                          </w:rPr>
                        </m:ctrlPr>
                      </m:sSubPr>
                      <m:e>
                        <m:r>
                          <m:rPr>
                            <m:sty m:val="p"/>
                          </m:rPr>
                          <w:rPr>
                            <w:rFonts w:ascii="Cambria Math" w:hAnsi="Cambria Math"/>
                            <w:sz w:val="22"/>
                          </w:rPr>
                          <m:t>N</m:t>
                        </m:r>
                      </m:e>
                      <m:sub>
                        <m:r>
                          <m:rPr>
                            <m:sty m:val="p"/>
                          </m:rPr>
                          <w:rPr>
                            <w:rFonts w:ascii="Cambria Math" w:hAnsi="Cambria Math"/>
                            <w:sz w:val="22"/>
                          </w:rPr>
                          <m:t>rate,</m:t>
                        </m:r>
                        <m:d>
                          <m:dPr>
                            <m:ctrlPr>
                              <w:rPr>
                                <w:rFonts w:ascii="Cambria Math" w:hAnsi="Cambria Math"/>
                                <w:sz w:val="22"/>
                              </w:rPr>
                            </m:ctrlPr>
                          </m:dPr>
                          <m:e>
                            <m:r>
                              <m:rPr>
                                <m:sty m:val="p"/>
                              </m:rPr>
                              <w:rPr>
                                <w:rFonts w:ascii="Cambria Math" w:hAnsi="Cambria Math"/>
                                <w:sz w:val="22"/>
                              </w:rPr>
                              <m:t>T</m:t>
                            </m:r>
                          </m:e>
                        </m:d>
                      </m:sub>
                    </m:sSub>
                  </m:num>
                  <m:den>
                    <m:r>
                      <m:rPr>
                        <m:sty m:val="p"/>
                      </m:rPr>
                      <w:rPr>
                        <w:rFonts w:ascii="Cambria Math" w:hAnsi="Cambria Math"/>
                        <w:sz w:val="22"/>
                      </w:rPr>
                      <m:t>1000</m:t>
                    </m:r>
                  </m:den>
                </m:f>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MS</m:t>
                    </m:r>
                  </m:e>
                  <m:sub>
                    <m:r>
                      <m:rPr>
                        <m:sty m:val="p"/>
                      </m:rPr>
                      <w:rPr>
                        <w:rFonts w:ascii="Cambria Math" w:hAnsi="Cambria Math"/>
                        <w:sz w:val="22"/>
                      </w:rPr>
                      <m:t>T,PRP</m:t>
                    </m:r>
                  </m:sub>
                </m:sSub>
              </m:e>
            </m:d>
          </m:e>
        </m:nary>
      </m:oMath>
      <w:r w:rsidR="008A24CD" w:rsidRPr="008651FA">
        <w:rPr>
          <w:rFonts w:ascii="Times New Roman" w:hAnsi="Times New Roman"/>
          <w:iCs/>
          <w:sz w:val="22"/>
        </w:rPr>
        <w:t xml:space="preserve"> </w:t>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t xml:space="preserve"> Eq. (5)</w:t>
      </w:r>
    </w:p>
    <w:p w14:paraId="02A3E271" w14:textId="77777777" w:rsidR="008A24CD" w:rsidRPr="008651FA" w:rsidRDefault="008A24CD" w:rsidP="008A24CD">
      <w:pPr>
        <w:pStyle w:val="MDPI35textbeforelist"/>
        <w:spacing w:line="480" w:lineRule="auto"/>
        <w:jc w:val="left"/>
        <w:rPr>
          <w:rFonts w:ascii="Times New Roman" w:hAnsi="Times New Roman"/>
          <w:iCs/>
          <w:sz w:val="22"/>
        </w:rPr>
      </w:pPr>
    </w:p>
    <w:p w14:paraId="6432C285" w14:textId="195F4664" w:rsidR="008A24CD" w:rsidRPr="008651FA" w:rsidRDefault="008A24CD" w:rsidP="008A24CD">
      <w:pPr>
        <w:pStyle w:val="MDPI35textbeforelist"/>
        <w:spacing w:line="480" w:lineRule="auto"/>
        <w:ind w:left="0" w:firstLine="0"/>
        <w:jc w:val="left"/>
        <w:rPr>
          <w:rFonts w:ascii="Times New Roman" w:hAnsi="Times New Roman"/>
          <w:iCs/>
          <w:sz w:val="22"/>
        </w:rPr>
      </w:pPr>
      <w:r w:rsidRPr="008651FA">
        <w:rPr>
          <w:rFonts w:ascii="Times New Roman" w:hAnsi="Times New Roman"/>
          <w:iCs/>
          <w:sz w:val="22"/>
        </w:rPr>
        <w:t>The N</w:t>
      </w:r>
      <w:r w:rsidRPr="008651FA">
        <w:rPr>
          <w:rFonts w:ascii="Times New Roman" w:hAnsi="Times New Roman"/>
          <w:iCs/>
          <w:sz w:val="22"/>
          <w:vertAlign w:val="subscript"/>
        </w:rPr>
        <w:t>2</w:t>
      </w:r>
      <w:r w:rsidRPr="008651FA">
        <w:rPr>
          <w:rFonts w:ascii="Times New Roman" w:hAnsi="Times New Roman"/>
          <w:iCs/>
          <w:sz w:val="22"/>
        </w:rPr>
        <w:t>O emissions from leaching and run-off were calculated according to Eq. (6) where FRAC</w:t>
      </w:r>
      <w:r w:rsidRPr="008651FA">
        <w:rPr>
          <w:rFonts w:ascii="Times New Roman" w:hAnsi="Times New Roman"/>
          <w:iCs/>
          <w:sz w:val="22"/>
          <w:vertAlign w:val="subscript"/>
        </w:rPr>
        <w:t xml:space="preserve">LEACH-H </w:t>
      </w:r>
      <w:r w:rsidRPr="008651FA">
        <w:rPr>
          <w:rFonts w:ascii="Times New Roman" w:hAnsi="Times New Roman"/>
          <w:iCs/>
          <w:sz w:val="22"/>
        </w:rPr>
        <w:t>is the fraction of the leached nitrogen (0.24 kg losses by leaching/kg N applied) and EF</w:t>
      </w:r>
      <w:r w:rsidRPr="008651FA">
        <w:rPr>
          <w:rFonts w:ascii="Times New Roman" w:hAnsi="Times New Roman"/>
          <w:iCs/>
          <w:sz w:val="22"/>
          <w:vertAlign w:val="subscript"/>
        </w:rPr>
        <w:t>3</w:t>
      </w:r>
      <w:r w:rsidRPr="008651FA">
        <w:rPr>
          <w:rFonts w:ascii="Times New Roman" w:hAnsi="Times New Roman"/>
          <w:iCs/>
          <w:sz w:val="22"/>
        </w:rPr>
        <w:t xml:space="preserve"> is the emission factor for N</w:t>
      </w:r>
      <w:r w:rsidRPr="008651FA">
        <w:rPr>
          <w:rFonts w:ascii="Times New Roman" w:hAnsi="Times New Roman"/>
          <w:iCs/>
          <w:sz w:val="22"/>
          <w:vertAlign w:val="subscript"/>
        </w:rPr>
        <w:t>2</w:t>
      </w:r>
      <w:r w:rsidRPr="008651FA">
        <w:rPr>
          <w:rFonts w:ascii="Times New Roman" w:hAnsi="Times New Roman"/>
          <w:iCs/>
          <w:sz w:val="22"/>
        </w:rPr>
        <w:t>O emissions from N leaching and runoff (0.011 kg N</w:t>
      </w:r>
      <w:r w:rsidRPr="008651FA">
        <w:rPr>
          <w:rFonts w:ascii="Times New Roman" w:hAnsi="Times New Roman"/>
          <w:iCs/>
          <w:sz w:val="22"/>
          <w:vertAlign w:val="subscript"/>
        </w:rPr>
        <w:t>2</w:t>
      </w:r>
      <w:r w:rsidRPr="008651FA">
        <w:rPr>
          <w:rFonts w:ascii="Times New Roman" w:hAnsi="Times New Roman"/>
          <w:iCs/>
          <w:sz w:val="22"/>
        </w:rPr>
        <w:t xml:space="preserve">O-N/kg leaching) </w:t>
      </w:r>
      <w:r w:rsidRPr="008651FA">
        <w:rPr>
          <w:rFonts w:ascii="Times New Roman" w:hAnsi="Times New Roman"/>
          <w:iCs/>
          <w:sz w:val="22"/>
        </w:rPr>
        <w:fldChar w:fldCharType="begin" w:fldLock="1"/>
      </w:r>
      <w:r>
        <w:rPr>
          <w:rFonts w:ascii="Times New Roman" w:hAnsi="Times New Roman"/>
          <w:iCs/>
          <w:sz w:val="22"/>
        </w:rPr>
        <w:instrText>ADDIN CSL_CITATION {"citationItems":[{"id":"ITEM-1","itemData":{"ISBN":"4887880324","abstract":"Intergovernmental Panel on Climate Change (IPCC) (2006), “2006 IPCC Guidelines for National Greenhouse Gas Inventories”, Geneva, Vol. 4, Chapter 11, pp. 1-54.","author":[{"dropping-particle":"","family":"Hergoualch","given":"Kristell","non-dropping-particle":"","parse-names":false,"suffix":""},{"dropping-particle":"","family":"Akiyama","given":"Hiroko","non-dropping-particle":"","parse-names":false,"suffix":""},{"dropping-particle":"","family":"Bernoux","given":"Martial","non-dropping-particle":"","parse-names":false,"suffix":""},{"dropping-particle":"","family":"Chirinda","given":"Ngonidzashe","non-dropping-particle":"","parse-names":false,"suffix":""},{"dropping-particle":"del","family":"Prado","given":"Agustin","non-dropping-particle":"","parse-names":false,"suffix":""},{"dropping-particle":"","family":"Kasimir","given":"Asa","non-dropping-particle":"","parse-names":false,"suffix":""},{"dropping-particle":"","family":"MacDonald","given":"James Douglas","non-dropping-particle":"","parse-names":false,"suffix":""},{"dropping-particle":"","family":"Ogle","given":"Stephen Michael","non-dropping-particle":"","parse-names":false,"suffix":""},{"dropping-particle":"","family":"Regina","given":"Kristiina","non-dropping-particle":"","parse-names":false,"suffix":""},{"dropping-particle":"","family":"Weerden","given":"Tony John","non-dropping-particle":"van der","parse-names":false,"suffix":""}],"chapter-number":"Chapter 11","container-title":"2019 Refinement to the 2006 IPCC Guidelines for National Greenhouse Gas Inventories","id":"ITEM-1","issued":{"date-parts":[["2019"]]},"page":"48","title":"N2O Emissions From Managed Soils, and CO2 Emissions From Lime and Urea Application","type":"chapter"},"uris":["http://www.mendeley.com/documents/?uuid=5fe5d2c6-207e-4492-b02e-51f3e235c530"]}],"mendeley":{"formattedCitation":"(Hergoualch et al., 2019)","plainTextFormattedCitation":"(Hergoualch et al., 2019)","previouslyFormattedCitation":"[4]"},"properties":{"noteIndex":0},"schema":"https://github.com/citation-style-language/schema/raw/master/csl-citation.json"}</w:instrText>
      </w:r>
      <w:r w:rsidRPr="008651FA">
        <w:rPr>
          <w:rFonts w:ascii="Times New Roman" w:hAnsi="Times New Roman"/>
          <w:iCs/>
          <w:sz w:val="22"/>
        </w:rPr>
        <w:fldChar w:fldCharType="separate"/>
      </w:r>
      <w:r w:rsidRPr="008A24CD">
        <w:rPr>
          <w:rFonts w:ascii="Times New Roman" w:hAnsi="Times New Roman"/>
          <w:iCs/>
          <w:noProof/>
          <w:sz w:val="22"/>
        </w:rPr>
        <w:t>(Hergoualch et al., 2019)</w:t>
      </w:r>
      <w:r w:rsidRPr="008651FA">
        <w:rPr>
          <w:rFonts w:ascii="Times New Roman" w:hAnsi="Times New Roman"/>
          <w:iCs/>
          <w:sz w:val="22"/>
        </w:rPr>
        <w:fldChar w:fldCharType="end"/>
      </w:r>
      <w:r w:rsidRPr="008651FA">
        <w:rPr>
          <w:rFonts w:ascii="Times New Roman" w:hAnsi="Times New Roman"/>
          <w:iCs/>
          <w:sz w:val="22"/>
        </w:rPr>
        <w:t xml:space="preserve">. </w:t>
      </w:r>
    </w:p>
    <w:p w14:paraId="0A5D4E60" w14:textId="77777777" w:rsidR="008A24CD" w:rsidRPr="008651FA" w:rsidRDefault="008A24CD" w:rsidP="008A24CD">
      <w:pPr>
        <w:pStyle w:val="MDPI35textbeforelist"/>
        <w:spacing w:line="480" w:lineRule="auto"/>
        <w:jc w:val="left"/>
        <w:rPr>
          <w:rFonts w:ascii="Times New Roman" w:hAnsi="Times New Roman"/>
          <w:iCs/>
          <w:sz w:val="22"/>
        </w:rPr>
      </w:pPr>
    </w:p>
    <w:p w14:paraId="38946C20"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
          <m:sSubPr>
            <m:ctrlPr>
              <w:rPr>
                <w:rFonts w:ascii="Cambria Math" w:hAnsi="Cambria Math"/>
                <w:iCs/>
                <w:sz w:val="22"/>
              </w:rPr>
            </m:ctrlPr>
          </m:sSubPr>
          <m:e>
            <m:r>
              <m:rPr>
                <m:sty m:val="p"/>
              </m:rPr>
              <w:rPr>
                <w:rFonts w:ascii="Cambria Math" w:hAnsi="Cambria Math"/>
                <w:sz w:val="22"/>
              </w:rPr>
              <m:t>N</m:t>
            </m:r>
          </m:e>
          <m:sub>
            <m:r>
              <m:rPr>
                <m:sty m:val="p"/>
              </m:rPr>
              <w:rPr>
                <w:rFonts w:ascii="Cambria Math" w:hAnsi="Cambria Math"/>
                <w:sz w:val="22"/>
              </w:rPr>
              <m:t>2</m:t>
            </m:r>
          </m:sub>
        </m:sSub>
        <m:sSub>
          <m:sSubPr>
            <m:ctrlPr>
              <w:rPr>
                <w:rFonts w:ascii="Cambria Math" w:hAnsi="Cambria Math"/>
                <w:iCs/>
                <w:sz w:val="22"/>
              </w:rPr>
            </m:ctrlPr>
          </m:sSubPr>
          <m:e>
            <m:r>
              <m:rPr>
                <m:sty m:val="p"/>
              </m:rPr>
              <w:rPr>
                <w:rFonts w:ascii="Cambria Math" w:hAnsi="Cambria Math"/>
                <w:sz w:val="22"/>
              </w:rPr>
              <m:t>O</m:t>
            </m:r>
          </m:e>
          <m:sub>
            <m:r>
              <m:rPr>
                <m:sty m:val="p"/>
              </m:rPr>
              <w:rPr>
                <w:rFonts w:ascii="Cambria Math" w:hAnsi="Cambria Math"/>
                <w:sz w:val="22"/>
              </w:rPr>
              <m:t>(L)</m:t>
            </m:r>
          </m:sub>
        </m:sSub>
        <m:r>
          <m:rPr>
            <m:sty m:val="p"/>
          </m:rPr>
          <w:rPr>
            <w:rFonts w:ascii="Cambria Math" w:hAnsi="Cambria Math"/>
            <w:sz w:val="22"/>
          </w:rPr>
          <m:t>-N=</m:t>
        </m:r>
        <m:nary>
          <m:naryPr>
            <m:chr m:val="∑"/>
            <m:limLoc m:val="undOvr"/>
            <m:subHide m:val="1"/>
            <m:supHide m:val="1"/>
            <m:ctrlPr>
              <w:rPr>
                <w:rFonts w:ascii="Cambria Math" w:hAnsi="Cambria Math"/>
                <w:iCs/>
                <w:sz w:val="22"/>
              </w:rPr>
            </m:ctrlPr>
          </m:naryPr>
          <m:sub/>
          <m:sup/>
          <m:e>
            <m:d>
              <m:dPr>
                <m:ctrlPr>
                  <w:rPr>
                    <w:rFonts w:ascii="Cambria Math" w:hAnsi="Cambria Math"/>
                    <w:iCs/>
                    <w:sz w:val="22"/>
                  </w:rPr>
                </m:ctrlPr>
              </m:dPr>
              <m:e>
                <m:sSub>
                  <m:sSubPr>
                    <m:ctrlPr>
                      <w:rPr>
                        <w:rFonts w:ascii="Cambria Math" w:hAnsi="Cambria Math"/>
                        <w:iCs/>
                        <w:sz w:val="22"/>
                      </w:rPr>
                    </m:ctrlPr>
                  </m:sSubPr>
                  <m:e>
                    <m:r>
                      <m:rPr>
                        <m:sty m:val="p"/>
                      </m:rPr>
                      <w:rPr>
                        <w:rFonts w:ascii="Cambria Math" w:hAnsi="Cambria Math"/>
                        <w:sz w:val="22"/>
                      </w:rPr>
                      <m:t>F</m:t>
                    </m:r>
                  </m:e>
                  <m:sub>
                    <m:r>
                      <m:rPr>
                        <m:sty m:val="p"/>
                      </m:rPr>
                      <w:rPr>
                        <w:rFonts w:ascii="Cambria Math" w:hAnsi="Cambria Math"/>
                        <w:sz w:val="22"/>
                      </w:rPr>
                      <m:t>ON</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F</m:t>
                    </m:r>
                  </m:e>
                  <m:sub>
                    <m:r>
                      <m:rPr>
                        <m:sty m:val="p"/>
                      </m:rPr>
                      <w:rPr>
                        <w:rFonts w:ascii="Cambria Math" w:hAnsi="Cambria Math"/>
                        <w:sz w:val="22"/>
                      </w:rPr>
                      <m:t>PRP</m:t>
                    </m:r>
                  </m:sub>
                </m:sSub>
              </m:e>
            </m:d>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FRAC</m:t>
                </m:r>
              </m:e>
              <m:sub>
                <m:r>
                  <m:rPr>
                    <m:sty m:val="p"/>
                  </m:rPr>
                  <w:rPr>
                    <w:rFonts w:ascii="Cambria Math" w:hAnsi="Cambria Math"/>
                    <w:sz w:val="22"/>
                  </w:rPr>
                  <m:t>Leach-H</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EF</m:t>
                </m:r>
              </m:e>
              <m:sub>
                <m:r>
                  <m:rPr>
                    <m:sty m:val="p"/>
                  </m:rPr>
                  <w:rPr>
                    <w:rFonts w:ascii="Cambria Math" w:hAnsi="Cambria Math"/>
                    <w:sz w:val="22"/>
                  </w:rPr>
                  <m:t>3</m:t>
                </m:r>
              </m:sub>
            </m:sSub>
          </m:e>
        </m:nary>
      </m:oMath>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t xml:space="preserve">  Eq. (6)</w:t>
      </w:r>
    </w:p>
    <w:p w14:paraId="3104EAC2" w14:textId="77777777" w:rsidR="008A24CD" w:rsidRPr="008651FA" w:rsidRDefault="008A24CD" w:rsidP="008A24CD">
      <w:pPr>
        <w:pStyle w:val="MDPI35textbeforelist"/>
        <w:spacing w:line="480" w:lineRule="auto"/>
        <w:jc w:val="left"/>
        <w:rPr>
          <w:rFonts w:ascii="Times New Roman" w:hAnsi="Times New Roman"/>
          <w:iCs/>
          <w:sz w:val="22"/>
        </w:rPr>
      </w:pPr>
    </w:p>
    <w:p w14:paraId="24AED3DE" w14:textId="74DD82B0" w:rsidR="008A24CD" w:rsidRPr="008A24CD" w:rsidRDefault="008A24CD" w:rsidP="008A24CD">
      <w:pPr>
        <w:pStyle w:val="MDPI35textbeforelist"/>
        <w:spacing w:line="480" w:lineRule="auto"/>
        <w:ind w:left="0" w:firstLine="0"/>
        <w:jc w:val="left"/>
        <w:rPr>
          <w:rFonts w:ascii="Times New Roman" w:hAnsi="Times New Roman"/>
          <w:iCs/>
          <w:sz w:val="22"/>
          <w:lang w:val="es-CO"/>
        </w:rPr>
      </w:pPr>
      <w:r w:rsidRPr="008651FA">
        <w:rPr>
          <w:rFonts w:ascii="Times New Roman" w:hAnsi="Times New Roman"/>
          <w:iCs/>
          <w:sz w:val="22"/>
        </w:rPr>
        <w:t>The application of nitrogen to soil result</w:t>
      </w:r>
      <w:r>
        <w:rPr>
          <w:rFonts w:ascii="Times New Roman" w:hAnsi="Times New Roman"/>
          <w:iCs/>
          <w:sz w:val="22"/>
        </w:rPr>
        <w:t>s</w:t>
      </w:r>
      <w:r w:rsidRPr="008651FA">
        <w:rPr>
          <w:rFonts w:ascii="Times New Roman" w:hAnsi="Times New Roman"/>
          <w:iCs/>
          <w:sz w:val="22"/>
        </w:rPr>
        <w:t xml:space="preserve"> in the leaching of nitrates (NO</w:t>
      </w:r>
      <w:r w:rsidRPr="008651FA">
        <w:rPr>
          <w:rFonts w:ascii="Times New Roman" w:hAnsi="Times New Roman"/>
          <w:iCs/>
          <w:sz w:val="22"/>
          <w:vertAlign w:val="subscript"/>
        </w:rPr>
        <w:t>3</w:t>
      </w:r>
      <w:r w:rsidRPr="008651FA">
        <w:rPr>
          <w:rFonts w:ascii="Times New Roman" w:hAnsi="Times New Roman"/>
          <w:iCs/>
          <w:sz w:val="22"/>
        </w:rPr>
        <w:t>) which is calculated according to Eq. (7) where P is the precipitation (mm/</w:t>
      </w:r>
      <w:r>
        <w:rPr>
          <w:rFonts w:ascii="Times New Roman" w:hAnsi="Times New Roman"/>
          <w:iCs/>
          <w:sz w:val="22"/>
        </w:rPr>
        <w:t>a</w:t>
      </w:r>
      <w:r w:rsidRPr="008651FA">
        <w:rPr>
          <w:rFonts w:ascii="Times New Roman" w:hAnsi="Times New Roman"/>
          <w:iCs/>
          <w:sz w:val="22"/>
        </w:rPr>
        <w:t>) (see Table A1), c is the clay content (%), L is the rooting depth (1.6 m), S is the nitrogen supply through fertilizer, N</w:t>
      </w:r>
      <w:r w:rsidRPr="008651FA">
        <w:rPr>
          <w:rFonts w:ascii="Times New Roman" w:hAnsi="Times New Roman"/>
          <w:iCs/>
          <w:sz w:val="22"/>
          <w:vertAlign w:val="subscript"/>
        </w:rPr>
        <w:t>org</w:t>
      </w:r>
      <w:r w:rsidRPr="008651FA">
        <w:rPr>
          <w:rFonts w:ascii="Times New Roman" w:hAnsi="Times New Roman"/>
          <w:iCs/>
          <w:sz w:val="22"/>
        </w:rPr>
        <w:t xml:space="preserve"> is the nitrogen in organic matter in the soil, and U is the nitrogen uptake by crop in kg N/ha. Eq. (8) calculates the organic matter in the soil that depends on the soil volume (V=5,000 m</w:t>
      </w:r>
      <w:r w:rsidRPr="008651FA">
        <w:rPr>
          <w:rFonts w:ascii="Times New Roman" w:hAnsi="Times New Roman"/>
          <w:iCs/>
          <w:sz w:val="22"/>
          <w:vertAlign w:val="superscript"/>
        </w:rPr>
        <w:t>3</w:t>
      </w:r>
      <w:r w:rsidRPr="008651FA">
        <w:rPr>
          <w:rFonts w:ascii="Times New Roman" w:hAnsi="Times New Roman"/>
          <w:iCs/>
          <w:sz w:val="22"/>
        </w:rPr>
        <w:t>/ha), bulk density (</w:t>
      </w:r>
      <w:proofErr w:type="spellStart"/>
      <w:r w:rsidRPr="008651FA">
        <w:rPr>
          <w:rFonts w:ascii="Times New Roman" w:hAnsi="Times New Roman"/>
          <w:iCs/>
          <w:sz w:val="22"/>
        </w:rPr>
        <w:t>d</w:t>
      </w:r>
      <w:r w:rsidRPr="008651FA">
        <w:rPr>
          <w:rFonts w:ascii="Times New Roman" w:hAnsi="Times New Roman"/>
          <w:iCs/>
          <w:sz w:val="22"/>
          <w:vertAlign w:val="subscript"/>
        </w:rPr>
        <w:t>b</w:t>
      </w:r>
      <w:proofErr w:type="spellEnd"/>
      <w:r w:rsidRPr="008651FA">
        <w:rPr>
          <w:rFonts w:ascii="Times New Roman" w:hAnsi="Times New Roman"/>
          <w:iCs/>
          <w:sz w:val="22"/>
        </w:rPr>
        <w:t xml:space="preserve"> = 900 kg/m</w:t>
      </w:r>
      <w:r w:rsidRPr="008651FA">
        <w:rPr>
          <w:rFonts w:ascii="Times New Roman" w:hAnsi="Times New Roman"/>
          <w:iCs/>
          <w:sz w:val="22"/>
          <w:vertAlign w:val="superscript"/>
        </w:rPr>
        <w:t>3</w:t>
      </w:r>
      <w:r w:rsidRPr="008651FA">
        <w:rPr>
          <w:rFonts w:ascii="Times New Roman" w:hAnsi="Times New Roman"/>
          <w:iCs/>
          <w:sz w:val="22"/>
        </w:rPr>
        <w:t>), C/N ratio (17.0), the nitrogen organic ratio (</w:t>
      </w:r>
      <w:proofErr w:type="spellStart"/>
      <w:r w:rsidRPr="008651FA">
        <w:rPr>
          <w:rFonts w:ascii="Times New Roman" w:hAnsi="Times New Roman"/>
          <w:iCs/>
          <w:sz w:val="22"/>
        </w:rPr>
        <w:t>r</w:t>
      </w:r>
      <w:r w:rsidRPr="008651FA">
        <w:rPr>
          <w:rFonts w:ascii="Times New Roman" w:hAnsi="Times New Roman"/>
          <w:iCs/>
          <w:sz w:val="22"/>
          <w:vertAlign w:val="subscript"/>
        </w:rPr>
        <w:t>org</w:t>
      </w:r>
      <w:proofErr w:type="spellEnd"/>
      <w:r w:rsidRPr="008651FA">
        <w:rPr>
          <w:rFonts w:ascii="Times New Roman" w:hAnsi="Times New Roman"/>
          <w:iCs/>
          <w:sz w:val="22"/>
        </w:rPr>
        <w:t xml:space="preserve"> = 0.825), and the content of organic carbon (</w:t>
      </w:r>
      <w:proofErr w:type="spellStart"/>
      <w:r w:rsidRPr="008651FA">
        <w:rPr>
          <w:rFonts w:ascii="Times New Roman" w:hAnsi="Times New Roman"/>
          <w:iCs/>
          <w:sz w:val="22"/>
        </w:rPr>
        <w:t>C</w:t>
      </w:r>
      <w:r w:rsidRPr="008651FA">
        <w:rPr>
          <w:rFonts w:ascii="Times New Roman" w:hAnsi="Times New Roman"/>
          <w:iCs/>
          <w:sz w:val="22"/>
          <w:vertAlign w:val="subscript"/>
        </w:rPr>
        <w:t>org</w:t>
      </w:r>
      <w:proofErr w:type="spellEnd"/>
      <w:r w:rsidRPr="008651FA">
        <w:rPr>
          <w:rFonts w:ascii="Times New Roman" w:hAnsi="Times New Roman"/>
          <w:iCs/>
          <w:sz w:val="22"/>
        </w:rPr>
        <w:t xml:space="preserve"> = 5.00%) </w:t>
      </w:r>
      <w:r w:rsidRPr="008651FA">
        <w:rPr>
          <w:rFonts w:ascii="Times New Roman" w:hAnsi="Times New Roman"/>
          <w:iCs/>
          <w:sz w:val="22"/>
        </w:rPr>
        <w:fldChar w:fldCharType="begin" w:fldLock="1"/>
      </w:r>
      <w:r>
        <w:rPr>
          <w:rFonts w:ascii="Times New Roman" w:hAnsi="Times New Roman"/>
          <w:iCs/>
          <w:sz w:val="22"/>
        </w:rPr>
        <w:instrText>ADDIN CSL_CITATION {"citationItems":[{"id":"ITEM-1","itemData":{"abstract":"These guidelines are a result of the World Food LCA Database (WFLDB) project , initiated and led by Agroscope (www . agroscope . admin. ch) and Quantis (www. quantis - ­‐intl. com) , and funded by the French Environment and Energy Management Agency (ADEME) , the Swiss Federal Office for the Environment (FOEN) , Bayer CropScience , General Mills , Kraft Heinz Company , Mars , Mondelēz International , Monsanto , Nestlé , PepsiCo , Syngenta and Yara.","author":[{"dropping-particle":"","family":"Nemecek","given":"Thomas","non-dropping-particle":"","parse-names":false,"suffix":""},{"dropping-particle":"","family":"Lansche","given":"Jens","non-dropping-particle":"","parse-names":false,"suffix":""},{"dropping-particle":"","family":"Mouron","given":"Patrik","non-dropping-particle":"","parse-names":false,"suffix":""},{"dropping-particle":"","family":"Rossi","given":"Vincent","non-dropping-particle":"","parse-names":false,"suffix":""}],"id":"ITEM-1","issue":"1","issued":{"date-parts":[["2019"]]},"number-of-pages":"88","publisher-place":"Lausanne and Zurich, Switzerland","title":"World Food LCA Database Methodological World Food LCA Database Methodological Guidelines for the Life Cycle","type":"report"},"uris":["http://www.mendeley.com/documents/?uuid=6c6576ff-de3b-4e86-ade2-a0c1334f92f6"]}],"mendeley":{"formattedCitation":"(Nemecek et al., 2019)","plainTextFormattedCitation":"(Nemecek et al., 2019)","previouslyFormattedCitation":"[14]"},"properties":{"noteIndex":0},"schema":"https://github.com/citation-style-language/schema/raw/master/csl-citation.json"}</w:instrText>
      </w:r>
      <w:r w:rsidRPr="008651FA">
        <w:rPr>
          <w:rFonts w:ascii="Times New Roman" w:hAnsi="Times New Roman"/>
          <w:iCs/>
          <w:sz w:val="22"/>
        </w:rPr>
        <w:fldChar w:fldCharType="separate"/>
      </w:r>
      <w:r w:rsidRPr="008A24CD">
        <w:rPr>
          <w:rFonts w:ascii="Times New Roman" w:hAnsi="Times New Roman"/>
          <w:iCs/>
          <w:noProof/>
          <w:sz w:val="22"/>
        </w:rPr>
        <w:t>(Nemecek et al., 2019)</w:t>
      </w:r>
      <w:r w:rsidRPr="008651FA">
        <w:rPr>
          <w:rFonts w:ascii="Times New Roman" w:hAnsi="Times New Roman"/>
          <w:iCs/>
          <w:sz w:val="22"/>
        </w:rPr>
        <w:fldChar w:fldCharType="end"/>
      </w:r>
      <w:r w:rsidRPr="008651FA">
        <w:rPr>
          <w:rFonts w:ascii="Times New Roman" w:hAnsi="Times New Roman"/>
          <w:iCs/>
          <w:sz w:val="22"/>
        </w:rPr>
        <w:t xml:space="preserve">. Data were retrieved for Colombian conditions </w:t>
      </w:r>
      <w:r w:rsidRPr="008651FA">
        <w:rPr>
          <w:rFonts w:ascii="Times New Roman" w:hAnsi="Times New Roman"/>
          <w:iCs/>
          <w:sz w:val="22"/>
        </w:rPr>
        <w:fldChar w:fldCharType="begin" w:fldLock="1"/>
      </w:r>
      <w:r>
        <w:rPr>
          <w:rFonts w:ascii="Times New Roman" w:hAnsi="Times New Roman"/>
          <w:iCs/>
          <w:sz w:val="22"/>
        </w:rPr>
        <w:instrText>ADDIN CSL_CITATION {"citationItems":[{"id":"ITEM-1","itemData":{"DOI":"10.1016/j.soilbio.2004.09.009","ISSN":"00380717","abstract":"Near infrared reflectance spectroscopy (NIRS) analysis was used to discriminate soils of different agroecosystems in Colombia, with different contents and qualities of organic matter, chemical, and biological properties. Correlations were sought between absorbance in wavelength classes as determined by NIRS, and a set of variables describing soil quality grouped into three classes: (i) chemical variables (Ca, Mg, K, exchangeable Al, total P, P-Bray II); (ii) organic variables (total C, total N, N-NH4+, N-NO3-, respirometry and carbon content in different fractions separated by the LUDOX physical methods) and (iii) NIRS variables quantifying the absorptions in the near infrared region separated into 101 classes of wavelength). For each group of variables, a principal component analysis (PCA), associated with discriminant analysis, was run. Each class of variables separated the different soil-use systems (***P&lt;0.001) similarly. Co-inertia analyses among the different groups of variables verified the sensitivity of the NIRS in detecting significant changes in the soil chemical and organic composition, as well as in microbial activity. These results show the high potential of the NIRS for evaluating soil quality in large areas, rapidly, reliably and economically, thereby facilitating decision-making with respect to soil management and conservation. © 2004 Published by Elsevier Ltd.","author":[{"dropping-particle":"","family":"Velasquez","given":"Elena","non-dropping-particle":"","parse-names":false,"suffix":""},{"dropping-particle":"","family":"Lavelle","given":"Patrick","non-dropping-particle":"","parse-names":false,"suffix":""},{"dropping-particle":"","family":"Barrios","given":"Edmundo","non-dropping-particle":"","parse-names":false,"suffix":""},{"dropping-particle":"","family":"Joffre","given":"Richard","non-dropping-particle":"","parse-names":false,"suffix":""},{"dropping-particle":"","family":"Reversat","given":"France","non-dropping-particle":"","parse-names":false,"suffix":""}],"container-title":"Soil Biology and Biochemistry","id":"ITEM-1","issue":"5","issued":{"date-parts":[["2005"]]},"page":"889-898","title":"Evaluating soil quality in tropical agroecosystems of Colombia using NIRS","type":"article-journal","volume":"37"},"uris":["http://www.mendeley.com/documents/?uuid=6d539336-65cb-42d1-aaf0-d847100664d0"]},{"id":"ITEM-2","itemData":{"DOI":"10.1016/j.catena.2020.104940","ISSN":"03418162","abstract":"Advances in science and technology combined with the need to handle and manage natural resources have resulted in a gradual increase in soil data availability. This has allowed characterizing, describing, or proposing projects to address issues such as soil degradation, agricultural productivity, threats, and ecosystem services. Despite the availability of soil data, users are increasingly looking for additional, timely, and reliable information in order to respond to current and future situations, such as food security and climate change. IRAKA is a soil information system for the Colombian Cundiboyacense high plateau and the first to provide additional information from available official sources. It has a modular design based on the organization of a soil database whose structure incorporated 299 profiles, 1432 samples, and 55 properties and the integration, harmonization, and standardization of 8 soil surveys conducted in the area. The structured information enabled modeling and validating physical and chemical properties through digital soil mapping and comparing different machine learning techniques, including random forest, ranger, support vector machine, and ensemble models of these techniques. The interpolations of 11 quantitative properties and 1 qualitative property resulted in acceptable coefficients of goodness of fit due to different factors: property variability, representativeness, distribution in the study area, and property description based on environmental covariates. All the information generated has been made available for widespread use across different geographic web services. Thus IRAKA contributes to the management of information and knowledge through techniques and tools that allow users to visualize new information, use the information, and draw attention to new studies and improve databases in which the confidence level is insufficient and does not allow decision making.","author":[{"dropping-particle":"","family":"Araujo-Carrillo","given":"Gustavo A.","non-dropping-particle":</w:instrText>
      </w:r>
      <w:r w:rsidRPr="008A24CD">
        <w:rPr>
          <w:rFonts w:ascii="Times New Roman" w:hAnsi="Times New Roman"/>
          <w:iCs/>
          <w:sz w:val="22"/>
          <w:lang w:val="es-CO"/>
        </w:rPr>
        <w:instrText>"","parse-names":false,"suffix":""},{"dropping-particle":"","family":"Varón-Ramírez","given":"Viviana Marcela","non-dropping-particle":"","parse-names":false,"suffix":""},{"dropping-particle":"","family":"Jaramillo-Barrios","given":"Camilo Ignacio","non-dropping-particle":"","parse-names":false,"suffix":""},{"dropping-particle":"","family":"Estupiñan-Casallas","given":"Jhon M.","non-dropping-particle":"","parse-names":false,"suffix":""},{"dropping-particle":"","family":"Silva-Arero","given":"Elías Alexander","non-dropping-particle":"","parse-names":false,"suffix":""},{"dropping-particle":"","family":"Gómez-Latorre","given":"Douglas A.","non-dropping-particle":"","parse-names":false,"suffix":""},{"dropping-particle":"","family":"Martínez-Maldonado","given":"Fabio E.","non-dropping-particle":"","parse-names":false,"suffix":""}],"container-title":"Catena","id":"ITEM-2","issue":"February 2020","issued":{"date-parts":[["2021"]]},"title":"IRAKA: The first Colombian soil information system with digital soil mapping products","type":"article-journal","volume":"196"},"uris":["http://www.mendeley.com/documents/?uuid=6e5275a2-b6d2-4bcc-b457-5c611490b1aa"]}],"mendeley":{"formattedCitation":"(Araujo-Carrillo et al., 2021; Velasquez et al., 2005)","plainTextFormattedCitation":"(Araujo-Carrillo et al., 2021; Velasquez et al., 2005)","previouslyFormattedCitation":"[2,15]"},"properties":{"noteIndex":0},"schema":"https://github.com/citation-style-language/schema/raw/master/csl-citation.json"}</w:instrText>
      </w:r>
      <w:r w:rsidRPr="008651FA">
        <w:rPr>
          <w:rFonts w:ascii="Times New Roman" w:hAnsi="Times New Roman"/>
          <w:iCs/>
          <w:sz w:val="22"/>
        </w:rPr>
        <w:fldChar w:fldCharType="separate"/>
      </w:r>
      <w:r w:rsidRPr="008A24CD">
        <w:rPr>
          <w:rFonts w:ascii="Times New Roman" w:hAnsi="Times New Roman"/>
          <w:iCs/>
          <w:noProof/>
          <w:sz w:val="22"/>
          <w:lang w:val="es-CO"/>
        </w:rPr>
        <w:t>(Araujo-Carrillo et al., 2021; Velasquez et al., 2005)</w:t>
      </w:r>
      <w:r w:rsidRPr="008651FA">
        <w:rPr>
          <w:rFonts w:ascii="Times New Roman" w:hAnsi="Times New Roman"/>
          <w:iCs/>
          <w:sz w:val="22"/>
        </w:rPr>
        <w:fldChar w:fldCharType="end"/>
      </w:r>
      <w:r w:rsidRPr="008A24CD">
        <w:rPr>
          <w:rFonts w:ascii="Times New Roman" w:hAnsi="Times New Roman"/>
          <w:iCs/>
          <w:sz w:val="22"/>
          <w:lang w:val="es-CO"/>
        </w:rPr>
        <w:t>.</w:t>
      </w:r>
    </w:p>
    <w:p w14:paraId="6202B8BF" w14:textId="77777777" w:rsidR="008A24CD" w:rsidRPr="008A24CD" w:rsidRDefault="008A24CD" w:rsidP="008A24CD">
      <w:pPr>
        <w:pStyle w:val="MDPI35textbeforelist"/>
        <w:spacing w:line="480" w:lineRule="auto"/>
        <w:jc w:val="left"/>
        <w:rPr>
          <w:rFonts w:ascii="Times New Roman" w:hAnsi="Times New Roman"/>
          <w:iCs/>
          <w:sz w:val="22"/>
          <w:lang w:val="es-CO"/>
        </w:rPr>
      </w:pPr>
    </w:p>
    <w:p w14:paraId="1D767412" w14:textId="77777777" w:rsidR="008A24CD" w:rsidRPr="008A24CD" w:rsidRDefault="0009182D" w:rsidP="008A24CD">
      <w:pPr>
        <w:pStyle w:val="MDPI35textbeforelist"/>
        <w:spacing w:line="480" w:lineRule="auto"/>
        <w:ind w:left="0" w:firstLine="0"/>
        <w:jc w:val="left"/>
        <w:rPr>
          <w:rFonts w:ascii="Times New Roman" w:hAnsi="Times New Roman"/>
          <w:iCs/>
          <w:sz w:val="22"/>
          <w:lang w:val="es-CO"/>
        </w:rPr>
      </w:pPr>
      <m:oMath>
        <m:sSub>
          <m:sSubPr>
            <m:ctrlPr>
              <w:rPr>
                <w:rFonts w:ascii="Cambria Math" w:hAnsi="Cambria Math"/>
                <w:sz w:val="22"/>
              </w:rPr>
            </m:ctrlPr>
          </m:sSubPr>
          <m:e>
            <m:r>
              <m:rPr>
                <m:sty m:val="p"/>
              </m:rPr>
              <w:rPr>
                <w:rFonts w:ascii="Cambria Math" w:hAnsi="Cambria Math"/>
                <w:sz w:val="22"/>
                <w:lang w:val="es-CO"/>
              </w:rPr>
              <m:t>NO</m:t>
            </m:r>
          </m:e>
          <m:sub>
            <m:r>
              <m:rPr>
                <m:sty m:val="p"/>
              </m:rPr>
              <w:rPr>
                <w:rFonts w:ascii="Cambria Math" w:hAnsi="Cambria Math"/>
                <w:sz w:val="22"/>
                <w:lang w:val="es-CO"/>
              </w:rPr>
              <m:t>3</m:t>
            </m:r>
          </m:sub>
        </m:sSub>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lang w:val="es-CO"/>
                  </w:rPr>
                  <m:t>kg</m:t>
                </m:r>
              </m:num>
              <m:den>
                <m:r>
                  <m:rPr>
                    <m:sty m:val="p"/>
                  </m:rPr>
                  <w:rPr>
                    <w:rFonts w:ascii="Cambria Math" w:hAnsi="Cambria Math"/>
                    <w:sz w:val="22"/>
                    <w:lang w:val="es-CO"/>
                  </w:rPr>
                  <m:t>ha</m:t>
                </m:r>
              </m:den>
            </m:f>
          </m:e>
        </m:d>
        <m:r>
          <m:rPr>
            <m:sty m:val="p"/>
          </m:rPr>
          <w:rPr>
            <w:rFonts w:ascii="Cambria Math" w:hAnsi="Cambria Math"/>
            <w:sz w:val="22"/>
            <w:lang w:val="es-CO"/>
          </w:rPr>
          <m:t>=21.37+</m:t>
        </m:r>
        <m:f>
          <m:fPr>
            <m:ctrlPr>
              <w:rPr>
                <w:rFonts w:ascii="Cambria Math" w:hAnsi="Cambria Math"/>
                <w:sz w:val="22"/>
              </w:rPr>
            </m:ctrlPr>
          </m:fPr>
          <m:num>
            <m:r>
              <m:rPr>
                <m:sty m:val="p"/>
              </m:rPr>
              <w:rPr>
                <w:rFonts w:ascii="Cambria Math" w:hAnsi="Cambria Math"/>
                <w:sz w:val="22"/>
                <w:lang w:val="es-CO"/>
              </w:rPr>
              <m:t>P</m:t>
            </m:r>
          </m:num>
          <m:den>
            <m:r>
              <m:rPr>
                <m:sty m:val="p"/>
              </m:rPr>
              <w:rPr>
                <w:rFonts w:ascii="Cambria Math" w:hAnsi="Cambria Math"/>
                <w:sz w:val="22"/>
                <w:lang w:val="es-CO"/>
              </w:rPr>
              <m:t>c*L</m:t>
            </m:r>
          </m:den>
        </m:f>
        <m:r>
          <m:rPr>
            <m:sty m:val="p"/>
          </m:rPr>
          <w:rPr>
            <w:rFonts w:ascii="Cambria Math" w:hAnsi="Cambria Math"/>
            <w:sz w:val="22"/>
            <w:lang w:val="es-CO"/>
          </w:rPr>
          <m:t>*</m:t>
        </m:r>
        <m:d>
          <m:dPr>
            <m:begChr m:val="["/>
            <m:endChr m:val="]"/>
            <m:ctrlPr>
              <w:rPr>
                <w:rFonts w:ascii="Cambria Math" w:hAnsi="Cambria Math"/>
                <w:sz w:val="22"/>
              </w:rPr>
            </m:ctrlPr>
          </m:dPr>
          <m:e>
            <m:r>
              <m:rPr>
                <m:sty m:val="p"/>
              </m:rPr>
              <w:rPr>
                <w:rFonts w:ascii="Cambria Math" w:hAnsi="Cambria Math"/>
                <w:sz w:val="22"/>
                <w:lang w:val="es-CO"/>
              </w:rPr>
              <m:t>0.0037*S+0.0000601*</m:t>
            </m:r>
            <m:sSub>
              <m:sSubPr>
                <m:ctrlPr>
                  <w:rPr>
                    <w:rFonts w:ascii="Cambria Math" w:hAnsi="Cambria Math"/>
                    <w:sz w:val="22"/>
                  </w:rPr>
                </m:ctrlPr>
              </m:sSubPr>
              <m:e>
                <m:r>
                  <m:rPr>
                    <m:sty m:val="p"/>
                  </m:rPr>
                  <w:rPr>
                    <w:rFonts w:ascii="Cambria Math" w:hAnsi="Cambria Math"/>
                    <w:sz w:val="22"/>
                    <w:lang w:val="es-CO"/>
                  </w:rPr>
                  <m:t>N</m:t>
                </m:r>
              </m:e>
              <m:sub>
                <m:r>
                  <m:rPr>
                    <m:sty m:val="p"/>
                  </m:rPr>
                  <w:rPr>
                    <w:rFonts w:ascii="Cambria Math" w:hAnsi="Cambria Math"/>
                    <w:sz w:val="22"/>
                    <w:lang w:val="es-CO"/>
                  </w:rPr>
                  <m:t>org</m:t>
                </m:r>
              </m:sub>
            </m:sSub>
            <m:r>
              <m:rPr>
                <m:sty m:val="p"/>
              </m:rPr>
              <w:rPr>
                <w:rFonts w:ascii="Cambria Math" w:hAnsi="Cambria Math"/>
                <w:sz w:val="22"/>
                <w:lang w:val="es-CO"/>
              </w:rPr>
              <m:t>-0.00362*U</m:t>
            </m:r>
          </m:e>
        </m:d>
      </m:oMath>
      <w:r w:rsidR="008A24CD" w:rsidRPr="008A24CD">
        <w:rPr>
          <w:rFonts w:ascii="Times New Roman" w:hAnsi="Times New Roman"/>
          <w:iCs/>
          <w:sz w:val="22"/>
          <w:lang w:val="es-CO"/>
        </w:rPr>
        <w:t xml:space="preserve"> </w:t>
      </w:r>
      <w:r w:rsidR="008A24CD" w:rsidRPr="008A24CD">
        <w:rPr>
          <w:rFonts w:ascii="Times New Roman" w:hAnsi="Times New Roman"/>
          <w:iCs/>
          <w:sz w:val="22"/>
          <w:lang w:val="es-CO"/>
        </w:rPr>
        <w:tab/>
        <w:t xml:space="preserve">             </w:t>
      </w:r>
      <w:proofErr w:type="spellStart"/>
      <w:r w:rsidR="008A24CD" w:rsidRPr="008A24CD">
        <w:rPr>
          <w:rFonts w:ascii="Times New Roman" w:hAnsi="Times New Roman"/>
          <w:iCs/>
          <w:sz w:val="22"/>
          <w:lang w:val="es-CO"/>
        </w:rPr>
        <w:t>Eq</w:t>
      </w:r>
      <w:proofErr w:type="spellEnd"/>
      <w:r w:rsidR="008A24CD" w:rsidRPr="008A24CD">
        <w:rPr>
          <w:rFonts w:ascii="Times New Roman" w:hAnsi="Times New Roman"/>
          <w:iCs/>
          <w:sz w:val="22"/>
          <w:lang w:val="es-CO"/>
        </w:rPr>
        <w:t>. (7)</w:t>
      </w:r>
    </w:p>
    <w:p w14:paraId="644F939B" w14:textId="77777777" w:rsidR="008A24CD" w:rsidRPr="008A24CD" w:rsidRDefault="008A24CD" w:rsidP="008A24CD">
      <w:pPr>
        <w:pStyle w:val="MDPI35textbeforelist"/>
        <w:spacing w:line="480" w:lineRule="auto"/>
        <w:jc w:val="left"/>
        <w:rPr>
          <w:rFonts w:ascii="Times New Roman" w:hAnsi="Times New Roman"/>
          <w:iCs/>
          <w:sz w:val="22"/>
          <w:lang w:val="es-CO"/>
        </w:rPr>
      </w:pPr>
    </w:p>
    <w:p w14:paraId="5BDE7C92" w14:textId="77777777" w:rsidR="008A24CD" w:rsidRPr="00AC65E1" w:rsidRDefault="0009182D" w:rsidP="008A24CD">
      <w:pPr>
        <w:pStyle w:val="MDPI35textbeforelist"/>
        <w:spacing w:line="480" w:lineRule="auto"/>
        <w:ind w:left="0" w:firstLine="0"/>
        <w:jc w:val="left"/>
        <w:rPr>
          <w:rFonts w:ascii="Times New Roman" w:hAnsi="Times New Roman"/>
          <w:iCs/>
          <w:sz w:val="22"/>
          <w:lang w:val="es-CO"/>
        </w:rPr>
      </w:pPr>
      <m:oMath>
        <m:sSub>
          <m:sSubPr>
            <m:ctrlPr>
              <w:rPr>
                <w:rFonts w:ascii="Cambria Math" w:hAnsi="Cambria Math"/>
                <w:sz w:val="22"/>
              </w:rPr>
            </m:ctrlPr>
          </m:sSubPr>
          <m:e>
            <m:r>
              <m:rPr>
                <m:sty m:val="p"/>
              </m:rPr>
              <w:rPr>
                <w:rFonts w:ascii="Cambria Math" w:hAnsi="Cambria Math"/>
                <w:sz w:val="22"/>
                <w:lang w:val="es-CO"/>
              </w:rPr>
              <m:t>N</m:t>
            </m:r>
          </m:e>
          <m:sub>
            <m:r>
              <m:rPr>
                <m:sty m:val="p"/>
              </m:rPr>
              <w:rPr>
                <w:rFonts w:ascii="Cambria Math" w:hAnsi="Cambria Math"/>
                <w:sz w:val="22"/>
                <w:lang w:val="es-CO"/>
              </w:rPr>
              <m:t>org</m:t>
            </m:r>
          </m:sub>
        </m:sSub>
        <m:r>
          <m:rPr>
            <m:sty m:val="p"/>
          </m:rPr>
          <w:rPr>
            <w:rFonts w:ascii="Cambria Math" w:hAnsi="Cambria Math"/>
            <w:sz w:val="22"/>
            <w:lang w:val="es-CO"/>
          </w:rPr>
          <m:t>=</m:t>
        </m:r>
        <m:f>
          <m:fPr>
            <m:ctrlPr>
              <w:rPr>
                <w:rFonts w:ascii="Cambria Math" w:hAnsi="Cambria Math"/>
                <w:sz w:val="22"/>
              </w:rPr>
            </m:ctrlPr>
          </m:fPr>
          <m:num>
            <m:r>
              <m:rPr>
                <m:sty m:val="p"/>
              </m:rPr>
              <w:rPr>
                <w:rFonts w:ascii="Cambria Math" w:hAnsi="Cambria Math"/>
                <w:sz w:val="22"/>
                <w:lang w:val="es-CO"/>
              </w:rPr>
              <m:t>(</m:t>
            </m:r>
            <m:f>
              <m:fPr>
                <m:type m:val="lin"/>
                <m:ctrlPr>
                  <w:rPr>
                    <w:rFonts w:ascii="Cambria Math" w:hAnsi="Cambria Math"/>
                    <w:sz w:val="22"/>
                  </w:rPr>
                </m:ctrlPr>
              </m:fPr>
              <m:num>
                <m:sSub>
                  <m:sSubPr>
                    <m:ctrlPr>
                      <w:rPr>
                        <w:rFonts w:ascii="Cambria Math" w:hAnsi="Cambria Math"/>
                        <w:sz w:val="22"/>
                      </w:rPr>
                    </m:ctrlPr>
                  </m:sSubPr>
                  <m:e>
                    <m:r>
                      <m:rPr>
                        <m:sty m:val="p"/>
                      </m:rPr>
                      <w:rPr>
                        <w:rFonts w:ascii="Cambria Math" w:hAnsi="Cambria Math"/>
                        <w:sz w:val="22"/>
                        <w:lang w:val="es-CO"/>
                      </w:rPr>
                      <m:t>C</m:t>
                    </m:r>
                  </m:e>
                  <m:sub>
                    <m:r>
                      <m:rPr>
                        <m:sty m:val="p"/>
                      </m:rPr>
                      <w:rPr>
                        <w:rFonts w:ascii="Cambria Math" w:hAnsi="Cambria Math"/>
                        <w:sz w:val="22"/>
                        <w:lang w:val="es-CO"/>
                      </w:rPr>
                      <m:t>org</m:t>
                    </m:r>
                  </m:sub>
                </m:sSub>
              </m:num>
              <m:den>
                <m:r>
                  <m:rPr>
                    <m:sty m:val="p"/>
                  </m:rPr>
                  <w:rPr>
                    <w:rFonts w:ascii="Cambria Math" w:hAnsi="Cambria Math"/>
                    <w:sz w:val="22"/>
                    <w:lang w:val="es-CO"/>
                  </w:rPr>
                  <m:t>100)*V*</m:t>
                </m:r>
                <m:sSub>
                  <m:sSubPr>
                    <m:ctrlPr>
                      <w:rPr>
                        <w:rFonts w:ascii="Cambria Math" w:hAnsi="Cambria Math"/>
                        <w:sz w:val="22"/>
                      </w:rPr>
                    </m:ctrlPr>
                  </m:sSubPr>
                  <m:e>
                    <m:r>
                      <m:rPr>
                        <m:sty m:val="p"/>
                      </m:rPr>
                      <w:rPr>
                        <w:rFonts w:ascii="Cambria Math" w:hAnsi="Cambria Math"/>
                        <w:sz w:val="22"/>
                        <w:lang w:val="es-CO"/>
                      </w:rPr>
                      <m:t>d</m:t>
                    </m:r>
                  </m:e>
                  <m:sub>
                    <m:r>
                      <m:rPr>
                        <m:sty m:val="p"/>
                      </m:rPr>
                      <w:rPr>
                        <w:rFonts w:ascii="Cambria Math" w:hAnsi="Cambria Math"/>
                        <w:sz w:val="22"/>
                        <w:lang w:val="es-CO"/>
                      </w:rPr>
                      <m:t>B</m:t>
                    </m:r>
                  </m:sub>
                </m:sSub>
              </m:den>
            </m:f>
          </m:num>
          <m:den>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lang w:val="es-CO"/>
                      </w:rPr>
                      <m:t>C</m:t>
                    </m:r>
                  </m:num>
                  <m:den>
                    <m:r>
                      <m:rPr>
                        <m:sty m:val="p"/>
                      </m:rPr>
                      <w:rPr>
                        <w:rFonts w:ascii="Cambria Math" w:hAnsi="Cambria Math"/>
                        <w:sz w:val="22"/>
                        <w:lang w:val="es-CO"/>
                      </w:rPr>
                      <m:t>N</m:t>
                    </m:r>
                  </m:den>
                </m:f>
              </m:e>
            </m:d>
            <m:r>
              <m:rPr>
                <m:sty m:val="p"/>
              </m:rPr>
              <w:rPr>
                <w:rFonts w:ascii="Cambria Math" w:hAnsi="Cambria Math"/>
                <w:sz w:val="22"/>
                <w:lang w:val="es-CO"/>
              </w:rPr>
              <m:t>*</m:t>
            </m:r>
            <m:sSub>
              <m:sSubPr>
                <m:ctrlPr>
                  <w:rPr>
                    <w:rFonts w:ascii="Cambria Math" w:hAnsi="Cambria Math"/>
                    <w:sz w:val="22"/>
                  </w:rPr>
                </m:ctrlPr>
              </m:sSubPr>
              <m:e>
                <m:r>
                  <m:rPr>
                    <m:sty m:val="p"/>
                  </m:rPr>
                  <w:rPr>
                    <w:rFonts w:ascii="Cambria Math" w:hAnsi="Cambria Math"/>
                    <w:sz w:val="22"/>
                    <w:lang w:val="es-CO"/>
                  </w:rPr>
                  <m:t>r</m:t>
                </m:r>
              </m:e>
              <m:sub>
                <m:r>
                  <m:rPr>
                    <m:sty m:val="p"/>
                  </m:rPr>
                  <w:rPr>
                    <w:rFonts w:ascii="Cambria Math" w:hAnsi="Cambria Math"/>
                    <w:sz w:val="22"/>
                    <w:lang w:val="es-CO"/>
                  </w:rPr>
                  <m:t>org</m:t>
                </m:r>
              </m:sub>
            </m:sSub>
          </m:den>
        </m:f>
      </m:oMath>
      <w:r w:rsidR="008A24CD" w:rsidRPr="00AC65E1">
        <w:rPr>
          <w:rFonts w:ascii="Times New Roman" w:hAnsi="Times New Roman"/>
          <w:iCs/>
          <w:sz w:val="22"/>
          <w:lang w:val="es-CO"/>
        </w:rPr>
        <w:tab/>
      </w:r>
      <w:r w:rsidR="008A24CD" w:rsidRPr="00AC65E1">
        <w:rPr>
          <w:rFonts w:ascii="Times New Roman" w:hAnsi="Times New Roman"/>
          <w:iCs/>
          <w:sz w:val="22"/>
          <w:lang w:val="es-CO"/>
        </w:rPr>
        <w:tab/>
      </w:r>
      <w:r w:rsidR="008A24CD" w:rsidRPr="00AC65E1">
        <w:rPr>
          <w:rFonts w:ascii="Times New Roman" w:hAnsi="Times New Roman"/>
          <w:iCs/>
          <w:sz w:val="22"/>
          <w:lang w:val="es-CO"/>
        </w:rPr>
        <w:tab/>
      </w:r>
      <w:r w:rsidR="008A24CD" w:rsidRPr="00AC65E1">
        <w:rPr>
          <w:rFonts w:ascii="Times New Roman" w:hAnsi="Times New Roman"/>
          <w:iCs/>
          <w:sz w:val="22"/>
          <w:lang w:val="es-CO"/>
        </w:rPr>
        <w:tab/>
      </w:r>
      <w:r w:rsidR="008A24CD" w:rsidRPr="00AC65E1">
        <w:rPr>
          <w:rFonts w:ascii="Times New Roman" w:hAnsi="Times New Roman"/>
          <w:iCs/>
          <w:sz w:val="22"/>
          <w:lang w:val="es-CO"/>
        </w:rPr>
        <w:tab/>
      </w:r>
      <w:r w:rsidR="008A24CD" w:rsidRPr="00AC65E1">
        <w:rPr>
          <w:rFonts w:ascii="Times New Roman" w:hAnsi="Times New Roman"/>
          <w:iCs/>
          <w:sz w:val="22"/>
          <w:lang w:val="es-CO"/>
        </w:rPr>
        <w:tab/>
      </w:r>
      <w:r w:rsidR="008A24CD" w:rsidRPr="00AC65E1">
        <w:rPr>
          <w:rFonts w:ascii="Times New Roman" w:hAnsi="Times New Roman"/>
          <w:iCs/>
          <w:sz w:val="22"/>
          <w:lang w:val="es-CO"/>
        </w:rPr>
        <w:tab/>
      </w:r>
      <w:r w:rsidR="008A24CD" w:rsidRPr="00AC65E1">
        <w:rPr>
          <w:rFonts w:ascii="Times New Roman" w:hAnsi="Times New Roman"/>
          <w:iCs/>
          <w:sz w:val="22"/>
          <w:lang w:val="es-CO"/>
        </w:rPr>
        <w:tab/>
      </w:r>
      <w:r w:rsidR="008A24CD" w:rsidRPr="00AC65E1">
        <w:rPr>
          <w:rFonts w:ascii="Times New Roman" w:hAnsi="Times New Roman"/>
          <w:iCs/>
          <w:sz w:val="22"/>
          <w:lang w:val="es-CO"/>
        </w:rPr>
        <w:tab/>
        <w:t>Eq. (8)</w:t>
      </w:r>
    </w:p>
    <w:p w14:paraId="015DD006" w14:textId="77777777" w:rsidR="008A24CD" w:rsidRPr="00AC65E1" w:rsidRDefault="008A24CD" w:rsidP="008A24CD">
      <w:pPr>
        <w:pStyle w:val="MDPI35textbeforelist"/>
        <w:spacing w:line="480" w:lineRule="auto"/>
        <w:jc w:val="left"/>
        <w:rPr>
          <w:rFonts w:ascii="Times New Roman" w:hAnsi="Times New Roman"/>
          <w:iCs/>
          <w:sz w:val="22"/>
          <w:lang w:val="es-CO"/>
        </w:rPr>
      </w:pPr>
    </w:p>
    <w:p w14:paraId="070227A3" w14:textId="324A5AED" w:rsidR="008A24CD" w:rsidRPr="008651FA" w:rsidRDefault="008A24CD" w:rsidP="008A24CD">
      <w:pPr>
        <w:pStyle w:val="MDPI35textbeforelist"/>
        <w:spacing w:line="480" w:lineRule="auto"/>
        <w:ind w:left="0" w:firstLine="0"/>
        <w:jc w:val="left"/>
        <w:rPr>
          <w:rFonts w:ascii="Times New Roman" w:hAnsi="Times New Roman"/>
          <w:iCs/>
          <w:sz w:val="22"/>
        </w:rPr>
      </w:pPr>
      <w:r w:rsidRPr="008651FA">
        <w:rPr>
          <w:rFonts w:ascii="Times New Roman" w:hAnsi="Times New Roman"/>
          <w:iCs/>
          <w:sz w:val="22"/>
        </w:rPr>
        <w:lastRenderedPageBreak/>
        <w:t>Ammonia is also emitted due to livestock in the facility. Ammonia emissions could be calculated according to Eq. (9) where F</w:t>
      </w:r>
      <w:r w:rsidRPr="008651FA">
        <w:rPr>
          <w:rFonts w:ascii="Times New Roman" w:hAnsi="Times New Roman"/>
          <w:iCs/>
          <w:sz w:val="22"/>
          <w:vertAlign w:val="subscript"/>
        </w:rPr>
        <w:t>ON</w:t>
      </w:r>
      <w:r w:rsidRPr="008651FA">
        <w:rPr>
          <w:rFonts w:ascii="Times New Roman" w:hAnsi="Times New Roman"/>
          <w:iCs/>
          <w:sz w:val="22"/>
        </w:rPr>
        <w:t xml:space="preserve"> is the total amount of nitrogen from organic sources (kg N/</w:t>
      </w:r>
      <w:r>
        <w:rPr>
          <w:rFonts w:ascii="Times New Roman" w:hAnsi="Times New Roman"/>
          <w:iCs/>
          <w:sz w:val="22"/>
        </w:rPr>
        <w:t>a</w:t>
      </w:r>
      <w:r w:rsidRPr="008651FA">
        <w:rPr>
          <w:rFonts w:ascii="Times New Roman" w:hAnsi="Times New Roman"/>
          <w:iCs/>
          <w:sz w:val="22"/>
        </w:rPr>
        <w:t>), F</w:t>
      </w:r>
      <w:r w:rsidRPr="008651FA">
        <w:rPr>
          <w:rFonts w:ascii="Times New Roman" w:hAnsi="Times New Roman"/>
          <w:iCs/>
          <w:sz w:val="22"/>
          <w:vertAlign w:val="subscript"/>
        </w:rPr>
        <w:t>PRP</w:t>
      </w:r>
      <w:r w:rsidRPr="008651FA">
        <w:rPr>
          <w:rFonts w:ascii="Times New Roman" w:hAnsi="Times New Roman"/>
          <w:iCs/>
          <w:sz w:val="22"/>
        </w:rPr>
        <w:t xml:space="preserve"> is the amount of nitrogen in the urine, TAN is the proportion of ammonia in the manure, and EF</w:t>
      </w:r>
      <w:r w:rsidRPr="008651FA">
        <w:rPr>
          <w:rFonts w:ascii="Times New Roman" w:hAnsi="Times New Roman"/>
          <w:iCs/>
          <w:sz w:val="22"/>
          <w:vertAlign w:val="subscript"/>
        </w:rPr>
        <w:t>4</w:t>
      </w:r>
      <w:r w:rsidRPr="008651FA">
        <w:rPr>
          <w:rFonts w:ascii="Times New Roman" w:hAnsi="Times New Roman"/>
          <w:iCs/>
          <w:sz w:val="22"/>
        </w:rPr>
        <w:t xml:space="preserve"> is the emission factor that depends on the animal. For instance, EF</w:t>
      </w:r>
      <w:r w:rsidRPr="008651FA">
        <w:rPr>
          <w:rFonts w:ascii="Times New Roman" w:hAnsi="Times New Roman"/>
          <w:iCs/>
          <w:sz w:val="22"/>
          <w:vertAlign w:val="subscript"/>
        </w:rPr>
        <w:t>4</w:t>
      </w:r>
      <w:r w:rsidRPr="008651FA">
        <w:rPr>
          <w:rFonts w:ascii="Times New Roman" w:hAnsi="Times New Roman"/>
          <w:iCs/>
          <w:sz w:val="22"/>
        </w:rPr>
        <w:t xml:space="preserve"> for swine, poultry, and mules is 0.25, 0.09, and 0.35, respectively. Besides the TAN is 70% for swine and poultry, and 60% for mules </w:t>
      </w:r>
      <w:r w:rsidRPr="008651FA">
        <w:rPr>
          <w:rFonts w:ascii="Times New Roman" w:hAnsi="Times New Roman"/>
          <w:iCs/>
          <w:sz w:val="22"/>
        </w:rPr>
        <w:fldChar w:fldCharType="begin" w:fldLock="1"/>
      </w:r>
      <w:r>
        <w:rPr>
          <w:rFonts w:ascii="Times New Roman" w:hAnsi="Times New Roman"/>
          <w:iCs/>
          <w:sz w:val="22"/>
        </w:rPr>
        <w:instrText>ADDIN CSL_CITATION {"citationItems":[{"id":"ITEM-1","itemData":{"author":[{"dropping-particle":"","family":"Nemecek","given":"Thomas","non-dropping-particle":"","parse-names":false,"suffix":""},{"dropping-particle":"","family":"Bengoa","given":"Xavier","non-dropping-particle":"","parse-names":false,"suffix":""},{"dropping-particle":"","family":"Lansche","given":"Jens","non-dropping-particle":"","parse-names":false,"suffix":""},{"dropping-particle":"","family":"Mouron","given":"Patrik","non-dropping-particle":"","parse-names":false,"suffix":""},{"dropping-particle":"","family":"Rossi","given":"Vincent","non-dropping-particle":"","parse-names":false,"suffix":""},{"dropping-particle":"","family":"Humbert","given":"Sebastian","non-dropping-particle":"","parse-names":false,"suffix":""}],"id":"ITEM-1","issue":"July","issued":{"date-parts":[["2014"]]},"number-of-pages":"80","publisher-place":"Lausanne and Zurich, Switzerland","title":"Methodological Guidelines for the Life Cycle Inventory of Agricultural Products","type":"report"},"uris":["http://www.mendeley.com/documents/?uuid=f2318c4e-9d58-4a16-9980-a07e1c55d4b3"]}],"mendeley":{"formattedCitation":"(Nemecek et al., 2014)","plainTextFormattedCitation":"(Nemecek et al., 2014)","previouslyFormattedCitation":"[8]"},"properties":{"noteIndex":0},"schema":"https://github.com/citation-style-language/schema/raw/master/csl-citation.json"}</w:instrText>
      </w:r>
      <w:r w:rsidRPr="008651FA">
        <w:rPr>
          <w:rFonts w:ascii="Times New Roman" w:hAnsi="Times New Roman"/>
          <w:iCs/>
          <w:sz w:val="22"/>
        </w:rPr>
        <w:fldChar w:fldCharType="separate"/>
      </w:r>
      <w:r w:rsidRPr="008A24CD">
        <w:rPr>
          <w:rFonts w:ascii="Times New Roman" w:hAnsi="Times New Roman"/>
          <w:iCs/>
          <w:noProof/>
          <w:sz w:val="22"/>
        </w:rPr>
        <w:t>(Nemecek et al., 2014)</w:t>
      </w:r>
      <w:r w:rsidRPr="008651FA">
        <w:rPr>
          <w:rFonts w:ascii="Times New Roman" w:hAnsi="Times New Roman"/>
          <w:iCs/>
          <w:sz w:val="22"/>
        </w:rPr>
        <w:fldChar w:fldCharType="end"/>
      </w:r>
      <w:r w:rsidRPr="008651FA">
        <w:rPr>
          <w:rFonts w:ascii="Times New Roman" w:hAnsi="Times New Roman"/>
          <w:iCs/>
          <w:sz w:val="22"/>
        </w:rPr>
        <w:t xml:space="preserve">. Furthermore, nitrogen emissions </w:t>
      </w:r>
      <w:r>
        <w:rPr>
          <w:rFonts w:ascii="Times New Roman" w:hAnsi="Times New Roman"/>
          <w:iCs/>
          <w:sz w:val="22"/>
        </w:rPr>
        <w:t xml:space="preserve">such </w:t>
      </w:r>
      <w:r w:rsidRPr="008651FA">
        <w:rPr>
          <w:rFonts w:ascii="Times New Roman" w:hAnsi="Times New Roman"/>
          <w:iCs/>
          <w:sz w:val="22"/>
        </w:rPr>
        <w:t>as N</w:t>
      </w:r>
      <w:r w:rsidRPr="008651FA">
        <w:rPr>
          <w:rFonts w:ascii="Times New Roman" w:hAnsi="Times New Roman"/>
          <w:iCs/>
          <w:sz w:val="22"/>
          <w:vertAlign w:val="subscript"/>
        </w:rPr>
        <w:t>2</w:t>
      </w:r>
      <w:r w:rsidRPr="008651FA">
        <w:rPr>
          <w:rFonts w:ascii="Times New Roman" w:hAnsi="Times New Roman"/>
          <w:iCs/>
          <w:sz w:val="22"/>
        </w:rPr>
        <w:t xml:space="preserve"> are also considered for nitrogen balance. N</w:t>
      </w:r>
      <w:r w:rsidRPr="008651FA">
        <w:rPr>
          <w:rFonts w:ascii="Times New Roman" w:hAnsi="Times New Roman"/>
          <w:iCs/>
          <w:sz w:val="22"/>
          <w:vertAlign w:val="subscript"/>
        </w:rPr>
        <w:t>2</w:t>
      </w:r>
      <w:r w:rsidRPr="008651FA">
        <w:rPr>
          <w:rFonts w:ascii="Times New Roman" w:hAnsi="Times New Roman"/>
          <w:iCs/>
          <w:sz w:val="22"/>
        </w:rPr>
        <w:t xml:space="preserve"> emissions (kg N</w:t>
      </w:r>
      <w:r w:rsidRPr="008651FA">
        <w:rPr>
          <w:rFonts w:ascii="Times New Roman" w:hAnsi="Times New Roman"/>
          <w:iCs/>
          <w:sz w:val="22"/>
          <w:vertAlign w:val="subscript"/>
        </w:rPr>
        <w:t>2</w:t>
      </w:r>
      <w:r w:rsidRPr="008651FA">
        <w:rPr>
          <w:rFonts w:ascii="Times New Roman" w:hAnsi="Times New Roman"/>
          <w:iCs/>
          <w:sz w:val="22"/>
        </w:rPr>
        <w:t xml:space="preserve">/year) </w:t>
      </w:r>
      <w:r>
        <w:rPr>
          <w:rFonts w:ascii="Times New Roman" w:hAnsi="Times New Roman"/>
          <w:iCs/>
          <w:sz w:val="22"/>
        </w:rPr>
        <w:t>are</w:t>
      </w:r>
      <w:r w:rsidRPr="008651FA">
        <w:rPr>
          <w:rFonts w:ascii="Times New Roman" w:hAnsi="Times New Roman"/>
          <w:iCs/>
          <w:sz w:val="22"/>
        </w:rPr>
        <w:t xml:space="preserve"> calculated according to Eq. (10) where EF</w:t>
      </w:r>
      <w:r w:rsidRPr="008651FA">
        <w:rPr>
          <w:rFonts w:ascii="Times New Roman" w:hAnsi="Times New Roman"/>
          <w:iCs/>
          <w:sz w:val="22"/>
          <w:vertAlign w:val="subscript"/>
        </w:rPr>
        <w:t>5</w:t>
      </w:r>
      <w:r w:rsidRPr="008651FA">
        <w:rPr>
          <w:rFonts w:ascii="Times New Roman" w:hAnsi="Times New Roman"/>
          <w:iCs/>
          <w:sz w:val="22"/>
        </w:rPr>
        <w:t xml:space="preserve"> is the emission factor (0.3 kg N</w:t>
      </w:r>
      <w:r w:rsidRPr="008651FA">
        <w:rPr>
          <w:rFonts w:ascii="Times New Roman" w:hAnsi="Times New Roman"/>
          <w:iCs/>
          <w:sz w:val="22"/>
          <w:vertAlign w:val="subscript"/>
        </w:rPr>
        <w:t>2</w:t>
      </w:r>
      <w:r w:rsidRPr="008651FA">
        <w:rPr>
          <w:rFonts w:ascii="Times New Roman" w:hAnsi="Times New Roman"/>
          <w:iCs/>
          <w:sz w:val="22"/>
        </w:rPr>
        <w:t xml:space="preserve">/TAN). </w:t>
      </w:r>
    </w:p>
    <w:p w14:paraId="78B74731" w14:textId="77777777" w:rsidR="008A24CD" w:rsidRPr="008651FA" w:rsidRDefault="008A24CD" w:rsidP="008A24CD">
      <w:pPr>
        <w:pStyle w:val="MDPI35textbeforelist"/>
        <w:spacing w:line="480" w:lineRule="auto"/>
        <w:jc w:val="left"/>
        <w:rPr>
          <w:rFonts w:ascii="Times New Roman" w:hAnsi="Times New Roman"/>
          <w:iCs/>
          <w:sz w:val="22"/>
        </w:rPr>
      </w:pPr>
    </w:p>
    <w:p w14:paraId="2A332A3C"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
          <m:sSubPr>
            <m:ctrlPr>
              <w:rPr>
                <w:rFonts w:ascii="Cambria Math" w:hAnsi="Cambria Math"/>
                <w:iCs/>
                <w:sz w:val="22"/>
              </w:rPr>
            </m:ctrlPr>
          </m:sSubPr>
          <m:e>
            <m:r>
              <m:rPr>
                <m:sty m:val="p"/>
              </m:rPr>
              <w:rPr>
                <w:rFonts w:ascii="Cambria Math" w:hAnsi="Cambria Math"/>
                <w:sz w:val="22"/>
              </w:rPr>
              <m:t>NH</m:t>
            </m:r>
          </m:e>
          <m:sub>
            <m:r>
              <m:rPr>
                <m:sty m:val="p"/>
              </m:rPr>
              <w:rPr>
                <w:rFonts w:ascii="Cambria Math" w:hAnsi="Cambria Math"/>
                <w:sz w:val="22"/>
              </w:rPr>
              <m:t>3</m:t>
            </m:r>
          </m:sub>
        </m:sSub>
        <m:d>
          <m:dPr>
            <m:ctrlPr>
              <w:rPr>
                <w:rFonts w:ascii="Cambria Math" w:hAnsi="Cambria Math"/>
                <w:iCs/>
                <w:sz w:val="22"/>
              </w:rPr>
            </m:ctrlPr>
          </m:dPr>
          <m:e>
            <m:f>
              <m:fPr>
                <m:ctrlPr>
                  <w:rPr>
                    <w:rFonts w:ascii="Cambria Math" w:hAnsi="Cambria Math"/>
                    <w:iCs/>
                    <w:sz w:val="22"/>
                  </w:rPr>
                </m:ctrlPr>
              </m:fPr>
              <m:num>
                <m:r>
                  <m:rPr>
                    <m:sty m:val="p"/>
                  </m:rPr>
                  <w:rPr>
                    <w:rFonts w:ascii="Cambria Math" w:hAnsi="Cambria Math"/>
                    <w:sz w:val="22"/>
                  </w:rPr>
                  <m:t>kg</m:t>
                </m:r>
              </m:num>
              <m:den>
                <m:r>
                  <m:rPr>
                    <m:sty m:val="p"/>
                  </m:rPr>
                  <w:rPr>
                    <w:rFonts w:ascii="Cambria Math" w:hAnsi="Cambria Math"/>
                    <w:sz w:val="22"/>
                  </w:rPr>
                  <m:t>year</m:t>
                </m:r>
              </m:den>
            </m:f>
          </m:e>
        </m:d>
        <m:r>
          <m:rPr>
            <m:sty m:val="p"/>
          </m:rPr>
          <w:rPr>
            <w:rFonts w:ascii="Cambria Math" w:hAnsi="Cambria Math"/>
            <w:sz w:val="22"/>
          </w:rPr>
          <m:t>=</m:t>
        </m:r>
        <m:nary>
          <m:naryPr>
            <m:chr m:val="∑"/>
            <m:limLoc m:val="undOvr"/>
            <m:subHide m:val="1"/>
            <m:supHide m:val="1"/>
            <m:ctrlPr>
              <w:rPr>
                <w:rFonts w:ascii="Cambria Math" w:hAnsi="Cambria Math"/>
                <w:iCs/>
                <w:sz w:val="22"/>
              </w:rPr>
            </m:ctrlPr>
          </m:naryPr>
          <m:sub/>
          <m:sup/>
          <m:e>
            <m:d>
              <m:dPr>
                <m:ctrlPr>
                  <w:rPr>
                    <w:rFonts w:ascii="Cambria Math" w:hAnsi="Cambria Math"/>
                    <w:iCs/>
                    <w:sz w:val="22"/>
                  </w:rPr>
                </m:ctrlPr>
              </m:dPr>
              <m:e>
                <m:d>
                  <m:dPr>
                    <m:ctrlPr>
                      <w:rPr>
                        <w:rFonts w:ascii="Cambria Math" w:hAnsi="Cambria Math"/>
                        <w:iCs/>
                        <w:sz w:val="22"/>
                      </w:rPr>
                    </m:ctrlPr>
                  </m:dPr>
                  <m:e>
                    <m:sSub>
                      <m:sSubPr>
                        <m:ctrlPr>
                          <w:rPr>
                            <w:rFonts w:ascii="Cambria Math" w:hAnsi="Cambria Math"/>
                            <w:iCs/>
                            <w:sz w:val="22"/>
                          </w:rPr>
                        </m:ctrlPr>
                      </m:sSubPr>
                      <m:e>
                        <m:r>
                          <m:rPr>
                            <m:sty m:val="p"/>
                          </m:rPr>
                          <w:rPr>
                            <w:rFonts w:ascii="Cambria Math" w:hAnsi="Cambria Math"/>
                            <w:sz w:val="22"/>
                          </w:rPr>
                          <m:t>F</m:t>
                        </m:r>
                      </m:e>
                      <m:sub>
                        <m:r>
                          <m:rPr>
                            <m:sty m:val="p"/>
                          </m:rPr>
                          <w:rPr>
                            <w:rFonts w:ascii="Cambria Math" w:hAnsi="Cambria Math"/>
                            <w:sz w:val="22"/>
                          </w:rPr>
                          <m:t>ON</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F</m:t>
                        </m:r>
                      </m:e>
                      <m:sub>
                        <m:r>
                          <m:rPr>
                            <m:sty m:val="p"/>
                          </m:rPr>
                          <w:rPr>
                            <w:rFonts w:ascii="Cambria Math" w:hAnsi="Cambria Math"/>
                            <w:sz w:val="22"/>
                          </w:rPr>
                          <m:t>PRP</m:t>
                        </m:r>
                      </m:sub>
                    </m:sSub>
                  </m:e>
                </m:d>
                <m:r>
                  <m:rPr>
                    <m:sty m:val="p"/>
                  </m:rPr>
                  <w:rPr>
                    <w:rFonts w:ascii="Cambria Math" w:hAnsi="Cambria Math"/>
                    <w:sz w:val="22"/>
                  </w:rPr>
                  <m:t>*TAN*</m:t>
                </m:r>
                <m:sSub>
                  <m:sSubPr>
                    <m:ctrlPr>
                      <w:rPr>
                        <w:rFonts w:ascii="Cambria Math" w:hAnsi="Cambria Math"/>
                        <w:iCs/>
                        <w:sz w:val="22"/>
                      </w:rPr>
                    </m:ctrlPr>
                  </m:sSubPr>
                  <m:e>
                    <m:r>
                      <m:rPr>
                        <m:sty m:val="p"/>
                      </m:rPr>
                      <w:rPr>
                        <w:rFonts w:ascii="Cambria Math" w:hAnsi="Cambria Math"/>
                        <w:sz w:val="22"/>
                      </w:rPr>
                      <m:t>EF</m:t>
                    </m:r>
                  </m:e>
                  <m:sub>
                    <m:r>
                      <m:rPr>
                        <m:sty m:val="p"/>
                      </m:rPr>
                      <w:rPr>
                        <w:rFonts w:ascii="Cambria Math" w:hAnsi="Cambria Math"/>
                        <w:sz w:val="22"/>
                      </w:rPr>
                      <m:t>4</m:t>
                    </m:r>
                  </m:sub>
                </m:sSub>
              </m:e>
            </m:d>
            <m:r>
              <m:rPr>
                <m:sty m:val="p"/>
              </m:rPr>
              <w:rPr>
                <w:rFonts w:ascii="Cambria Math" w:hAnsi="Cambria Math"/>
                <w:sz w:val="22"/>
              </w:rPr>
              <m:t>*</m:t>
            </m:r>
            <m:d>
              <m:dPr>
                <m:ctrlPr>
                  <w:rPr>
                    <w:rFonts w:ascii="Cambria Math" w:hAnsi="Cambria Math"/>
                    <w:iCs/>
                    <w:sz w:val="22"/>
                  </w:rPr>
                </m:ctrlPr>
              </m:dPr>
              <m:e>
                <m:f>
                  <m:fPr>
                    <m:ctrlPr>
                      <w:rPr>
                        <w:rFonts w:ascii="Cambria Math" w:hAnsi="Cambria Math"/>
                        <w:iCs/>
                        <w:sz w:val="22"/>
                      </w:rPr>
                    </m:ctrlPr>
                  </m:fPr>
                  <m:num>
                    <m:r>
                      <m:rPr>
                        <m:sty m:val="p"/>
                      </m:rPr>
                      <w:rPr>
                        <w:rFonts w:ascii="Cambria Math" w:hAnsi="Cambria Math"/>
                        <w:sz w:val="22"/>
                      </w:rPr>
                      <m:t>17</m:t>
                    </m:r>
                  </m:num>
                  <m:den>
                    <m:r>
                      <m:rPr>
                        <m:sty m:val="p"/>
                      </m:rPr>
                      <w:rPr>
                        <w:rFonts w:ascii="Cambria Math" w:hAnsi="Cambria Math"/>
                        <w:sz w:val="22"/>
                      </w:rPr>
                      <m:t>14</m:t>
                    </m:r>
                  </m:den>
                </m:f>
              </m:e>
            </m:d>
          </m:e>
        </m:nary>
      </m:oMath>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t>Eq. (9)</w:t>
      </w:r>
    </w:p>
    <w:p w14:paraId="07E81299" w14:textId="77777777" w:rsidR="008A24CD" w:rsidRPr="008651FA" w:rsidRDefault="0009182D" w:rsidP="008A24CD">
      <w:pPr>
        <w:pStyle w:val="MDPI35textbeforelist"/>
        <w:spacing w:line="480" w:lineRule="auto"/>
        <w:ind w:left="0" w:firstLine="0"/>
        <w:jc w:val="left"/>
        <w:rPr>
          <w:rFonts w:ascii="Times New Roman" w:hAnsi="Times New Roman"/>
          <w:sz w:val="22"/>
        </w:rPr>
      </w:pPr>
      <m:oMath>
        <m:sSub>
          <m:sSubPr>
            <m:ctrlPr>
              <w:rPr>
                <w:rFonts w:ascii="Cambria Math" w:hAnsi="Cambria Math"/>
                <w:sz w:val="22"/>
              </w:rPr>
            </m:ctrlPr>
          </m:sSubPr>
          <m:e>
            <m:r>
              <m:rPr>
                <m:sty m:val="p"/>
              </m:rPr>
              <w:rPr>
                <w:rFonts w:ascii="Cambria Math" w:hAnsi="Cambria Math"/>
                <w:sz w:val="22"/>
              </w:rPr>
              <m:t>N</m:t>
            </m:r>
          </m:e>
          <m:sub>
            <m:r>
              <m:rPr>
                <m:sty m:val="p"/>
              </m:rPr>
              <w:rPr>
                <w:rFonts w:ascii="Cambria Math" w:hAnsi="Cambria Math"/>
                <w:sz w:val="22"/>
              </w:rPr>
              <m:t>2</m:t>
            </m:r>
          </m:sub>
        </m:sSub>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rPr>
                  <m:t>kg</m:t>
                </m:r>
              </m:num>
              <m:den>
                <m:r>
                  <m:rPr>
                    <m:sty m:val="p"/>
                  </m:rPr>
                  <w:rPr>
                    <w:rFonts w:ascii="Cambria Math" w:hAnsi="Cambria Math"/>
                    <w:sz w:val="22"/>
                  </w:rPr>
                  <m:t>year</m:t>
                </m:r>
              </m:den>
            </m:f>
          </m:e>
        </m:d>
        <m:r>
          <m:rPr>
            <m:sty m:val="p"/>
          </m:rPr>
          <w:rPr>
            <w:rFonts w:ascii="Cambria Math" w:hAnsi="Cambria Math"/>
            <w:sz w:val="22"/>
          </w:rPr>
          <m:t>=</m:t>
        </m:r>
        <m:nary>
          <m:naryPr>
            <m:chr m:val="∑"/>
            <m:limLoc m:val="undOvr"/>
            <m:subHide m:val="1"/>
            <m:supHide m:val="1"/>
            <m:ctrlPr>
              <w:rPr>
                <w:rFonts w:ascii="Cambria Math" w:hAnsi="Cambria Math"/>
                <w:sz w:val="22"/>
              </w:rPr>
            </m:ctrlPr>
          </m:naryPr>
          <m:sub/>
          <m:sup/>
          <m:e>
            <m:r>
              <m:rPr>
                <m:sty m:val="p"/>
              </m:rPr>
              <w:rPr>
                <w:rFonts w:ascii="Cambria Math" w:hAnsi="Cambria Math"/>
                <w:sz w:val="22"/>
              </w:rPr>
              <m:t>[</m:t>
            </m:r>
            <m:d>
              <m:dPr>
                <m:ctrlPr>
                  <w:rPr>
                    <w:rFonts w:ascii="Cambria Math" w:hAnsi="Cambria Math"/>
                    <w:sz w:val="22"/>
                  </w:rPr>
                </m:ctrlPr>
              </m:dPr>
              <m:e>
                <m:sSub>
                  <m:sSubPr>
                    <m:ctrlPr>
                      <w:rPr>
                        <w:rFonts w:ascii="Cambria Math" w:hAnsi="Cambria Math"/>
                        <w:sz w:val="22"/>
                      </w:rPr>
                    </m:ctrlPr>
                  </m:sSubPr>
                  <m:e>
                    <m:r>
                      <m:rPr>
                        <m:sty m:val="p"/>
                      </m:rPr>
                      <w:rPr>
                        <w:rFonts w:ascii="Cambria Math" w:hAnsi="Cambria Math"/>
                        <w:sz w:val="22"/>
                      </w:rPr>
                      <m:t>F</m:t>
                    </m:r>
                  </m:e>
                  <m:sub>
                    <m:r>
                      <m:rPr>
                        <m:sty m:val="p"/>
                      </m:rPr>
                      <w:rPr>
                        <w:rFonts w:ascii="Cambria Math" w:hAnsi="Cambria Math"/>
                        <w:sz w:val="22"/>
                      </w:rPr>
                      <m:t>ON</m:t>
                    </m:r>
                  </m:sub>
                </m:sSub>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F</m:t>
                    </m:r>
                  </m:e>
                  <m:sub>
                    <m:r>
                      <m:rPr>
                        <m:sty m:val="p"/>
                      </m:rPr>
                      <w:rPr>
                        <w:rFonts w:ascii="Cambria Math" w:hAnsi="Cambria Math"/>
                        <w:sz w:val="22"/>
                      </w:rPr>
                      <m:t>PRP</m:t>
                    </m:r>
                  </m:sub>
                </m:sSub>
              </m:e>
            </m:d>
            <m:r>
              <m:rPr>
                <m:sty m:val="p"/>
              </m:rPr>
              <w:rPr>
                <w:rFonts w:ascii="Cambria Math" w:hAnsi="Cambria Math"/>
                <w:sz w:val="22"/>
              </w:rPr>
              <m:t>*TAN*</m:t>
            </m:r>
            <m:sSub>
              <m:sSubPr>
                <m:ctrlPr>
                  <w:rPr>
                    <w:rFonts w:ascii="Cambria Math" w:hAnsi="Cambria Math"/>
                    <w:sz w:val="22"/>
                  </w:rPr>
                </m:ctrlPr>
              </m:sSubPr>
              <m:e>
                <m:r>
                  <m:rPr>
                    <m:sty m:val="p"/>
                  </m:rPr>
                  <w:rPr>
                    <w:rFonts w:ascii="Cambria Math" w:hAnsi="Cambria Math"/>
                    <w:sz w:val="22"/>
                  </w:rPr>
                  <m:t>EF</m:t>
                </m:r>
              </m:e>
              <m:sub>
                <m:r>
                  <m:rPr>
                    <m:sty m:val="p"/>
                  </m:rPr>
                  <w:rPr>
                    <w:rFonts w:ascii="Cambria Math" w:hAnsi="Cambria Math"/>
                    <w:sz w:val="22"/>
                  </w:rPr>
                  <m:t>5</m:t>
                </m:r>
              </m:sub>
            </m:sSub>
          </m:e>
        </m:nary>
      </m:oMath>
      <w:r w:rsidR="008A24CD" w:rsidRPr="008651FA">
        <w:rPr>
          <w:rFonts w:ascii="Times New Roman" w:hAnsi="Times New Roman"/>
          <w:sz w:val="22"/>
        </w:rPr>
        <w:t xml:space="preserve"> </w:t>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t>Eq. (10)</w:t>
      </w:r>
    </w:p>
    <w:p w14:paraId="6D1E200A" w14:textId="77777777" w:rsidR="008A24CD" w:rsidRPr="008651FA" w:rsidRDefault="008A24CD" w:rsidP="008A24CD">
      <w:pPr>
        <w:pStyle w:val="MDPI35textbeforelist"/>
        <w:spacing w:line="480" w:lineRule="auto"/>
        <w:jc w:val="left"/>
        <w:rPr>
          <w:rFonts w:ascii="Times New Roman" w:hAnsi="Times New Roman"/>
          <w:sz w:val="22"/>
        </w:rPr>
      </w:pPr>
    </w:p>
    <w:p w14:paraId="37C02322" w14:textId="2BAEE6C4" w:rsidR="008A24CD" w:rsidRPr="008651FA" w:rsidRDefault="008A24CD" w:rsidP="008A24CD">
      <w:pPr>
        <w:pStyle w:val="MDPI35textbeforelist"/>
        <w:spacing w:line="480" w:lineRule="auto"/>
        <w:ind w:left="0" w:firstLine="0"/>
        <w:jc w:val="left"/>
        <w:rPr>
          <w:rFonts w:ascii="Times New Roman" w:hAnsi="Times New Roman"/>
          <w:sz w:val="22"/>
        </w:rPr>
      </w:pPr>
      <w:r w:rsidRPr="008651FA">
        <w:rPr>
          <w:rFonts w:ascii="Times New Roman" w:hAnsi="Times New Roman"/>
          <w:sz w:val="22"/>
        </w:rPr>
        <w:t>Ammonia from crop residues was also considered and it was calculated according to Eq. (11) where A is the area of the crop (Ha), F</w:t>
      </w:r>
      <w:r w:rsidRPr="008651FA">
        <w:rPr>
          <w:rFonts w:ascii="Times New Roman" w:hAnsi="Times New Roman"/>
          <w:sz w:val="22"/>
          <w:vertAlign w:val="subscript"/>
        </w:rPr>
        <w:t>N</w:t>
      </w:r>
      <w:r w:rsidRPr="008651FA">
        <w:rPr>
          <w:rFonts w:ascii="Times New Roman" w:hAnsi="Times New Roman"/>
          <w:sz w:val="22"/>
        </w:rPr>
        <w:t xml:space="preserve"> is the amount of nitrogen in the crop residue (kg N/ha), EF</w:t>
      </w:r>
      <w:r w:rsidRPr="008651FA">
        <w:rPr>
          <w:rFonts w:ascii="Times New Roman" w:hAnsi="Times New Roman"/>
          <w:sz w:val="22"/>
          <w:vertAlign w:val="subscript"/>
        </w:rPr>
        <w:t>6</w:t>
      </w:r>
      <w:r w:rsidRPr="008651FA">
        <w:rPr>
          <w:rFonts w:ascii="Times New Roman" w:hAnsi="Times New Roman"/>
          <w:sz w:val="22"/>
        </w:rPr>
        <w:t xml:space="preserve"> is the emission factor that is calculated as shown in Eq. (12). In this case N content refers to the nitrogen content in the crop residue (g/kg dry matter) </w:t>
      </w:r>
      <w:r w:rsidRPr="008651FA">
        <w:rPr>
          <w:rFonts w:ascii="Times New Roman" w:hAnsi="Times New Roman"/>
          <w:sz w:val="22"/>
        </w:rPr>
        <w:fldChar w:fldCharType="begin" w:fldLock="1"/>
      </w:r>
      <w:r>
        <w:rPr>
          <w:rFonts w:ascii="Times New Roman" w:hAnsi="Times New Roman"/>
          <w:sz w:val="22"/>
        </w:rPr>
        <w:instrText>ADDIN CSL_CITATION {"citationItems":[{"id":"ITEM-1","itemData":{"abstract":"The National Emission Model for Agriculture (NEMA) is used to calculate emissions to air from agricultural activities in the Netherlands on a national scale. Emissions of ammonia (NH3) and other N-compounds (NOx and N2O) from animal housing, manure storage, manure application and grazing are assessed using a Total Ammoniacal Nitrogen (TAN) flow model. Furthermore, emissions from application of inorganic N-fertilizer, compost and sewage sludge, cultivation of organic soils, crop residues, and ripening of crops are calculated. NEMA is also used to estimate emissions of methane (CH4) from enteric fermentation and manure management, particulate matter (PM) from manure management and agricultural soils, and carbon dioxide (CO2) from liming. Emissions are calculated in accordance with international guidance criteria and reported in an annual Informative Inventory Report (IIR; for air pollutants) and National Inventory Report (NIR; for greenhouse gases). This methodology report describes the outline and backgrounds of the emission calculations with NEMA.","author":[{"dropping-particle":"","family":"Vonk","given":"J","non-dropping-particle":"","parse-names":false,"suffix":""},{"dropping-particle":"","family":"Bannink","given":"A","non-dropping-particle":"","parse-names":false,"suffix":""},{"dropping-particle":"","family":"Bruggen","given":"C.","non-dropping-particle":"van","parse-names":false,"suffix":""},{"dropping-particle":"","family":"Groenestein","given":"C.M.","non-dropping-particle":"","parse-names":false,"suffix":""},{"dropping-particle":"","family":"Huijsmans","given":"J.F.M.","non-dropping-particle":"","parse-names":false,"suffix":""},{"dropping-particle":"","family":"Kolk","given":"J.W.H.","non-dropping-particle":"van der","parse-names":false,"suffix":""},{"dropping-particle":"","family":"Luesink","given":"H.H.","non-dropping-particle":"","parse-names":false,"suffix":""},{"dropping-particle":"","family":"Oude Voshaar","given":"S.V.","non-dropping-particle":"","parse-names":false,"suffix":""},{"dropping-particle":"","family":"Sluis","given":"S.M.","non-dropping-particle":"","parse-names":false,"suffix":""},{"dropping-particle":"","family":"Velthof","given":"G.L.","non-dropping-particle":"","parse-names":false,"suffix":""}],"id":"ITEM-1","issue":"x","issued":{"date-parts":[["2016"]]},"number-of-pages":"166","title":"Methodology for estimating emissions from agriculture in the Netherlands.","type":"report"},"uris":["http://www.mendeley.com/documents/?uuid=cab213b1-349b-46e7-9a68-4c4dea28c9f1"]}],"mendeley":{"formattedCitation":"(Vonk et al., 2016)","plainTextFormattedCitation":"(Vonk et al., 2016)","previouslyFormattedCitation":"[16]"},"properties":{"noteIndex":0},"schema":"https://github.com/citation-style-language/schema/raw/master/csl-citation.json"}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(Vonk et al., 2016)</w:t>
      </w:r>
      <w:r w:rsidRPr="008651FA">
        <w:rPr>
          <w:rFonts w:ascii="Times New Roman" w:hAnsi="Times New Roman"/>
          <w:sz w:val="22"/>
        </w:rPr>
        <w:fldChar w:fldCharType="end"/>
      </w:r>
      <w:r w:rsidRPr="008651FA">
        <w:rPr>
          <w:rFonts w:ascii="Times New Roman" w:hAnsi="Times New Roman"/>
          <w:sz w:val="22"/>
        </w:rPr>
        <w:t>. Nitrogen oxides (NOx) w</w:t>
      </w:r>
      <w:r>
        <w:rPr>
          <w:rFonts w:ascii="Times New Roman" w:hAnsi="Times New Roman"/>
          <w:sz w:val="22"/>
        </w:rPr>
        <w:t>ere</w:t>
      </w:r>
      <w:r w:rsidRPr="008651FA">
        <w:rPr>
          <w:rFonts w:ascii="Times New Roman" w:hAnsi="Times New Roman"/>
          <w:sz w:val="22"/>
        </w:rPr>
        <w:t xml:space="preserve"> calculated according to Eq. (13).</w:t>
      </w:r>
    </w:p>
    <w:p w14:paraId="6110A0CC" w14:textId="77777777" w:rsidR="008A24CD" w:rsidRPr="008651FA" w:rsidRDefault="008A24CD" w:rsidP="008A24CD">
      <w:pPr>
        <w:pStyle w:val="MDPI35textbeforelist"/>
        <w:spacing w:line="480" w:lineRule="auto"/>
        <w:jc w:val="left"/>
        <w:rPr>
          <w:rFonts w:ascii="Times New Roman" w:hAnsi="Times New Roman"/>
          <w:sz w:val="22"/>
        </w:rPr>
      </w:pPr>
    </w:p>
    <w:p w14:paraId="55F59CF5"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
          <m:sSubPr>
            <m:ctrlPr>
              <w:rPr>
                <w:rFonts w:ascii="Cambria Math" w:hAnsi="Cambria Math"/>
                <w:iCs/>
                <w:sz w:val="22"/>
              </w:rPr>
            </m:ctrlPr>
          </m:sSubPr>
          <m:e>
            <m:r>
              <m:rPr>
                <m:sty m:val="p"/>
              </m:rPr>
              <w:rPr>
                <w:rFonts w:ascii="Cambria Math" w:hAnsi="Cambria Math"/>
                <w:sz w:val="22"/>
              </w:rPr>
              <m:t>NH</m:t>
            </m:r>
          </m:e>
          <m:sub>
            <m:r>
              <m:rPr>
                <m:sty m:val="p"/>
              </m:rPr>
              <w:rPr>
                <w:rFonts w:ascii="Cambria Math" w:hAnsi="Cambria Math"/>
                <w:sz w:val="22"/>
              </w:rPr>
              <m:t>3</m:t>
            </m:r>
          </m:sub>
        </m:sSub>
        <m:d>
          <m:dPr>
            <m:ctrlPr>
              <w:rPr>
                <w:rFonts w:ascii="Cambria Math" w:hAnsi="Cambria Math"/>
                <w:iCs/>
                <w:sz w:val="22"/>
              </w:rPr>
            </m:ctrlPr>
          </m:dPr>
          <m:e>
            <m:f>
              <m:fPr>
                <m:ctrlPr>
                  <w:rPr>
                    <w:rFonts w:ascii="Cambria Math" w:hAnsi="Cambria Math"/>
                    <w:iCs/>
                    <w:sz w:val="22"/>
                  </w:rPr>
                </m:ctrlPr>
              </m:fPr>
              <m:num>
                <m:r>
                  <m:rPr>
                    <m:sty m:val="p"/>
                  </m:rPr>
                  <w:rPr>
                    <w:rFonts w:ascii="Cambria Math" w:hAnsi="Cambria Math"/>
                    <w:sz w:val="22"/>
                  </w:rPr>
                  <m:t>kg</m:t>
                </m:r>
              </m:num>
              <m:den>
                <m:r>
                  <m:rPr>
                    <m:sty m:val="p"/>
                  </m:rPr>
                  <w:rPr>
                    <w:rFonts w:ascii="Cambria Math" w:hAnsi="Cambria Math"/>
                    <w:sz w:val="22"/>
                  </w:rPr>
                  <m:t>year</m:t>
                </m:r>
              </m:den>
            </m:f>
          </m:e>
        </m:d>
        <m:r>
          <m:rPr>
            <m:sty m:val="p"/>
          </m:rPr>
          <w:rPr>
            <w:rFonts w:ascii="Cambria Math" w:hAnsi="Cambria Math"/>
            <w:sz w:val="22"/>
          </w:rPr>
          <m:t>=</m:t>
        </m:r>
        <m:nary>
          <m:naryPr>
            <m:chr m:val="∑"/>
            <m:limLoc m:val="undOvr"/>
            <m:subHide m:val="1"/>
            <m:supHide m:val="1"/>
            <m:ctrlPr>
              <w:rPr>
                <w:rFonts w:ascii="Cambria Math" w:hAnsi="Cambria Math"/>
                <w:iCs/>
                <w:sz w:val="22"/>
              </w:rPr>
            </m:ctrlPr>
          </m:naryPr>
          <m:sub/>
          <m:sup/>
          <m:e>
            <m:d>
              <m:dPr>
                <m:ctrlPr>
                  <w:rPr>
                    <w:rFonts w:ascii="Cambria Math" w:hAnsi="Cambria Math"/>
                    <w:iCs/>
                    <w:sz w:val="22"/>
                  </w:rPr>
                </m:ctrlPr>
              </m:dPr>
              <m:e>
                <m:r>
                  <m:rPr>
                    <m:sty m:val="p"/>
                  </m:rPr>
                  <w:rPr>
                    <w:rFonts w:ascii="Cambria Math" w:hAnsi="Cambria Math"/>
                    <w:sz w:val="22"/>
                  </w:rPr>
                  <m:t>A*</m:t>
                </m:r>
                <m:sSub>
                  <m:sSubPr>
                    <m:ctrlPr>
                      <w:rPr>
                        <w:rFonts w:ascii="Cambria Math" w:hAnsi="Cambria Math"/>
                        <w:iCs/>
                        <w:sz w:val="22"/>
                      </w:rPr>
                    </m:ctrlPr>
                  </m:sSubPr>
                  <m:e>
                    <m:r>
                      <m:rPr>
                        <m:sty m:val="p"/>
                      </m:rPr>
                      <w:rPr>
                        <w:rFonts w:ascii="Cambria Math" w:hAnsi="Cambria Math"/>
                        <w:sz w:val="22"/>
                      </w:rPr>
                      <m:t>F</m:t>
                    </m:r>
                  </m:e>
                  <m:sub>
                    <m:r>
                      <m:rPr>
                        <m:sty m:val="p"/>
                      </m:rPr>
                      <w:rPr>
                        <w:rFonts w:ascii="Cambria Math" w:hAnsi="Cambria Math"/>
                        <w:sz w:val="22"/>
                      </w:rPr>
                      <m:t>N</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EF</m:t>
                    </m:r>
                  </m:e>
                  <m:sub>
                    <m:r>
                      <m:rPr>
                        <m:sty m:val="p"/>
                      </m:rPr>
                      <w:rPr>
                        <w:rFonts w:ascii="Cambria Math" w:hAnsi="Cambria Math"/>
                        <w:sz w:val="22"/>
                      </w:rPr>
                      <m:t>6</m:t>
                    </m:r>
                  </m:sub>
                </m:sSub>
              </m:e>
            </m:d>
            <m:r>
              <m:rPr>
                <m:sty m:val="p"/>
              </m:rPr>
              <w:rPr>
                <w:rFonts w:ascii="Cambria Math" w:hAnsi="Cambria Math"/>
                <w:sz w:val="22"/>
              </w:rPr>
              <m:t>*</m:t>
            </m:r>
            <m:d>
              <m:dPr>
                <m:ctrlPr>
                  <w:rPr>
                    <w:rFonts w:ascii="Cambria Math" w:hAnsi="Cambria Math"/>
                    <w:iCs/>
                    <w:sz w:val="22"/>
                  </w:rPr>
                </m:ctrlPr>
              </m:dPr>
              <m:e>
                <m:f>
                  <m:fPr>
                    <m:ctrlPr>
                      <w:rPr>
                        <w:rFonts w:ascii="Cambria Math" w:hAnsi="Cambria Math"/>
                        <w:iCs/>
                        <w:sz w:val="22"/>
                      </w:rPr>
                    </m:ctrlPr>
                  </m:fPr>
                  <m:num>
                    <m:r>
                      <m:rPr>
                        <m:sty m:val="p"/>
                      </m:rPr>
                      <w:rPr>
                        <w:rFonts w:ascii="Cambria Math" w:hAnsi="Cambria Math"/>
                        <w:sz w:val="22"/>
                      </w:rPr>
                      <m:t>17</m:t>
                    </m:r>
                  </m:num>
                  <m:den>
                    <m:r>
                      <m:rPr>
                        <m:sty m:val="p"/>
                      </m:rPr>
                      <w:rPr>
                        <w:rFonts w:ascii="Cambria Math" w:hAnsi="Cambria Math"/>
                        <w:sz w:val="22"/>
                      </w:rPr>
                      <m:t>14</m:t>
                    </m:r>
                  </m:den>
                </m:f>
              </m:e>
            </m:d>
          </m:e>
        </m:nary>
      </m:oMath>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t>Eq. (11)</w:t>
      </w:r>
    </w:p>
    <w:p w14:paraId="4A933D98" w14:textId="77777777" w:rsidR="008A24CD" w:rsidRPr="008651FA" w:rsidRDefault="008A24CD" w:rsidP="008A24CD">
      <w:pPr>
        <w:pStyle w:val="MDPI35textbeforelist"/>
        <w:spacing w:line="480" w:lineRule="auto"/>
        <w:jc w:val="left"/>
        <w:rPr>
          <w:rFonts w:ascii="Times New Roman" w:hAnsi="Times New Roman"/>
          <w:iCs/>
          <w:sz w:val="22"/>
        </w:rPr>
      </w:pPr>
    </w:p>
    <w:p w14:paraId="0DAEBADA"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
          <m:sSubPr>
            <m:ctrlPr>
              <w:rPr>
                <w:rFonts w:ascii="Cambria Math" w:hAnsi="Cambria Math"/>
                <w:iCs/>
                <w:sz w:val="22"/>
              </w:rPr>
            </m:ctrlPr>
          </m:sSubPr>
          <m:e>
            <m:r>
              <m:rPr>
                <m:sty m:val="p"/>
              </m:rPr>
              <w:rPr>
                <w:rFonts w:ascii="Cambria Math" w:hAnsi="Cambria Math"/>
                <w:sz w:val="22"/>
              </w:rPr>
              <m:t>EF</m:t>
            </m:r>
          </m:e>
          <m:sub>
            <m:r>
              <m:rPr>
                <m:sty m:val="p"/>
              </m:rPr>
              <w:rPr>
                <w:rFonts w:ascii="Cambria Math" w:hAnsi="Cambria Math"/>
                <w:sz w:val="22"/>
              </w:rPr>
              <m:t>6</m:t>
            </m:r>
          </m:sub>
        </m:sSub>
        <m:r>
          <m:rPr>
            <m:sty m:val="p"/>
          </m:rPr>
          <w:rPr>
            <w:rFonts w:ascii="Cambria Math" w:hAnsi="Cambria Math"/>
            <w:sz w:val="22"/>
          </w:rPr>
          <m:t>=0.40*</m:t>
        </m:r>
        <m:sSub>
          <m:sSubPr>
            <m:ctrlPr>
              <w:rPr>
                <w:rFonts w:ascii="Cambria Math" w:hAnsi="Cambria Math"/>
                <w:iCs/>
                <w:sz w:val="22"/>
              </w:rPr>
            </m:ctrlPr>
          </m:sSubPr>
          <m:e>
            <m:r>
              <m:rPr>
                <m:sty m:val="p"/>
              </m:rPr>
              <w:rPr>
                <w:rFonts w:ascii="Cambria Math" w:hAnsi="Cambria Math"/>
                <w:sz w:val="22"/>
              </w:rPr>
              <m:t>N</m:t>
            </m:r>
          </m:e>
          <m:sub>
            <m:r>
              <m:rPr>
                <m:sty m:val="p"/>
              </m:rPr>
              <w:rPr>
                <w:rFonts w:ascii="Cambria Math" w:hAnsi="Cambria Math"/>
                <w:sz w:val="22"/>
              </w:rPr>
              <m:t>Content</m:t>
            </m:r>
          </m:sub>
        </m:sSub>
        <m:r>
          <m:rPr>
            <m:sty m:val="p"/>
          </m:rPr>
          <w:rPr>
            <w:rFonts w:ascii="Cambria Math" w:hAnsi="Cambria Math"/>
            <w:sz w:val="22"/>
          </w:rPr>
          <m:t>-5.08</m:t>
        </m:r>
      </m:oMath>
      <w:r w:rsidR="008A24CD" w:rsidRPr="008651FA">
        <w:rPr>
          <w:rFonts w:ascii="Times New Roman" w:hAnsi="Times New Roman"/>
          <w:iCs/>
          <w:sz w:val="22"/>
        </w:rPr>
        <w:t xml:space="preserve"> </w:t>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t>Eq. (12)</w:t>
      </w:r>
    </w:p>
    <w:p w14:paraId="0342ED61" w14:textId="77777777" w:rsidR="008A24CD" w:rsidRPr="008651FA" w:rsidRDefault="008A24CD" w:rsidP="008A24CD">
      <w:pPr>
        <w:pStyle w:val="MDPI35textbeforelist"/>
        <w:spacing w:line="480" w:lineRule="auto"/>
        <w:jc w:val="left"/>
        <w:rPr>
          <w:rFonts w:ascii="Times New Roman" w:hAnsi="Times New Roman"/>
          <w:iCs/>
          <w:sz w:val="22"/>
        </w:rPr>
      </w:pPr>
    </w:p>
    <w:p w14:paraId="39994DD9" w14:textId="77777777" w:rsidR="008A24CD" w:rsidRPr="008651FA" w:rsidRDefault="0009182D" w:rsidP="008A24CD">
      <w:pPr>
        <w:pStyle w:val="MDPI35textbeforelist"/>
        <w:spacing w:line="480" w:lineRule="auto"/>
        <w:ind w:left="0" w:firstLine="0"/>
        <w:jc w:val="left"/>
        <w:rPr>
          <w:rFonts w:ascii="Times New Roman" w:hAnsi="Times New Roman"/>
          <w:sz w:val="22"/>
        </w:rPr>
      </w:pPr>
      <m:oMath>
        <m:sSub>
          <m:sSubPr>
            <m:ctrlPr>
              <w:rPr>
                <w:rFonts w:ascii="Cambria Math" w:hAnsi="Cambria Math"/>
                <w:sz w:val="22"/>
              </w:rPr>
            </m:ctrlPr>
          </m:sSubPr>
          <m:e>
            <m:r>
              <m:rPr>
                <m:sty m:val="p"/>
              </m:rPr>
              <w:rPr>
                <w:rFonts w:ascii="Cambria Math" w:hAnsi="Cambria Math"/>
                <w:sz w:val="22"/>
              </w:rPr>
              <m:t>NO</m:t>
            </m:r>
          </m:e>
          <m:sub>
            <m:r>
              <m:rPr>
                <m:sty m:val="p"/>
              </m:rPr>
              <w:rPr>
                <w:rFonts w:ascii="Cambria Math" w:hAnsi="Cambria Math"/>
                <w:sz w:val="22"/>
              </w:rPr>
              <m:t>x</m:t>
            </m:r>
          </m:sub>
        </m:sSub>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rPr>
                  <m:t>kg</m:t>
                </m:r>
              </m:num>
              <m:den>
                <m:r>
                  <m:rPr>
                    <m:sty m:val="p"/>
                  </m:rPr>
                  <w:rPr>
                    <w:rFonts w:ascii="Cambria Math" w:hAnsi="Cambria Math"/>
                    <w:sz w:val="22"/>
                  </w:rPr>
                  <m:t>year</m:t>
                </m:r>
              </m:den>
            </m:f>
          </m:e>
        </m:d>
        <m:r>
          <m:rPr>
            <m:sty m:val="p"/>
          </m:rPr>
          <w:rPr>
            <w:rFonts w:ascii="Cambria Math" w:hAnsi="Cambria Math"/>
            <w:sz w:val="22"/>
          </w:rPr>
          <m:t>=</m:t>
        </m:r>
        <m:nary>
          <m:naryPr>
            <m:chr m:val="∑"/>
            <m:limLoc m:val="undOvr"/>
            <m:subHide m:val="1"/>
            <m:supHide m:val="1"/>
            <m:ctrlPr>
              <w:rPr>
                <w:rFonts w:ascii="Cambria Math" w:hAnsi="Cambria Math"/>
                <w:sz w:val="22"/>
              </w:rPr>
            </m:ctrlPr>
          </m:naryPr>
          <m:sub/>
          <m:sup/>
          <m:e>
            <m:r>
              <m:rPr>
                <m:sty m:val="p"/>
              </m:rPr>
              <w:rPr>
                <w:rFonts w:ascii="Cambria Math" w:hAnsi="Cambria Math"/>
                <w:sz w:val="22"/>
              </w:rPr>
              <m:t>0.012*(</m:t>
            </m:r>
            <m:sSub>
              <m:sSubPr>
                <m:ctrlPr>
                  <w:rPr>
                    <w:rFonts w:ascii="Cambria Math" w:hAnsi="Cambria Math"/>
                    <w:sz w:val="22"/>
                  </w:rPr>
                </m:ctrlPr>
              </m:sSubPr>
              <m:e>
                <m:r>
                  <m:rPr>
                    <m:sty m:val="p"/>
                  </m:rPr>
                  <w:rPr>
                    <w:rFonts w:ascii="Cambria Math" w:hAnsi="Cambria Math"/>
                    <w:sz w:val="22"/>
                  </w:rPr>
                  <m:t>F</m:t>
                </m:r>
              </m:e>
              <m:sub>
                <m:r>
                  <m:rPr>
                    <m:sty m:val="p"/>
                  </m:rPr>
                  <w:rPr>
                    <w:rFonts w:ascii="Cambria Math" w:hAnsi="Cambria Math"/>
                    <w:sz w:val="22"/>
                  </w:rPr>
                  <m:t>ON</m:t>
                </m:r>
              </m:sub>
            </m:sSub>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F</m:t>
                </m:r>
              </m:e>
              <m:sub>
                <m:r>
                  <m:rPr>
                    <m:sty m:val="p"/>
                  </m:rPr>
                  <w:rPr>
                    <w:rFonts w:ascii="Cambria Math" w:hAnsi="Cambria Math"/>
                    <w:sz w:val="22"/>
                  </w:rPr>
                  <m:t>prp</m:t>
                </m:r>
              </m:sub>
            </m:sSub>
            <m:r>
              <m:rPr>
                <m:sty m:val="p"/>
              </m:rPr>
              <w:rPr>
                <w:rFonts w:ascii="Cambria Math" w:hAnsi="Cambria Math"/>
                <w:sz w:val="22"/>
              </w:rPr>
              <m:t>)</m:t>
            </m:r>
          </m:e>
        </m:nary>
      </m:oMath>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t>Eq. (13)</w:t>
      </w:r>
    </w:p>
    <w:p w14:paraId="494C4CBC" w14:textId="77777777" w:rsidR="008A24CD" w:rsidRPr="008651FA" w:rsidRDefault="008A24CD" w:rsidP="008A24CD">
      <w:pPr>
        <w:pStyle w:val="MDPI35textbeforelist"/>
        <w:spacing w:line="480" w:lineRule="auto"/>
        <w:jc w:val="left"/>
        <w:rPr>
          <w:rFonts w:ascii="Times New Roman" w:hAnsi="Times New Roman"/>
          <w:sz w:val="22"/>
        </w:rPr>
      </w:pPr>
    </w:p>
    <w:p w14:paraId="0F289D0B" w14:textId="3BED45C4" w:rsidR="008A24CD" w:rsidRPr="008651FA" w:rsidRDefault="008A24CD" w:rsidP="008A24CD">
      <w:pPr>
        <w:pStyle w:val="MDPI35textbeforelist"/>
        <w:spacing w:line="480" w:lineRule="auto"/>
        <w:ind w:left="0" w:firstLine="0"/>
        <w:jc w:val="left"/>
        <w:rPr>
          <w:rFonts w:ascii="Times New Roman" w:hAnsi="Times New Roman"/>
          <w:sz w:val="22"/>
        </w:rPr>
      </w:pPr>
      <w:r w:rsidRPr="008651FA">
        <w:rPr>
          <w:rFonts w:ascii="Times New Roman" w:hAnsi="Times New Roman"/>
          <w:sz w:val="22"/>
        </w:rPr>
        <w:lastRenderedPageBreak/>
        <w:t>Particulate matter (PM) is formed through the atmospheric oxidation of NO</w:t>
      </w:r>
      <w:r w:rsidRPr="008651FA">
        <w:rPr>
          <w:rFonts w:ascii="Times New Roman" w:hAnsi="Times New Roman"/>
          <w:sz w:val="22"/>
          <w:vertAlign w:val="subscript"/>
        </w:rPr>
        <w:t>x</w:t>
      </w:r>
      <w:r w:rsidRPr="008651FA">
        <w:rPr>
          <w:rFonts w:ascii="Times New Roman" w:hAnsi="Times New Roman"/>
          <w:sz w:val="22"/>
        </w:rPr>
        <w:t xml:space="preserve"> and </w:t>
      </w:r>
      <w:proofErr w:type="spellStart"/>
      <w:r w:rsidRPr="008651FA">
        <w:rPr>
          <w:rFonts w:ascii="Times New Roman" w:hAnsi="Times New Roman"/>
          <w:sz w:val="22"/>
        </w:rPr>
        <w:t>SO</w:t>
      </w:r>
      <w:r w:rsidRPr="008651FA">
        <w:rPr>
          <w:rFonts w:ascii="Times New Roman" w:hAnsi="Times New Roman"/>
          <w:sz w:val="22"/>
          <w:vertAlign w:val="subscript"/>
        </w:rPr>
        <w:t>x</w:t>
      </w:r>
      <w:proofErr w:type="spellEnd"/>
      <w:r w:rsidRPr="008651FA">
        <w:rPr>
          <w:rFonts w:ascii="Times New Roman" w:hAnsi="Times New Roman"/>
          <w:sz w:val="22"/>
          <w:vertAlign w:val="subscript"/>
        </w:rPr>
        <w:t xml:space="preserve"> </w:t>
      </w:r>
      <w:r w:rsidRPr="008651FA">
        <w:rPr>
          <w:rFonts w:ascii="Times New Roman" w:hAnsi="Times New Roman"/>
          <w:sz w:val="22"/>
        </w:rPr>
        <w:t xml:space="preserve">causing a lot of human health problems </w:t>
      </w:r>
      <w:r w:rsidRPr="008651FA">
        <w:rPr>
          <w:rFonts w:ascii="Times New Roman" w:hAnsi="Times New Roman"/>
          <w:sz w:val="22"/>
        </w:rPr>
        <w:fldChar w:fldCharType="begin" w:fldLock="1"/>
      </w:r>
      <w:r>
        <w:rPr>
          <w:rFonts w:ascii="Times New Roman" w:hAnsi="Times New Roman"/>
          <w:sz w:val="22"/>
        </w:rPr>
        <w:instrText>ADDIN CSL_CITATION {"citationItems":[{"id":"ITEM-1","itemData":{"DOI":"10.1016/j.scitotenv.2020.140091","ISSN":"18791026","PMID":"32559544","abstract":"Source apportionments have become increasingly performed to determine the origins of ambient particulate pollution. The results can be helpful in designing mitigation strategies to improve air quality. Source specific particulate matter (PM) concentrations are also being used in health effects studies to be able to focus attention on those sources most likely to be responsible for the observed adverse health effects. In 2015, the World Health Organization (WHO) released its initial compilation of source apportionment studies published through August 2014. This initial database was described by Karagulian et al. (Atmospheric Environment120 (2015) 475–483). In the present report, a new compilation has been prepared of those apportionments published since 2014 through December 2019. In addition, the database has been expanded to include apportionments of heavy metals, water-soluble components, and carbonaceous components in ambient PM. As a result of this work, we have developed and presented some perspectives on source apportionment going forward. We also have made a series of recommendations for source apportionment studies and reporting them. It is essential for papers to provide a minimum set of information so that the study can be adequately assessed, and the results utilized by others in making policy decisions or as part of other scientific studies.","author":[{"dropping-particle":"","family":"Hopke","given":"Philip K.","non-dropping-particle":"","parse-names":false,"suffix":""},{"dropping-particle":"","family":"Dai","given":"Qili","non-dropping-particle":"","parse-names":false,"suffix":""},{"dropping-particle":"","family":"Li","given":"Linxuan","non-dropping-particle":"","parse-names":false,"suffix":""},{"dropping-particle":"","family":"Feng","given":"Yinchang","non-dropping-particle":"","parse-names":false,"suffix":""}],"container-title":"Science of the Total Environment","id":"ITEM-1","issued":{"date-parts":[["2020"]]},"page":"140091","publisher":"The Authors","title":"Global review of recent source apportionments for airborne particulate matter","type":"article-journal","volume":"740"},"uris":["http://www.mendeley.com/documents/?uuid=1c7b4c0f-cd09-43f9-aa41-572cb282ce4e"]},{"id":"ITEM-2","itemData":{"DOI":"10.1016/j.apr.2018.02.006","ISSN":"13091042","abstract":"Air pollution is an important matter for local authorities in Bogotá (Colombia), with PM10 and PM2.5 being the most serious air pollutants in the city. In the present study, data mining algorithms were used to establish the most influential meteorological variables on air pollution in Bogotá and to develop models to forecast PM10 and PM2.5 to help local authorities prevent human exposure to high levels of pollution. To achieve the main objectives, data were collected between 2010 and 2015 from 13 local stations in a monitoring network. A data quality analysis was done to determine the most and least polluted stations. Kennedy and Parque Simon Bolivar stations were selected as the most and least polluted stations, respectively, to use to develop the forecasting models. Principal Component Analysis (PCA) was used to determine the variables that most influenced the behaviour of the data. Then, models were developed to forecast average PM10 and PM2.5 concentrations for the next day using Artificial Neural Networks (ANN) and k-means clustering. The input variables for the ANN models were selected based on the PCA results. k-means clustering was applied to group the data, and the results were used as inputs to the forecasting models. It was possible to forecast average PM10 and PM2.5 concentrations for the next 24 h by developing forecasting models that used Multi-Layer Perceptron with the consideration of k-means clustering results. It was demonstrated that considering clustering results as input variables improves PM10 and PM2.5 forecasting models for the most polluted station. Finally, hourly forecast models for PM10 and PM2.5 were developed and evaluated at Kennedy station. The developed models can be used as references for the issuance of early warnings for high air pollution because of their ability to accurately predict high pollution incidents.","author":[{"dropping-particle":"","family":"Franceschi","given":"Fabiana","non-dropping-particle":"","parse-names":false,"suffix":""},{"dropping-particle":"","family":"Cobo","given":"Martha","non-dropping-particle":"","parse-names":false,"suffix":""},{"dropping-particle":"","family":"Figueredo","given":"Manuel","non-dropping-particle":"","parse-names":false,"suffix":""}],"container-title":"Atmospheric Pollution Research","id":"ITEM-2","issue":"5","issued":{"date-parts":[["2018"]]},"page":"912-922","publisher":"Elsevier B.V.","title":"Discovering relationships and forecasting PM10 and PM2.5 concentrations in Bogotá Colombia, using Artificial Neural Networks, Principal Component Analysis, and k-means clustering","type":"article-journal","volume":"9"},"uris":["http://www.mendeley.com/documents/?uuid=7371f199-6c20-441c-89c8-b8aee67c9441"]}],"mendeley":{"formattedCitation":"(Franceschi et al., 2018; Hopke et al., 2020)","plainTextFormattedCitation":"(Franceschi et al., 2018; Hopke et al., 2020)","previouslyFormattedCitation":"[17,18]"},"properties":{"noteIndex":0},"schema":"https://github.com/citation-style-language/schema/raw/master/csl-citation.json"}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(Franceschi et al., 2018; Hopke et al., 2020)</w:t>
      </w:r>
      <w:r w:rsidRPr="008651FA">
        <w:rPr>
          <w:rFonts w:ascii="Times New Roman" w:hAnsi="Times New Roman"/>
          <w:sz w:val="22"/>
        </w:rPr>
        <w:fldChar w:fldCharType="end"/>
      </w:r>
      <w:r w:rsidRPr="008651FA">
        <w:rPr>
          <w:rFonts w:ascii="Times New Roman" w:hAnsi="Times New Roman"/>
          <w:sz w:val="22"/>
        </w:rPr>
        <w:t xml:space="preserve">. According to </w:t>
      </w:r>
      <w:r w:rsidRPr="008651FA">
        <w:rPr>
          <w:rFonts w:ascii="Times New Roman" w:hAnsi="Times New Roman"/>
          <w:sz w:val="22"/>
        </w:rPr>
        <w:fldChar w:fldCharType="begin" w:fldLock="1"/>
      </w:r>
      <w:r>
        <w:rPr>
          <w:rFonts w:ascii="Times New Roman" w:hAnsi="Times New Roman"/>
          <w:sz w:val="22"/>
        </w:rPr>
        <w:instrText>ADDIN CSL_CITATION {"citationItems":[{"id":"ITEM-1","itemData":{"abstract":"The National Emission Model for Agriculture (NEMA) is used to calculate emissions to air from agricultural activities in the Netherlands on a national scale. Emissions of ammonia (NH3) and other N-compounds (NOx and N2O) from animal housing, manure storage, manure application and grazing are assessed using a Total Ammoniacal Nitrogen (TAN) flow model. Furthermore, emissions from application of inorganic N-fertilizer, compost and sewage sludge, cultivation of organic soils, crop residues, and ripening of crops are calculated. NEMA is also used to estimate emissions of methane (CH4) from enteric fermentation and manure management, particulate matter (PM) from manure management and agricultural soils, and carbon dioxide (CO2) from liming. Emissions are calculated in accordance with international guidance criteria and reported in an annual Informative Inventory Report (IIR; for air pollutants) and National Inventory Report (NIR; for greenhouse gases). This methodology report describes the outline and backgrounds of the emission calculations with NEMA.","author":[{"dropping-particle":"","family":"Vonk","given":"J","non-dropping-particle":"","parse-names":false,"suffix":""},{"dropping-particle":"","family":"Bannink","given":"A","non-dropping-particle":"","parse-names":false,"suffix":""},{"dropping-particle":"","family":"Bruggen","given":"C.","non-dropping-particle":"van","parse-names":false,"suffix":""},{"dropping-particle":"","family":"Groenestein","given":"C.M.","non-dropping-particle":"","parse-names":false,"suffix":""},{"dropping-particle":"","family":"Huijsmans","given":"J.F.M.","non-dropping-particle":"","parse-names":false,"suffix":""},{"dropping-particle":"","family":"Kolk","given":"J.W.H.","non-dropping-particle":"van der","parse-names":false,"suffix":""},{"dropping-particle":"","family":"Luesink","given":"H.H.","non-dropping-particle":"","parse-names":false,"suffix":""},{"dropping-particle":"","family":"Oude Voshaar","given":"S.V.","non-dropping-particle":"","parse-names":false,"suffix":""},{"dropping-particle":"","family":"Sluis","given":"S.M.","non-dropping-particle":"","parse-names":false,"suffix":""},{"dropping-particle":"","family":"Velthof","given":"G.L.","non-dropping-particle":"","parse-names":false,"suffix":""}],"id":"ITEM-1","issue":"x","issued":{"date-parts":[["2016"]]},"number-of-pages":"166","title":"Methodology for estimating emissions from agriculture in the Netherlands.","type":"report"},"uris":["http://www.mendeley.com/documents/?uuid=cab213b1-349b-46e7-9a68-4c4dea28c9f1"]}],"mendeley":{"formattedCitation":"(Vonk et al., 2016)","manualFormatting":"Vonk et al., (2016)","plainTextFormattedCitation":"(Vonk et al., 2016)","previouslyFormattedCitation":"[16]"},"properties":{"noteIndex":0},"schema":"https://github.com/citation-style-language/schema/raw/master/csl-citation.json"}</w:instrText>
      </w:r>
      <w:r w:rsidRPr="008651FA">
        <w:rPr>
          <w:rFonts w:ascii="Times New Roman" w:hAnsi="Times New Roman"/>
          <w:sz w:val="22"/>
        </w:rPr>
        <w:fldChar w:fldCharType="separate"/>
      </w:r>
      <w:r w:rsidRPr="008A6D16">
        <w:rPr>
          <w:rFonts w:ascii="Times New Roman" w:hAnsi="Times New Roman"/>
          <w:noProof/>
          <w:sz w:val="22"/>
        </w:rPr>
        <w:t xml:space="preserve">Vonk et al., </w:t>
      </w:r>
      <w:r>
        <w:rPr>
          <w:rFonts w:ascii="Times New Roman" w:hAnsi="Times New Roman"/>
          <w:noProof/>
          <w:sz w:val="22"/>
        </w:rPr>
        <w:t>(</w:t>
      </w:r>
      <w:r w:rsidRPr="008A6D16">
        <w:rPr>
          <w:rFonts w:ascii="Times New Roman" w:hAnsi="Times New Roman"/>
          <w:noProof/>
          <w:sz w:val="22"/>
        </w:rPr>
        <w:t>2016)</w:t>
      </w:r>
      <w:r w:rsidRPr="008651FA">
        <w:rPr>
          <w:rFonts w:ascii="Times New Roman" w:hAnsi="Times New Roman"/>
          <w:sz w:val="22"/>
        </w:rPr>
        <w:fldChar w:fldCharType="end"/>
      </w:r>
      <w:r w:rsidRPr="008651FA">
        <w:rPr>
          <w:rFonts w:ascii="Times New Roman" w:hAnsi="Times New Roman"/>
          <w:sz w:val="22"/>
        </w:rPr>
        <w:t>, PM is formed during soil cultivation, harvesting, cleaning, and drying in wet climates. The humidity in the municipality of Villeta is about 85%. Hence, we consider PM formation, and it was calculated as shown in Eq. (14) where A is the crop area (Ha), n is the number of times that operations are carried out, and EF</w:t>
      </w:r>
      <w:r w:rsidRPr="008651FA">
        <w:rPr>
          <w:rFonts w:ascii="Times New Roman" w:hAnsi="Times New Roman"/>
          <w:sz w:val="22"/>
          <w:vertAlign w:val="subscript"/>
        </w:rPr>
        <w:t>7</w:t>
      </w:r>
      <w:r w:rsidRPr="008651FA">
        <w:rPr>
          <w:rFonts w:ascii="Times New Roman" w:hAnsi="Times New Roman"/>
          <w:sz w:val="22"/>
        </w:rPr>
        <w:t xml:space="preserve"> is the emission factor whose values are 0.25 kg/ha for PM</w:t>
      </w:r>
      <w:r w:rsidRPr="008651FA">
        <w:rPr>
          <w:rFonts w:ascii="Times New Roman" w:hAnsi="Times New Roman"/>
          <w:sz w:val="22"/>
          <w:vertAlign w:val="subscript"/>
        </w:rPr>
        <w:t>10</w:t>
      </w:r>
      <w:r w:rsidRPr="008651FA">
        <w:rPr>
          <w:rFonts w:ascii="Times New Roman" w:hAnsi="Times New Roman"/>
          <w:sz w:val="22"/>
        </w:rPr>
        <w:t xml:space="preserve"> and 0.015 for PM</w:t>
      </w:r>
      <w:r w:rsidRPr="008651FA">
        <w:rPr>
          <w:rFonts w:ascii="Times New Roman" w:hAnsi="Times New Roman"/>
          <w:sz w:val="22"/>
          <w:vertAlign w:val="subscript"/>
        </w:rPr>
        <w:t>2.5</w:t>
      </w:r>
      <w:r w:rsidRPr="008651FA">
        <w:rPr>
          <w:rFonts w:ascii="Times New Roman" w:hAnsi="Times New Roman"/>
          <w:sz w:val="22"/>
        </w:rPr>
        <w:t>.</w:t>
      </w:r>
    </w:p>
    <w:p w14:paraId="241D732F" w14:textId="77777777" w:rsidR="008A24CD" w:rsidRPr="008651FA" w:rsidRDefault="008A24CD" w:rsidP="008A24CD">
      <w:pPr>
        <w:pStyle w:val="MDPI35textbeforelist"/>
        <w:spacing w:line="480" w:lineRule="auto"/>
        <w:jc w:val="left"/>
        <w:rPr>
          <w:rFonts w:ascii="Times New Roman" w:hAnsi="Times New Roman"/>
          <w:sz w:val="22"/>
        </w:rPr>
      </w:pPr>
    </w:p>
    <w:p w14:paraId="18D890CB"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
          <m:sSubPr>
            <m:ctrlPr>
              <w:rPr>
                <w:rFonts w:ascii="Cambria Math" w:hAnsi="Cambria Math"/>
                <w:iCs/>
                <w:sz w:val="22"/>
              </w:rPr>
            </m:ctrlPr>
          </m:sSubPr>
          <m:e>
            <m:r>
              <m:rPr>
                <m:sty m:val="p"/>
              </m:rPr>
              <w:rPr>
                <w:rFonts w:ascii="Cambria Math" w:hAnsi="Cambria Math"/>
                <w:sz w:val="22"/>
              </w:rPr>
              <m:t>PM</m:t>
            </m:r>
          </m:e>
          <m:sub>
            <m:r>
              <m:rPr>
                <m:sty m:val="p"/>
              </m:rPr>
              <w:rPr>
                <w:rFonts w:ascii="Cambria Math" w:hAnsi="Cambria Math"/>
                <w:sz w:val="22"/>
              </w:rPr>
              <m:t>x</m:t>
            </m:r>
          </m:sub>
        </m:sSub>
        <m:d>
          <m:dPr>
            <m:ctrlPr>
              <w:rPr>
                <w:rFonts w:ascii="Cambria Math" w:hAnsi="Cambria Math"/>
                <w:iCs/>
                <w:sz w:val="22"/>
              </w:rPr>
            </m:ctrlPr>
          </m:dPr>
          <m:e>
            <m:f>
              <m:fPr>
                <m:ctrlPr>
                  <w:rPr>
                    <w:rFonts w:ascii="Cambria Math" w:hAnsi="Cambria Math"/>
                    <w:iCs/>
                    <w:sz w:val="22"/>
                  </w:rPr>
                </m:ctrlPr>
              </m:fPr>
              <m:num>
                <m:r>
                  <m:rPr>
                    <m:sty m:val="p"/>
                  </m:rPr>
                  <w:rPr>
                    <w:rFonts w:ascii="Cambria Math" w:hAnsi="Cambria Math"/>
                    <w:sz w:val="22"/>
                  </w:rPr>
                  <m:t>kg PM</m:t>
                </m:r>
              </m:num>
              <m:den>
                <m:r>
                  <m:rPr>
                    <m:sty m:val="p"/>
                  </m:rPr>
                  <w:rPr>
                    <w:rFonts w:ascii="Cambria Math" w:hAnsi="Cambria Math"/>
                    <w:sz w:val="22"/>
                  </w:rPr>
                  <m:t>year</m:t>
                </m:r>
              </m:den>
            </m:f>
          </m:e>
        </m:d>
        <m:r>
          <m:rPr>
            <m:sty m:val="p"/>
          </m:rPr>
          <w:rPr>
            <w:rFonts w:ascii="Cambria Math" w:hAnsi="Cambria Math"/>
            <w:sz w:val="22"/>
          </w:rPr>
          <m:t>=A*n*</m:t>
        </m:r>
        <m:sSub>
          <m:sSubPr>
            <m:ctrlPr>
              <w:rPr>
                <w:rFonts w:ascii="Cambria Math" w:hAnsi="Cambria Math"/>
                <w:iCs/>
                <w:sz w:val="22"/>
              </w:rPr>
            </m:ctrlPr>
          </m:sSubPr>
          <m:e>
            <m:r>
              <m:rPr>
                <m:sty m:val="p"/>
              </m:rPr>
              <w:rPr>
                <w:rFonts w:ascii="Cambria Math" w:hAnsi="Cambria Math"/>
                <w:sz w:val="22"/>
              </w:rPr>
              <m:t>EF</m:t>
            </m:r>
          </m:e>
          <m:sub>
            <m:r>
              <m:rPr>
                <m:sty m:val="p"/>
              </m:rPr>
              <w:rPr>
                <w:rFonts w:ascii="Cambria Math" w:hAnsi="Cambria Math"/>
                <w:sz w:val="22"/>
              </w:rPr>
              <m:t>7</m:t>
            </m:r>
          </m:sub>
        </m:sSub>
      </m:oMath>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t>Eq. (14)</w:t>
      </w:r>
    </w:p>
    <w:p w14:paraId="4737707F" w14:textId="77777777" w:rsidR="008A24CD" w:rsidRPr="008651FA" w:rsidRDefault="008A24CD" w:rsidP="008A24CD">
      <w:pPr>
        <w:pStyle w:val="MDPI35textbeforelist"/>
        <w:spacing w:line="480" w:lineRule="auto"/>
        <w:jc w:val="left"/>
        <w:rPr>
          <w:rFonts w:ascii="Times New Roman" w:hAnsi="Times New Roman"/>
          <w:iCs/>
          <w:sz w:val="22"/>
        </w:rPr>
      </w:pPr>
    </w:p>
    <w:p w14:paraId="34E38D2E" w14:textId="6225B47E" w:rsidR="008A24CD" w:rsidRPr="008651FA" w:rsidRDefault="008A24CD" w:rsidP="008A24CD">
      <w:pPr>
        <w:pStyle w:val="MDPI35textbeforelist"/>
        <w:spacing w:line="480" w:lineRule="auto"/>
        <w:ind w:left="0" w:firstLine="0"/>
        <w:jc w:val="left"/>
        <w:rPr>
          <w:rFonts w:ascii="Times New Roman" w:hAnsi="Times New Roman"/>
          <w:iCs/>
          <w:sz w:val="22"/>
        </w:rPr>
      </w:pPr>
      <w:r w:rsidRPr="008651FA">
        <w:rPr>
          <w:rFonts w:ascii="Times New Roman" w:hAnsi="Times New Roman"/>
          <w:iCs/>
          <w:sz w:val="22"/>
        </w:rPr>
        <w:t>Phosphorous emissions also occurred in the facility due to the application of manure and crop residues that are commonly employed for fertilizing. In this case, three kinds of phosphorous were considered: 1) leaching of soluble phosphate to groundwater (Eq. (15))</w:t>
      </w:r>
      <w:r>
        <w:rPr>
          <w:rFonts w:ascii="Times New Roman" w:hAnsi="Times New Roman"/>
          <w:iCs/>
          <w:sz w:val="22"/>
        </w:rPr>
        <w:t>;</w:t>
      </w:r>
      <w:r w:rsidRPr="008651FA">
        <w:rPr>
          <w:rFonts w:ascii="Times New Roman" w:hAnsi="Times New Roman"/>
          <w:iCs/>
          <w:sz w:val="22"/>
        </w:rPr>
        <w:t xml:space="preserve"> 2) run-off of soluble phosphate to surface water (Eq. (16))</w:t>
      </w:r>
      <w:r>
        <w:rPr>
          <w:rFonts w:ascii="Times New Roman" w:hAnsi="Times New Roman"/>
          <w:iCs/>
          <w:sz w:val="22"/>
        </w:rPr>
        <w:t>;</w:t>
      </w:r>
      <w:r w:rsidRPr="008651FA">
        <w:rPr>
          <w:rFonts w:ascii="Times New Roman" w:hAnsi="Times New Roman"/>
          <w:iCs/>
          <w:sz w:val="22"/>
        </w:rPr>
        <w:t xml:space="preserve"> and water erosion of soil particles containing phosphorous (Eq. (17)) </w:t>
      </w:r>
      <w:r w:rsidRPr="008651FA">
        <w:rPr>
          <w:rFonts w:ascii="Times New Roman" w:hAnsi="Times New Roman"/>
          <w:iCs/>
          <w:sz w:val="22"/>
        </w:rPr>
        <w:fldChar w:fldCharType="begin" w:fldLock="1"/>
      </w:r>
      <w:r>
        <w:rPr>
          <w:rFonts w:ascii="Times New Roman" w:hAnsi="Times New Roman"/>
          <w:iCs/>
          <w:sz w:val="22"/>
        </w:rPr>
        <w:instrText>ADDIN CSL_CITATION {"citationItems":[{"id":"ITEM-1","itemData":{"author":[{"dropping-particle":"","family":"Nemecek","given":"Thomas","non-dropping-particle":"","parse-names":false,"suffix":""},{"dropping-particle":"","family":"Bengoa","given":"Xavier","non-dropping-particle":"","parse-names":false,"suffix":""},{"dropping-particle":"","family":"Lansche","given":"Jens","non-dropping-particle":"","parse-names":false,"suffix":""},{"dropping-particle":"","family":"Mouron","given":"Patrik","non-dropping-particle":"","parse-names":false,"suffix":""},{"dropping-particle":"","family":"Rossi","given":"Vincent","non-dropping-particle":"","parse-names":false,"suffix":""},{"dropping-particle":"","family":"Humbert","given":"Sebastian","non-dropping-particle":"","parse-names":false,"suffix":""}],"id":"ITEM-1","issue":"July","issued":{"date-parts":[["2014"]]},"number-of-pages":"80","publisher-place":"Lausanne and Zurich, Switzerland","title":"Methodological Guidelines for the Life Cycle Inventory of Agricultural Products","type":"report"},"uris":["http://www.mendeley.com/documents/?uuid=f2318c4e-9d58-4a16-9980-a07e1c55d4b3"]}],"mendeley":{"formattedCitation":"(Nemecek et al., 2014)","plainTextFormattedCitation":"(Nemecek et al., 2014)","previouslyFormattedCitation":"[8]"},"properties":{"noteIndex":0},"schema":"https://github.com/citation-style-language/schema/raw/master/csl-citation.json"}</w:instrText>
      </w:r>
      <w:r w:rsidRPr="008651FA">
        <w:rPr>
          <w:rFonts w:ascii="Times New Roman" w:hAnsi="Times New Roman"/>
          <w:iCs/>
          <w:sz w:val="22"/>
        </w:rPr>
        <w:fldChar w:fldCharType="separate"/>
      </w:r>
      <w:r w:rsidRPr="008A24CD">
        <w:rPr>
          <w:rFonts w:ascii="Times New Roman" w:hAnsi="Times New Roman"/>
          <w:iCs/>
          <w:noProof/>
          <w:sz w:val="22"/>
        </w:rPr>
        <w:t>(Nemecek et al., 2014)</w:t>
      </w:r>
      <w:r w:rsidRPr="008651FA">
        <w:rPr>
          <w:rFonts w:ascii="Times New Roman" w:hAnsi="Times New Roman"/>
          <w:iCs/>
          <w:sz w:val="22"/>
        </w:rPr>
        <w:fldChar w:fldCharType="end"/>
      </w:r>
      <w:r w:rsidRPr="008651FA">
        <w:rPr>
          <w:rFonts w:ascii="Times New Roman" w:hAnsi="Times New Roman"/>
          <w:iCs/>
          <w:sz w:val="22"/>
        </w:rPr>
        <w:t xml:space="preserve">. </w:t>
      </w:r>
    </w:p>
    <w:p w14:paraId="18ABFDC6" w14:textId="77777777" w:rsidR="008A24CD" w:rsidRPr="008651FA" w:rsidRDefault="008A24CD" w:rsidP="008A24CD">
      <w:pPr>
        <w:pStyle w:val="MDPI35textbeforelist"/>
        <w:spacing w:line="480" w:lineRule="auto"/>
        <w:jc w:val="left"/>
        <w:rPr>
          <w:rFonts w:ascii="Times New Roman" w:hAnsi="Times New Roman"/>
          <w:iCs/>
          <w:sz w:val="22"/>
        </w:rPr>
      </w:pPr>
    </w:p>
    <w:p w14:paraId="1933432A" w14:textId="77777777" w:rsidR="008A24CD" w:rsidRPr="008651FA" w:rsidRDefault="0009182D" w:rsidP="008A24CD">
      <w:pPr>
        <w:pStyle w:val="MDPI35textbeforelist"/>
        <w:spacing w:line="480" w:lineRule="auto"/>
        <w:ind w:left="0" w:firstLine="0"/>
        <w:jc w:val="left"/>
        <w:rPr>
          <w:rFonts w:ascii="Times New Roman" w:hAnsi="Times New Roman"/>
          <w:sz w:val="22"/>
        </w:rPr>
      </w:pPr>
      <m:oMath>
        <m:sSub>
          <m:sSubPr>
            <m:ctrlPr>
              <w:rPr>
                <w:rFonts w:ascii="Cambria Math" w:hAnsi="Cambria Math"/>
                <w:sz w:val="22"/>
              </w:rPr>
            </m:ctrlPr>
          </m:sSubPr>
          <m:e>
            <m:r>
              <m:rPr>
                <m:sty m:val="p"/>
              </m:rPr>
              <w:rPr>
                <w:rFonts w:ascii="Cambria Math" w:hAnsi="Cambria Math"/>
                <w:sz w:val="22"/>
              </w:rPr>
              <m:t>P</m:t>
            </m:r>
          </m:e>
          <m:sub>
            <m:r>
              <m:rPr>
                <m:sty m:val="p"/>
              </m:rPr>
              <w:rPr>
                <w:rFonts w:ascii="Cambria Math" w:hAnsi="Cambria Math"/>
                <w:sz w:val="22"/>
              </w:rPr>
              <m:t>gw</m:t>
            </m:r>
          </m:sub>
        </m:sSub>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P</m:t>
            </m:r>
          </m:e>
          <m:sub>
            <m:r>
              <m:rPr>
                <m:sty m:val="p"/>
              </m:rPr>
              <w:rPr>
                <w:rFonts w:ascii="Cambria Math" w:hAnsi="Cambria Math"/>
                <w:sz w:val="22"/>
              </w:rPr>
              <m:t>gwl</m:t>
            </m:r>
          </m:sub>
        </m:sSub>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F</m:t>
            </m:r>
          </m:e>
          <m:sub>
            <m:r>
              <m:rPr>
                <m:sty m:val="p"/>
              </m:rPr>
              <w:rPr>
                <w:rFonts w:ascii="Cambria Math" w:hAnsi="Cambria Math"/>
                <w:sz w:val="22"/>
              </w:rPr>
              <m:t>gw</m:t>
            </m:r>
          </m:sub>
        </m:sSub>
      </m:oMath>
      <w:r w:rsidR="008A24CD" w:rsidRPr="008651FA">
        <w:rPr>
          <w:rFonts w:ascii="Times New Roman" w:hAnsi="Times New Roman"/>
          <w:sz w:val="22"/>
        </w:rPr>
        <w:tab/>
      </w:r>
      <w:r w:rsidR="008A24CD" w:rsidRPr="008651FA">
        <w:rPr>
          <w:rFonts w:ascii="Times New Roman" w:hAnsi="Times New Roman"/>
          <w:sz w:val="22"/>
        </w:rPr>
        <w:tab/>
      </w:r>
      <w:r w:rsidR="008A24CD">
        <w:rPr>
          <w:rFonts w:ascii="Times New Roman" w:hAnsi="Times New Roman"/>
          <w:sz w:val="22"/>
        </w:rPr>
        <w:t xml:space="preserve"> </w:t>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t>Eq. (15)</w:t>
      </w:r>
    </w:p>
    <w:p w14:paraId="5EA45881" w14:textId="77777777" w:rsidR="008A24CD" w:rsidRPr="008651FA" w:rsidRDefault="0009182D" w:rsidP="008A24CD">
      <w:pPr>
        <w:pStyle w:val="MDPI35textbeforelist"/>
        <w:spacing w:line="480" w:lineRule="auto"/>
        <w:ind w:left="0" w:firstLine="0"/>
        <w:jc w:val="left"/>
        <w:rPr>
          <w:rFonts w:ascii="Times New Roman" w:hAnsi="Times New Roman"/>
          <w:sz w:val="22"/>
        </w:rPr>
      </w:pPr>
      <m:oMath>
        <m:sSub>
          <m:sSubPr>
            <m:ctrlPr>
              <w:rPr>
                <w:rFonts w:ascii="Cambria Math" w:hAnsi="Cambria Math"/>
                <w:iCs/>
                <w:sz w:val="22"/>
              </w:rPr>
            </m:ctrlPr>
          </m:sSubPr>
          <m:e>
            <m:r>
              <m:rPr>
                <m:sty m:val="p"/>
              </m:rPr>
              <w:rPr>
                <w:rFonts w:ascii="Cambria Math" w:hAnsi="Cambria Math"/>
                <w:sz w:val="22"/>
              </w:rPr>
              <m:t>P</m:t>
            </m:r>
          </m:e>
          <m:sub>
            <m:r>
              <m:rPr>
                <m:sty m:val="p"/>
              </m:rPr>
              <w:rPr>
                <w:rFonts w:ascii="Cambria Math" w:hAnsi="Cambria Math"/>
                <w:sz w:val="22"/>
              </w:rPr>
              <m:t>ro</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P</m:t>
            </m:r>
          </m:e>
          <m:sub>
            <m:r>
              <m:rPr>
                <m:sty m:val="p"/>
              </m:rPr>
              <w:rPr>
                <w:rFonts w:ascii="Cambria Math" w:hAnsi="Cambria Math"/>
                <w:sz w:val="22"/>
              </w:rPr>
              <m:t>rol</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F</m:t>
            </m:r>
          </m:e>
          <m:sub>
            <m:r>
              <m:rPr>
                <m:sty m:val="p"/>
              </m:rPr>
              <w:rPr>
                <w:rFonts w:ascii="Cambria Math" w:hAnsi="Cambria Math"/>
                <w:sz w:val="22"/>
              </w:rPr>
              <m:t>ro</m:t>
            </m:r>
          </m:sub>
        </m:sSub>
      </m:oMath>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t>Eq. (16)</w:t>
      </w:r>
    </w:p>
    <w:p w14:paraId="61E43A2F"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
          <m:sSubPr>
            <m:ctrlPr>
              <w:rPr>
                <w:rFonts w:ascii="Cambria Math" w:hAnsi="Cambria Math"/>
                <w:iCs/>
                <w:sz w:val="22"/>
              </w:rPr>
            </m:ctrlPr>
          </m:sSubPr>
          <m:e>
            <m:r>
              <m:rPr>
                <m:sty m:val="p"/>
              </m:rPr>
              <w:rPr>
                <w:rFonts w:ascii="Cambria Math" w:hAnsi="Cambria Math"/>
                <w:sz w:val="22"/>
              </w:rPr>
              <m:t>P</m:t>
            </m:r>
          </m:e>
          <m:sub>
            <m:r>
              <m:rPr>
                <m:sty m:val="p"/>
              </m:rPr>
              <w:rPr>
                <w:rFonts w:ascii="Cambria Math" w:hAnsi="Cambria Math"/>
                <w:sz w:val="22"/>
              </w:rPr>
              <m:t>er</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S</m:t>
            </m:r>
          </m:e>
          <m:sub>
            <m:r>
              <m:rPr>
                <m:sty m:val="p"/>
              </m:rPr>
              <w:rPr>
                <w:rFonts w:ascii="Cambria Math" w:hAnsi="Cambria Math"/>
                <w:sz w:val="22"/>
              </w:rPr>
              <m:t>er</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P</m:t>
            </m:r>
          </m:e>
          <m:sub>
            <m:r>
              <m:rPr>
                <m:sty m:val="p"/>
              </m:rPr>
              <w:rPr>
                <w:rFonts w:ascii="Cambria Math" w:hAnsi="Cambria Math"/>
                <w:sz w:val="22"/>
              </w:rPr>
              <m:t>cs</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F</m:t>
            </m:r>
          </m:e>
          <m:sub>
            <m:r>
              <m:rPr>
                <m:sty m:val="p"/>
              </m:rPr>
              <w:rPr>
                <w:rFonts w:ascii="Cambria Math" w:hAnsi="Cambria Math"/>
                <w:sz w:val="22"/>
              </w:rPr>
              <m:t>r</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F</m:t>
            </m:r>
          </m:e>
          <m:sub>
            <m:r>
              <m:rPr>
                <m:sty m:val="p"/>
              </m:rPr>
              <w:rPr>
                <w:rFonts w:ascii="Cambria Math" w:hAnsi="Cambria Math"/>
                <w:sz w:val="22"/>
              </w:rPr>
              <m:t>erw</m:t>
            </m:r>
          </m:sub>
        </m:sSub>
      </m:oMath>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Pr>
          <w:rFonts w:ascii="Times New Roman" w:hAnsi="Times New Roman"/>
          <w:iCs/>
          <w:sz w:val="22"/>
        </w:rPr>
        <w:t>E</w:t>
      </w:r>
      <w:r w:rsidR="008A24CD" w:rsidRPr="008651FA">
        <w:rPr>
          <w:rFonts w:ascii="Times New Roman" w:hAnsi="Times New Roman"/>
          <w:iCs/>
          <w:sz w:val="22"/>
        </w:rPr>
        <w:t>q. (17)</w:t>
      </w:r>
    </w:p>
    <w:p w14:paraId="0B98F771" w14:textId="77777777" w:rsidR="008A24CD" w:rsidRPr="008651FA" w:rsidRDefault="008A24CD" w:rsidP="008A24CD">
      <w:pPr>
        <w:pStyle w:val="MDPI35textbeforelist"/>
        <w:spacing w:line="480" w:lineRule="auto"/>
        <w:jc w:val="left"/>
        <w:rPr>
          <w:rFonts w:ascii="Times New Roman" w:hAnsi="Times New Roman"/>
          <w:iCs/>
          <w:sz w:val="22"/>
        </w:rPr>
      </w:pPr>
    </w:p>
    <w:p w14:paraId="06595FC7" w14:textId="45E4D2CA" w:rsidR="008A24CD" w:rsidRPr="008A24CD" w:rsidRDefault="008A24CD" w:rsidP="008A24CD">
      <w:pPr>
        <w:pStyle w:val="MDPI35textbeforelist"/>
        <w:spacing w:line="480" w:lineRule="auto"/>
        <w:ind w:left="0" w:firstLine="0"/>
        <w:jc w:val="left"/>
        <w:rPr>
          <w:rFonts w:ascii="Times New Roman" w:hAnsi="Times New Roman"/>
          <w:iCs/>
          <w:sz w:val="22"/>
          <w:lang w:val="es-CO"/>
        </w:rPr>
      </w:pPr>
      <w:r w:rsidRPr="008651FA">
        <w:rPr>
          <w:rFonts w:ascii="Times New Roman" w:hAnsi="Times New Roman"/>
          <w:iCs/>
          <w:sz w:val="22"/>
        </w:rPr>
        <w:t xml:space="preserve">In Eq. (15), </w:t>
      </w:r>
      <w:proofErr w:type="spellStart"/>
      <w:r w:rsidRPr="008651FA">
        <w:rPr>
          <w:rFonts w:ascii="Times New Roman" w:hAnsi="Times New Roman"/>
          <w:iCs/>
          <w:sz w:val="22"/>
        </w:rPr>
        <w:t>P</w:t>
      </w:r>
      <w:r w:rsidRPr="008651FA">
        <w:rPr>
          <w:rFonts w:ascii="Times New Roman" w:hAnsi="Times New Roman"/>
          <w:iCs/>
          <w:sz w:val="22"/>
          <w:vertAlign w:val="subscript"/>
        </w:rPr>
        <w:t>gw</w:t>
      </w:r>
      <w:proofErr w:type="spellEnd"/>
      <w:r w:rsidRPr="008651FA">
        <w:rPr>
          <w:rFonts w:ascii="Times New Roman" w:hAnsi="Times New Roman"/>
          <w:iCs/>
          <w:sz w:val="22"/>
          <w:vertAlign w:val="subscript"/>
        </w:rPr>
        <w:t xml:space="preserve"> </w:t>
      </w:r>
      <w:r w:rsidRPr="008651FA">
        <w:rPr>
          <w:rFonts w:ascii="Times New Roman" w:hAnsi="Times New Roman"/>
          <w:iCs/>
          <w:sz w:val="22"/>
        </w:rPr>
        <w:t>is the amount of phosphorous leached to groundwater (kg/ha*</w:t>
      </w:r>
      <w:r>
        <w:rPr>
          <w:rFonts w:ascii="Times New Roman" w:hAnsi="Times New Roman"/>
          <w:iCs/>
          <w:sz w:val="22"/>
        </w:rPr>
        <w:t>a</w:t>
      </w:r>
      <w:r w:rsidRPr="008651FA">
        <w:rPr>
          <w:rFonts w:ascii="Times New Roman" w:hAnsi="Times New Roman"/>
          <w:iCs/>
          <w:sz w:val="22"/>
        </w:rPr>
        <w:t xml:space="preserve">), </w:t>
      </w:r>
      <w:r>
        <w:rPr>
          <w:rFonts w:ascii="Times New Roman" w:hAnsi="Times New Roman"/>
          <w:iCs/>
          <w:sz w:val="22"/>
        </w:rPr>
        <w:t xml:space="preserve">and </w:t>
      </w:r>
      <w:r w:rsidRPr="008651FA">
        <w:rPr>
          <w:rFonts w:ascii="Times New Roman" w:hAnsi="Times New Roman"/>
          <w:iCs/>
          <w:sz w:val="22"/>
        </w:rPr>
        <w:t>P</w:t>
      </w:r>
      <w:r w:rsidRPr="008651FA">
        <w:rPr>
          <w:rFonts w:ascii="Times New Roman" w:hAnsi="Times New Roman"/>
          <w:iCs/>
          <w:sz w:val="22"/>
          <w:vertAlign w:val="subscript"/>
        </w:rPr>
        <w:t>gwl</w:t>
      </w:r>
      <w:r w:rsidRPr="008651FA">
        <w:rPr>
          <w:rFonts w:ascii="Times New Roman" w:hAnsi="Times New Roman"/>
          <w:iCs/>
          <w:sz w:val="22"/>
        </w:rPr>
        <w:t xml:space="preserve"> is the average quantity of P leached to groundwater </w:t>
      </w:r>
      <w:r>
        <w:rPr>
          <w:rFonts w:ascii="Times New Roman" w:hAnsi="Times New Roman"/>
          <w:iCs/>
          <w:sz w:val="22"/>
        </w:rPr>
        <w:t xml:space="preserve">in </w:t>
      </w:r>
      <w:r w:rsidRPr="008651FA">
        <w:rPr>
          <w:rFonts w:ascii="Times New Roman" w:hAnsi="Times New Roman"/>
          <w:iCs/>
          <w:sz w:val="22"/>
        </w:rPr>
        <w:t>a land category (kg P/ha*</w:t>
      </w:r>
      <w:r>
        <w:rPr>
          <w:rFonts w:ascii="Times New Roman" w:hAnsi="Times New Roman"/>
          <w:iCs/>
          <w:sz w:val="22"/>
        </w:rPr>
        <w:t>a</w:t>
      </w:r>
      <w:r w:rsidRPr="008651FA">
        <w:rPr>
          <w:rFonts w:ascii="Times New Roman" w:hAnsi="Times New Roman"/>
          <w:iCs/>
          <w:sz w:val="22"/>
        </w:rPr>
        <w:t>). In this case, we considered 0.06</w:t>
      </w:r>
      <w:r>
        <w:rPr>
          <w:rFonts w:ascii="Times New Roman" w:hAnsi="Times New Roman"/>
          <w:iCs/>
          <w:sz w:val="22"/>
        </w:rPr>
        <w:t>,</w:t>
      </w:r>
      <w:r w:rsidRPr="008651FA">
        <w:rPr>
          <w:rFonts w:ascii="Times New Roman" w:hAnsi="Times New Roman"/>
          <w:iCs/>
          <w:sz w:val="22"/>
        </w:rPr>
        <w:t xml:space="preserve"> whose value applied </w:t>
      </w:r>
      <w:r>
        <w:rPr>
          <w:rFonts w:ascii="Times New Roman" w:hAnsi="Times New Roman"/>
          <w:iCs/>
          <w:sz w:val="22"/>
        </w:rPr>
        <w:t>to</w:t>
      </w:r>
      <w:r w:rsidRPr="008651FA">
        <w:rPr>
          <w:rFonts w:ascii="Times New Roman" w:hAnsi="Times New Roman"/>
          <w:iCs/>
          <w:sz w:val="22"/>
        </w:rPr>
        <w:t xml:space="preserve"> permanent crops. </w:t>
      </w:r>
      <w:proofErr w:type="spellStart"/>
      <w:r w:rsidRPr="008651FA">
        <w:rPr>
          <w:rFonts w:ascii="Times New Roman" w:hAnsi="Times New Roman"/>
          <w:iCs/>
          <w:sz w:val="22"/>
        </w:rPr>
        <w:t>F</w:t>
      </w:r>
      <w:r w:rsidRPr="008651FA">
        <w:rPr>
          <w:rFonts w:ascii="Times New Roman" w:hAnsi="Times New Roman"/>
          <w:iCs/>
          <w:sz w:val="22"/>
          <w:vertAlign w:val="subscript"/>
        </w:rPr>
        <w:t>gw</w:t>
      </w:r>
      <w:proofErr w:type="spellEnd"/>
      <w:r w:rsidRPr="008651FA">
        <w:rPr>
          <w:rFonts w:ascii="Times New Roman" w:hAnsi="Times New Roman"/>
          <w:iCs/>
          <w:sz w:val="22"/>
          <w:vertAlign w:val="subscript"/>
        </w:rPr>
        <w:t xml:space="preserve"> </w:t>
      </w:r>
      <w:r w:rsidRPr="008651FA">
        <w:rPr>
          <w:rFonts w:ascii="Times New Roman" w:hAnsi="Times New Roman"/>
          <w:iCs/>
          <w:sz w:val="22"/>
        </w:rPr>
        <w:t>is the correction factor for fertilization by slurry or sewage sludge. Herein, sugarcane press-mud was considered as slurry and the correction factor is 1.01. In Eq. (16), P</w:t>
      </w:r>
      <w:r w:rsidRPr="008651FA">
        <w:rPr>
          <w:rFonts w:ascii="Times New Roman" w:hAnsi="Times New Roman"/>
          <w:iCs/>
          <w:sz w:val="22"/>
          <w:vertAlign w:val="subscript"/>
        </w:rPr>
        <w:t>ro</w:t>
      </w:r>
      <w:r w:rsidRPr="008651FA">
        <w:rPr>
          <w:rFonts w:ascii="Times New Roman" w:hAnsi="Times New Roman"/>
          <w:iCs/>
          <w:sz w:val="22"/>
        </w:rPr>
        <w:t xml:space="preserve"> is the quantity of phosphorous lost through run-off to </w:t>
      </w:r>
      <w:r w:rsidRPr="008651FA">
        <w:rPr>
          <w:rFonts w:ascii="Times New Roman" w:hAnsi="Times New Roman"/>
          <w:iCs/>
          <w:sz w:val="22"/>
        </w:rPr>
        <w:lastRenderedPageBreak/>
        <w:t>rivers (kg/ha*</w:t>
      </w:r>
      <w:r>
        <w:rPr>
          <w:rFonts w:ascii="Times New Roman" w:hAnsi="Times New Roman"/>
          <w:iCs/>
          <w:sz w:val="22"/>
        </w:rPr>
        <w:t>a</w:t>
      </w:r>
      <w:r w:rsidRPr="008651FA">
        <w:rPr>
          <w:rFonts w:ascii="Times New Roman" w:hAnsi="Times New Roman"/>
          <w:iCs/>
          <w:sz w:val="22"/>
        </w:rPr>
        <w:t xml:space="preserve">), </w:t>
      </w:r>
      <w:r>
        <w:rPr>
          <w:rFonts w:ascii="Times New Roman" w:hAnsi="Times New Roman"/>
          <w:iCs/>
          <w:sz w:val="22"/>
        </w:rPr>
        <w:t xml:space="preserve">and </w:t>
      </w:r>
      <w:r w:rsidRPr="008651FA">
        <w:rPr>
          <w:rFonts w:ascii="Times New Roman" w:hAnsi="Times New Roman"/>
          <w:iCs/>
          <w:sz w:val="22"/>
        </w:rPr>
        <w:t>P</w:t>
      </w:r>
      <w:r w:rsidRPr="008651FA">
        <w:rPr>
          <w:rFonts w:ascii="Times New Roman" w:hAnsi="Times New Roman"/>
          <w:iCs/>
          <w:sz w:val="22"/>
          <w:vertAlign w:val="subscript"/>
        </w:rPr>
        <w:t xml:space="preserve">rol </w:t>
      </w:r>
      <w:r w:rsidRPr="008651FA">
        <w:rPr>
          <w:rFonts w:ascii="Times New Roman" w:hAnsi="Times New Roman"/>
          <w:iCs/>
          <w:sz w:val="22"/>
        </w:rPr>
        <w:t xml:space="preserve">is the average quantity of P lost through run-off for a specific land. In this case, we consider extensive permanent whose value is 0.15 kg/ha*year, </w:t>
      </w:r>
      <w:proofErr w:type="spellStart"/>
      <w:r w:rsidRPr="008651FA">
        <w:rPr>
          <w:rFonts w:ascii="Times New Roman" w:hAnsi="Times New Roman"/>
          <w:iCs/>
          <w:sz w:val="22"/>
        </w:rPr>
        <w:t>F</w:t>
      </w:r>
      <w:r w:rsidRPr="008651FA">
        <w:rPr>
          <w:rFonts w:ascii="Times New Roman" w:hAnsi="Times New Roman"/>
          <w:iCs/>
          <w:sz w:val="22"/>
          <w:vertAlign w:val="subscript"/>
        </w:rPr>
        <w:t>ro</w:t>
      </w:r>
      <w:proofErr w:type="spellEnd"/>
      <w:r w:rsidRPr="008651FA">
        <w:rPr>
          <w:rFonts w:ascii="Times New Roman" w:hAnsi="Times New Roman"/>
          <w:iCs/>
          <w:sz w:val="22"/>
        </w:rPr>
        <w:t xml:space="preserve"> is the correction factor for fertilization which is calculated according to Eq. (18) where P</w:t>
      </w:r>
      <w:r w:rsidRPr="008651FA">
        <w:rPr>
          <w:rFonts w:ascii="Times New Roman" w:hAnsi="Times New Roman"/>
          <w:iCs/>
          <w:sz w:val="22"/>
          <w:vertAlign w:val="subscript"/>
        </w:rPr>
        <w:t>2</w:t>
      </w:r>
      <w:r w:rsidRPr="008651FA">
        <w:rPr>
          <w:rFonts w:ascii="Times New Roman" w:hAnsi="Times New Roman"/>
          <w:iCs/>
          <w:sz w:val="22"/>
        </w:rPr>
        <w:t>O</w:t>
      </w:r>
      <w:r w:rsidRPr="008651FA">
        <w:rPr>
          <w:rFonts w:ascii="Times New Roman" w:hAnsi="Times New Roman"/>
          <w:iCs/>
          <w:sz w:val="22"/>
          <w:vertAlign w:val="subscript"/>
        </w:rPr>
        <w:t>5min</w:t>
      </w:r>
      <w:r w:rsidRPr="008651FA">
        <w:rPr>
          <w:rFonts w:ascii="Times New Roman" w:hAnsi="Times New Roman"/>
          <w:iCs/>
          <w:sz w:val="22"/>
        </w:rPr>
        <w:t>, P</w:t>
      </w:r>
      <w:r w:rsidRPr="008651FA">
        <w:rPr>
          <w:rFonts w:ascii="Times New Roman" w:hAnsi="Times New Roman"/>
          <w:iCs/>
          <w:sz w:val="22"/>
          <w:vertAlign w:val="subscript"/>
        </w:rPr>
        <w:t>2</w:t>
      </w:r>
      <w:r w:rsidRPr="008651FA">
        <w:rPr>
          <w:rFonts w:ascii="Times New Roman" w:hAnsi="Times New Roman"/>
          <w:iCs/>
          <w:sz w:val="22"/>
        </w:rPr>
        <w:t>O</w:t>
      </w:r>
      <w:r w:rsidRPr="008651FA">
        <w:rPr>
          <w:rFonts w:ascii="Times New Roman" w:hAnsi="Times New Roman"/>
          <w:iCs/>
          <w:sz w:val="22"/>
          <w:vertAlign w:val="subscript"/>
        </w:rPr>
        <w:t>5sl</w:t>
      </w:r>
      <w:r w:rsidRPr="008651FA">
        <w:rPr>
          <w:rFonts w:ascii="Times New Roman" w:hAnsi="Times New Roman"/>
          <w:iCs/>
          <w:sz w:val="22"/>
        </w:rPr>
        <w:t>, and P</w:t>
      </w:r>
      <w:r w:rsidRPr="008651FA">
        <w:rPr>
          <w:rFonts w:ascii="Times New Roman" w:hAnsi="Times New Roman"/>
          <w:iCs/>
          <w:sz w:val="22"/>
          <w:vertAlign w:val="subscript"/>
        </w:rPr>
        <w:t>2</w:t>
      </w:r>
      <w:r w:rsidRPr="008651FA">
        <w:rPr>
          <w:rFonts w:ascii="Times New Roman" w:hAnsi="Times New Roman"/>
          <w:iCs/>
          <w:sz w:val="22"/>
        </w:rPr>
        <w:t>O</w:t>
      </w:r>
      <w:r w:rsidRPr="008651FA">
        <w:rPr>
          <w:rFonts w:ascii="Times New Roman" w:hAnsi="Times New Roman"/>
          <w:iCs/>
          <w:sz w:val="22"/>
          <w:vertAlign w:val="subscript"/>
        </w:rPr>
        <w:t>5man</w:t>
      </w:r>
      <w:r w:rsidRPr="008651FA">
        <w:rPr>
          <w:rFonts w:ascii="Times New Roman" w:hAnsi="Times New Roman"/>
          <w:iCs/>
          <w:sz w:val="22"/>
        </w:rPr>
        <w:t xml:space="preserve"> is the quantity of P</w:t>
      </w:r>
      <w:r w:rsidRPr="008651FA">
        <w:rPr>
          <w:rFonts w:ascii="Times New Roman" w:hAnsi="Times New Roman"/>
          <w:iCs/>
          <w:sz w:val="22"/>
          <w:vertAlign w:val="subscript"/>
        </w:rPr>
        <w:t>2</w:t>
      </w:r>
      <w:r w:rsidRPr="008651FA">
        <w:rPr>
          <w:rFonts w:ascii="Times New Roman" w:hAnsi="Times New Roman"/>
          <w:iCs/>
          <w:sz w:val="22"/>
        </w:rPr>
        <w:t>O</w:t>
      </w:r>
      <w:r w:rsidRPr="008651FA">
        <w:rPr>
          <w:rFonts w:ascii="Times New Roman" w:hAnsi="Times New Roman"/>
          <w:iCs/>
          <w:sz w:val="22"/>
          <w:vertAlign w:val="subscript"/>
        </w:rPr>
        <w:t xml:space="preserve">5 </w:t>
      </w:r>
      <w:r w:rsidRPr="008651FA">
        <w:rPr>
          <w:rFonts w:ascii="Times New Roman" w:hAnsi="Times New Roman"/>
          <w:iCs/>
          <w:sz w:val="22"/>
        </w:rPr>
        <w:t xml:space="preserve">in mineral fertilizer, slurry, and solid manure (kg/Ha), respectively </w:t>
      </w:r>
      <w:r w:rsidRPr="008651FA">
        <w:rPr>
          <w:rFonts w:ascii="Times New Roman" w:hAnsi="Times New Roman"/>
          <w:iCs/>
          <w:sz w:val="22"/>
        </w:rPr>
        <w:fldChar w:fldCharType="begin" w:fldLock="1"/>
      </w:r>
      <w:r>
        <w:rPr>
          <w:rFonts w:ascii="Times New Roman" w:hAnsi="Times New Roman"/>
          <w:iCs/>
          <w:sz w:val="22"/>
        </w:rPr>
        <w:instrText>ADDIN CSL_CITATION {"citationItems":[{"id":"ITEM-1","itemData":{"author":[{"dropping-particle":"","family":"Nemecek","given":"Thomas","non-dropping-particle":"","parse-names":false,"suffix":""},{"dropping-particle":"","family":"Bengoa","given":"Xavier","non-dropping-particle":"","parse-names":false,"suffix":""},{"dropping-particle":"","family":"Lansche","given":"Jens","non-dropping-particle":"","parse-names":false,"suffix":""},{"dropping-particle":"","family":"Mouron","given":"Patrik","non-dropping-particle":"","parse-names":false,"suffix":""},{"dropping-particle":"","family":"Rossi","given":"Vincent","non-dropping-particle":"","parse-names":false,"suffix":""},{"dropping-particle":"","family":"Humbert","given":"Sebastian","non-dropping-particle":"","parse-names":false,"suffix":""}],"id":"ITEM-1","issue":"July","issued":{"date-parts":[["2014"]]},"number-of-pages":"80","publisher-place":"Lausanne and Zurich, Switzerland","title":"Methodological Guidelines for the Life Cycle Inventory of Agricultural Products","type":"report"},"uris":["http://www.mendeley.com/documents/?uuid=f2318c4e-9d58-4a16-9980-a07e1c55d4b3"]}],"mendeley":{"formattedCitation":"(Nemecek et al., 2014)","plainTextFormattedCitation":"(Nemecek et al., 2014)","previouslyFormattedCitation":"[8]"},"properties":{"noteIndex":0},"schema":"https://github.com/citation-style-language/schema/raw/master/csl-citation.json"}</w:instrText>
      </w:r>
      <w:r w:rsidRPr="008651FA">
        <w:rPr>
          <w:rFonts w:ascii="Times New Roman" w:hAnsi="Times New Roman"/>
          <w:iCs/>
          <w:sz w:val="22"/>
        </w:rPr>
        <w:fldChar w:fldCharType="separate"/>
      </w:r>
      <w:r w:rsidRPr="008A24CD">
        <w:rPr>
          <w:rFonts w:ascii="Times New Roman" w:hAnsi="Times New Roman"/>
          <w:iCs/>
          <w:noProof/>
          <w:sz w:val="22"/>
        </w:rPr>
        <w:t>(Nemecek et al., 2014)</w:t>
      </w:r>
      <w:r w:rsidRPr="008651FA">
        <w:rPr>
          <w:rFonts w:ascii="Times New Roman" w:hAnsi="Times New Roman"/>
          <w:iCs/>
          <w:sz w:val="22"/>
        </w:rPr>
        <w:fldChar w:fldCharType="end"/>
      </w:r>
      <w:r w:rsidRPr="008651FA">
        <w:rPr>
          <w:rFonts w:ascii="Times New Roman" w:hAnsi="Times New Roman"/>
          <w:iCs/>
          <w:sz w:val="22"/>
        </w:rPr>
        <w:t xml:space="preserve">. In this case, the amount of phosphorus from manure </w:t>
      </w:r>
      <w:r>
        <w:rPr>
          <w:rFonts w:ascii="Times New Roman" w:hAnsi="Times New Roman"/>
          <w:iCs/>
          <w:sz w:val="22"/>
        </w:rPr>
        <w:t>was</w:t>
      </w:r>
      <w:r w:rsidRPr="008651FA">
        <w:rPr>
          <w:rFonts w:ascii="Times New Roman" w:hAnsi="Times New Roman"/>
          <w:iCs/>
          <w:sz w:val="22"/>
        </w:rPr>
        <w:t xml:space="preserve"> retrieved from the literature</w:t>
      </w:r>
      <w:r>
        <w:rPr>
          <w:rFonts w:ascii="Times New Roman" w:hAnsi="Times New Roman"/>
          <w:iCs/>
          <w:sz w:val="22"/>
        </w:rPr>
        <w:t>,</w:t>
      </w:r>
      <w:r w:rsidRPr="008651FA">
        <w:rPr>
          <w:rFonts w:ascii="Times New Roman" w:hAnsi="Times New Roman"/>
          <w:iCs/>
          <w:sz w:val="22"/>
        </w:rPr>
        <w:t xml:space="preserve"> and </w:t>
      </w:r>
      <w:r>
        <w:rPr>
          <w:rFonts w:ascii="Times New Roman" w:hAnsi="Times New Roman"/>
          <w:iCs/>
          <w:sz w:val="22"/>
        </w:rPr>
        <w:t>its</w:t>
      </w:r>
      <w:r w:rsidRPr="008651FA">
        <w:rPr>
          <w:rFonts w:ascii="Times New Roman" w:hAnsi="Times New Roman"/>
          <w:iCs/>
          <w:sz w:val="22"/>
        </w:rPr>
        <w:t xml:space="preserve"> values were 8 kg/ton for swine, 25 kg/ton for poultry, and 5 kg/ton for mules </w:t>
      </w:r>
      <w:r w:rsidRPr="008651FA">
        <w:rPr>
          <w:rFonts w:ascii="Times New Roman" w:hAnsi="Times New Roman"/>
          <w:iCs/>
          <w:sz w:val="22"/>
        </w:rPr>
        <w:fldChar w:fldCharType="begin" w:fldLock="1"/>
      </w:r>
      <w:r>
        <w:rPr>
          <w:rFonts w:ascii="Times New Roman" w:hAnsi="Times New Roman"/>
          <w:iCs/>
          <w:sz w:val="22"/>
        </w:rPr>
        <w:instrText>ADDIN CSL_CITATION {"citationItems":[{"id":"ITEM-1","itemData":{"DOI":"10.1016/j.jclepro.2021.128106","ISSN":"09596526","abstract":"Current trends of livestock expansion and associated mass production of manure bring a net import of nutrients that have led to a significant excess in many areas. The implementation of an efficient and more economical technology solution to recover and re-use nutrients from raw or digested wastes is essential and will reduce the need for fossil-fuel based fertilizers. From a waste management standpoint, the identification of nutrient recovery technologies is considered one of the main challenges within a circular economy context. Several traditional techniques exist for manure treatment such as, gasification, thermochemical conversion, composting, hydrothermal carbonization, and liquefaction. However, these technologies face many challenges related to energy consumption and recovered nutrient quality. In this context, freeze concentration (FC) is an emerging technique that can be applied to recover water and concentrate nutrients from waste liquid effluents. This technology brings advantages such as high concentration factor and low energy usage. However, freeze concentration technology is only semi-industrialised and for most applications remains at the development stage. Many studies have been conducted to design and develop processes and applications that target the improvement of both productivity and efficiency, which makes freeze concentration an attractive research subject to the scientific community. Combination of freeze concentration technology with another technology, such as membranes, to generate a more efficient hybrid process must also be considered. This approach of resource recovery from animal manure would ultimately create a more sustainable and circular economy. This paper evaluates the current state-of-the-art and processing strategies related to the treatment of livestock waste materials and contains an up-to-date and critical review on nutrient-rich effluent valorization technologies; focusing on the latest technological progress to recover nutrients from animal manure and introduces the potential that freeze concentration offers, which has only been marginally explored to date. This work makes a comparative analysis of the different processes in terms of their efficiency, cost, energy consumption, operational management, and the results obtained from both bench and large-scale experiments; making it possible to determine the current best practice procedures for the treatment of animal manure.","author":[{"dropping-particle":"","family":"Dadrasnia","given":"Arezoo","non-dropping-particle":"","parse-names":false,"suffix":""},{"dropping-particle":"","family":"Bona Muñoz","given":"Isabella","non-dropping-particle":"de","parse-names":false,"suffix":""},{"dropping-particle":"","family":"Yáñez","given":"Eduardo Hernandez","non-dropping-particle":"","parse-names":false,"suffix":""},{"dropping-particle":"","fami</w:instrText>
      </w:r>
      <w:r w:rsidRPr="008A24CD">
        <w:rPr>
          <w:rFonts w:ascii="Times New Roman" w:hAnsi="Times New Roman"/>
          <w:iCs/>
          <w:sz w:val="22"/>
          <w:lang w:val="es-CO"/>
        </w:rPr>
        <w:instrText>ly":"Lamkaddam","given":"Imane Uald","non-dropping-particle":"","parse-names":false,"suffix":""},{"dropping-particle":"","family":"Mora","given":"Mabel","non-dropping-particle":"","parse-names":false,"suffix":""},{"dropping-particle":"","family":"Ponsá","given":"Sergio","non-dropping-particle":"","parse-names":false,"suffix":""},{"dropping-particle":"","family":"Ahmed","given":"Mansour","non-dropping-particle":"","parse-names":false,"suffix":""},{"dropping-particle":"","family":"Argelaguet","given":"Laia Llenas","non-dropping-particle":"","parse-names":false,"suffix":""},{"dropping-particle":"","family":"Williams","given":"Paul M.","non-dropping-particle":"","parse-names":false,"suffix":""},{"dropping-particle":"","family":"Oatley-Radcliffe","given":"Darren L.","non-dropping-particle":"","parse-names":false,"suffix":""}],"container-title":"Journal of Cleaner Production","id":"ITEM-1","issued":{"date-parts":[["2021"]]},"page":"128106","title":"Sustainable nutrient recovery from animal manure: A review of current best practice technology and the potential for freeze concentration","type":"article-journal","volume":"315"},"uris":["http://www.mendeley.com/documents/?uuid=7ca54297-06fd-4808-98c7-92c1441975b1"]}],"mendeley":{"formattedCitation":"(Dadrasnia et al., 2021)","plainTextFormattedCitation":"(Dadrasnia et al., 2021)","previouslyFormattedCitation":"[11]"},"properties":{"noteIndex":0},"schema":"https://github.com/citation-style-language/schema/raw/master/csl-citation.json"}</w:instrText>
      </w:r>
      <w:r w:rsidRPr="008651FA">
        <w:rPr>
          <w:rFonts w:ascii="Times New Roman" w:hAnsi="Times New Roman"/>
          <w:iCs/>
          <w:sz w:val="22"/>
        </w:rPr>
        <w:fldChar w:fldCharType="separate"/>
      </w:r>
      <w:r w:rsidRPr="008A24CD">
        <w:rPr>
          <w:rFonts w:ascii="Times New Roman" w:hAnsi="Times New Roman"/>
          <w:iCs/>
          <w:noProof/>
          <w:sz w:val="22"/>
          <w:lang w:val="es-CO"/>
        </w:rPr>
        <w:t>(Dadrasnia et al., 2021)</w:t>
      </w:r>
      <w:r w:rsidRPr="008651FA">
        <w:rPr>
          <w:rFonts w:ascii="Times New Roman" w:hAnsi="Times New Roman"/>
          <w:iCs/>
          <w:sz w:val="22"/>
        </w:rPr>
        <w:fldChar w:fldCharType="end"/>
      </w:r>
      <w:r w:rsidRPr="008A24CD">
        <w:rPr>
          <w:rFonts w:ascii="Times New Roman" w:hAnsi="Times New Roman"/>
          <w:iCs/>
          <w:sz w:val="22"/>
          <w:lang w:val="es-CO"/>
        </w:rPr>
        <w:t xml:space="preserve">. </w:t>
      </w:r>
    </w:p>
    <w:p w14:paraId="2DBC11D6" w14:textId="77777777" w:rsidR="008A24CD" w:rsidRPr="008A24CD" w:rsidRDefault="008A24CD" w:rsidP="008A24CD">
      <w:pPr>
        <w:pStyle w:val="MDPI35textbeforelist"/>
        <w:spacing w:line="480" w:lineRule="auto"/>
        <w:jc w:val="left"/>
        <w:rPr>
          <w:rFonts w:ascii="Times New Roman" w:hAnsi="Times New Roman"/>
          <w:iCs/>
          <w:sz w:val="22"/>
          <w:lang w:val="es-CO"/>
        </w:rPr>
      </w:pPr>
    </w:p>
    <w:p w14:paraId="23050F98" w14:textId="77777777" w:rsidR="008A24CD" w:rsidRPr="00AC65E1" w:rsidRDefault="0009182D" w:rsidP="008A24CD">
      <w:pPr>
        <w:pStyle w:val="MDPI35textbeforelist"/>
        <w:spacing w:line="480" w:lineRule="auto"/>
        <w:ind w:left="0" w:firstLine="0"/>
        <w:jc w:val="left"/>
        <w:rPr>
          <w:rFonts w:ascii="Times New Roman" w:hAnsi="Times New Roman"/>
          <w:sz w:val="22"/>
        </w:rPr>
      </w:pPr>
      <m:oMath>
        <m:sSub>
          <m:sSubPr>
            <m:ctrlPr>
              <w:rPr>
                <w:rFonts w:ascii="Cambria Math" w:hAnsi="Cambria Math"/>
                <w:sz w:val="22"/>
              </w:rPr>
            </m:ctrlPr>
          </m:sSubPr>
          <m:e>
            <m:r>
              <m:rPr>
                <m:sty m:val="p"/>
              </m:rPr>
              <w:rPr>
                <w:rFonts w:ascii="Cambria Math" w:hAnsi="Cambria Math"/>
                <w:sz w:val="22"/>
              </w:rPr>
              <m:t>F</m:t>
            </m:r>
          </m:e>
          <m:sub>
            <m:r>
              <m:rPr>
                <m:sty m:val="p"/>
              </m:rPr>
              <w:rPr>
                <w:rFonts w:ascii="Cambria Math" w:hAnsi="Cambria Math"/>
                <w:sz w:val="22"/>
              </w:rPr>
              <m:t>ro</m:t>
            </m:r>
          </m:sub>
        </m:sSub>
        <m:r>
          <m:rPr>
            <m:sty m:val="p"/>
          </m:rPr>
          <w:rPr>
            <w:rFonts w:ascii="Cambria Math" w:hAnsi="Cambria Math"/>
            <w:sz w:val="22"/>
          </w:rPr>
          <m:t>=1+</m:t>
        </m:r>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rPr>
                  <m:t>0.2</m:t>
                </m:r>
              </m:num>
              <m:den>
                <m:r>
                  <m:rPr>
                    <m:sty m:val="p"/>
                  </m:rPr>
                  <w:rPr>
                    <w:rFonts w:ascii="Cambria Math" w:hAnsi="Cambria Math"/>
                    <w:sz w:val="22"/>
                  </w:rPr>
                  <m:t>80</m:t>
                </m:r>
              </m:den>
            </m:f>
          </m:e>
        </m:d>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P</m:t>
            </m:r>
          </m:e>
          <m:sub>
            <m:r>
              <m:rPr>
                <m:sty m:val="p"/>
              </m:rPr>
              <w:rPr>
                <w:rFonts w:ascii="Cambria Math" w:hAnsi="Cambria Math"/>
                <w:sz w:val="22"/>
              </w:rPr>
              <m:t>2</m:t>
            </m:r>
          </m:sub>
        </m:sSub>
        <m:sSub>
          <m:sSubPr>
            <m:ctrlPr>
              <w:rPr>
                <w:rFonts w:ascii="Cambria Math" w:hAnsi="Cambria Math"/>
                <w:sz w:val="22"/>
              </w:rPr>
            </m:ctrlPr>
          </m:sSubPr>
          <m:e>
            <m:r>
              <m:rPr>
                <m:sty m:val="p"/>
              </m:rPr>
              <w:rPr>
                <w:rFonts w:ascii="Cambria Math" w:hAnsi="Cambria Math"/>
                <w:sz w:val="22"/>
              </w:rPr>
              <m:t>O</m:t>
            </m:r>
          </m:e>
          <m:sub>
            <m:r>
              <m:rPr>
                <m:sty m:val="p"/>
              </m:rPr>
              <w:rPr>
                <w:rFonts w:ascii="Cambria Math" w:hAnsi="Cambria Math"/>
                <w:sz w:val="22"/>
              </w:rPr>
              <m:t>5min</m:t>
            </m:r>
          </m:sub>
        </m:sSub>
        <m:r>
          <m:rPr>
            <m:sty m:val="p"/>
          </m:rPr>
          <w:rPr>
            <w:rFonts w:ascii="Cambria Math" w:hAnsi="Cambria Math"/>
            <w:sz w:val="22"/>
          </w:rPr>
          <m:t>+</m:t>
        </m:r>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rPr>
                  <m:t>0.7</m:t>
                </m:r>
              </m:num>
              <m:den>
                <m:r>
                  <m:rPr>
                    <m:sty m:val="p"/>
                  </m:rPr>
                  <w:rPr>
                    <w:rFonts w:ascii="Cambria Math" w:hAnsi="Cambria Math"/>
                    <w:sz w:val="22"/>
                  </w:rPr>
                  <m:t>80</m:t>
                </m:r>
              </m:den>
            </m:f>
          </m:e>
        </m:d>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P</m:t>
            </m:r>
          </m:e>
          <m:sub>
            <m:r>
              <m:rPr>
                <m:sty m:val="p"/>
              </m:rPr>
              <w:rPr>
                <w:rFonts w:ascii="Cambria Math" w:hAnsi="Cambria Math"/>
                <w:sz w:val="22"/>
              </w:rPr>
              <m:t>2</m:t>
            </m:r>
          </m:sub>
        </m:sSub>
        <m:sSub>
          <m:sSubPr>
            <m:ctrlPr>
              <w:rPr>
                <w:rFonts w:ascii="Cambria Math" w:hAnsi="Cambria Math"/>
                <w:sz w:val="22"/>
              </w:rPr>
            </m:ctrlPr>
          </m:sSubPr>
          <m:e>
            <m:r>
              <m:rPr>
                <m:sty m:val="p"/>
              </m:rPr>
              <w:rPr>
                <w:rFonts w:ascii="Cambria Math" w:hAnsi="Cambria Math"/>
                <w:sz w:val="22"/>
              </w:rPr>
              <m:t>O</m:t>
            </m:r>
          </m:e>
          <m:sub>
            <m:r>
              <m:rPr>
                <m:sty m:val="p"/>
              </m:rPr>
              <w:rPr>
                <w:rFonts w:ascii="Cambria Math" w:hAnsi="Cambria Math"/>
                <w:sz w:val="22"/>
              </w:rPr>
              <m:t>5sl</m:t>
            </m:r>
          </m:sub>
        </m:sSub>
        <m:r>
          <m:rPr>
            <m:sty m:val="p"/>
          </m:rPr>
          <w:rPr>
            <w:rFonts w:ascii="Cambria Math" w:hAnsi="Cambria Math"/>
            <w:sz w:val="22"/>
          </w:rPr>
          <m:t>+</m:t>
        </m:r>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rPr>
                  <m:t>0.4</m:t>
                </m:r>
              </m:num>
              <m:den>
                <m:r>
                  <m:rPr>
                    <m:sty m:val="p"/>
                  </m:rPr>
                  <w:rPr>
                    <w:rFonts w:ascii="Cambria Math" w:hAnsi="Cambria Math"/>
                    <w:sz w:val="22"/>
                  </w:rPr>
                  <m:t>80</m:t>
                </m:r>
              </m:den>
            </m:f>
          </m:e>
        </m:d>
        <m:r>
          <m:rPr>
            <m:sty m:val="p"/>
          </m:rPr>
          <w:rPr>
            <w:rFonts w:ascii="Cambria Math" w:hAnsi="Cambria Math"/>
            <w:sz w:val="22"/>
          </w:rPr>
          <m:t>*</m:t>
        </m:r>
        <m:sSub>
          <m:sSubPr>
            <m:ctrlPr>
              <w:rPr>
                <w:rFonts w:ascii="Cambria Math" w:hAnsi="Cambria Math"/>
                <w:sz w:val="22"/>
              </w:rPr>
            </m:ctrlPr>
          </m:sSubPr>
          <m:e>
            <m:r>
              <m:rPr>
                <m:sty m:val="p"/>
              </m:rPr>
              <w:rPr>
                <w:rFonts w:ascii="Cambria Math" w:hAnsi="Cambria Math"/>
                <w:sz w:val="22"/>
              </w:rPr>
              <m:t>P</m:t>
            </m:r>
          </m:e>
          <m:sub>
            <m:r>
              <m:rPr>
                <m:sty m:val="p"/>
              </m:rPr>
              <w:rPr>
                <w:rFonts w:ascii="Cambria Math" w:hAnsi="Cambria Math"/>
                <w:sz w:val="22"/>
              </w:rPr>
              <m:t>2</m:t>
            </m:r>
          </m:sub>
        </m:sSub>
        <m:sSub>
          <m:sSubPr>
            <m:ctrlPr>
              <w:rPr>
                <w:rFonts w:ascii="Cambria Math" w:hAnsi="Cambria Math"/>
                <w:sz w:val="22"/>
              </w:rPr>
            </m:ctrlPr>
          </m:sSubPr>
          <m:e>
            <m:r>
              <m:rPr>
                <m:sty m:val="p"/>
              </m:rPr>
              <w:rPr>
                <w:rFonts w:ascii="Cambria Math" w:hAnsi="Cambria Math"/>
                <w:sz w:val="22"/>
              </w:rPr>
              <m:t>O</m:t>
            </m:r>
          </m:e>
          <m:sub>
            <m:r>
              <m:rPr>
                <m:sty m:val="p"/>
              </m:rPr>
              <w:rPr>
                <w:rFonts w:ascii="Cambria Math" w:hAnsi="Cambria Math"/>
                <w:sz w:val="22"/>
              </w:rPr>
              <m:t>5man</m:t>
            </m:r>
          </m:sub>
        </m:sSub>
      </m:oMath>
      <w:r w:rsidR="008A24CD" w:rsidRPr="00AC65E1">
        <w:rPr>
          <w:rFonts w:ascii="Times New Roman" w:hAnsi="Times New Roman"/>
          <w:sz w:val="22"/>
        </w:rPr>
        <w:tab/>
      </w:r>
      <w:r w:rsidR="008A24CD" w:rsidRPr="00AC65E1">
        <w:rPr>
          <w:rFonts w:ascii="Times New Roman" w:hAnsi="Times New Roman"/>
          <w:sz w:val="22"/>
        </w:rPr>
        <w:tab/>
      </w:r>
      <w:r w:rsidR="008A24CD" w:rsidRPr="00AC65E1">
        <w:rPr>
          <w:rFonts w:ascii="Times New Roman" w:hAnsi="Times New Roman"/>
          <w:sz w:val="22"/>
        </w:rPr>
        <w:tab/>
      </w:r>
      <w:r w:rsidR="008A24CD" w:rsidRPr="00AC65E1">
        <w:rPr>
          <w:rFonts w:ascii="Times New Roman" w:hAnsi="Times New Roman"/>
          <w:sz w:val="22"/>
        </w:rPr>
        <w:tab/>
        <w:t>Eq. (18)</w:t>
      </w:r>
    </w:p>
    <w:p w14:paraId="1433ED53" w14:textId="77777777" w:rsidR="008A24CD" w:rsidRPr="00AC65E1" w:rsidRDefault="008A24CD" w:rsidP="008A24CD">
      <w:pPr>
        <w:pStyle w:val="MDPI35textbeforelist"/>
        <w:spacing w:line="480" w:lineRule="auto"/>
        <w:jc w:val="left"/>
        <w:rPr>
          <w:rFonts w:ascii="Times New Roman" w:hAnsi="Times New Roman"/>
          <w:sz w:val="22"/>
        </w:rPr>
      </w:pPr>
    </w:p>
    <w:p w14:paraId="272437FC" w14:textId="706AC7B3" w:rsidR="008A24CD" w:rsidRPr="008651FA" w:rsidRDefault="008A24CD" w:rsidP="008A24CD">
      <w:pPr>
        <w:pStyle w:val="MDPI35textbeforelist"/>
        <w:spacing w:line="480" w:lineRule="auto"/>
        <w:ind w:left="0" w:firstLine="0"/>
        <w:jc w:val="left"/>
        <w:rPr>
          <w:rFonts w:ascii="Times New Roman" w:hAnsi="Times New Roman"/>
          <w:sz w:val="22"/>
        </w:rPr>
      </w:pPr>
      <w:r w:rsidRPr="008A24CD">
        <w:rPr>
          <w:rFonts w:ascii="Times New Roman" w:hAnsi="Times New Roman"/>
          <w:sz w:val="22"/>
        </w:rPr>
        <w:t xml:space="preserve">In Eq. </w:t>
      </w:r>
      <w:r w:rsidRPr="008651FA">
        <w:rPr>
          <w:rFonts w:ascii="Times New Roman" w:hAnsi="Times New Roman"/>
          <w:sz w:val="22"/>
        </w:rPr>
        <w:t>(17), P</w:t>
      </w:r>
      <w:r w:rsidRPr="008651FA">
        <w:rPr>
          <w:rFonts w:ascii="Times New Roman" w:hAnsi="Times New Roman"/>
          <w:sz w:val="22"/>
          <w:vertAlign w:val="subscript"/>
        </w:rPr>
        <w:t xml:space="preserve">er </w:t>
      </w:r>
      <w:r w:rsidRPr="008651FA">
        <w:rPr>
          <w:rFonts w:ascii="Times New Roman" w:hAnsi="Times New Roman"/>
          <w:sz w:val="22"/>
        </w:rPr>
        <w:t>is the quantity of phosphorous emitted through erosion to rivers (kg P/ha*year), S</w:t>
      </w:r>
      <w:r w:rsidRPr="008651FA">
        <w:rPr>
          <w:rFonts w:ascii="Times New Roman" w:hAnsi="Times New Roman"/>
          <w:sz w:val="22"/>
          <w:vertAlign w:val="subscript"/>
        </w:rPr>
        <w:t>er</w:t>
      </w:r>
      <w:r w:rsidRPr="008651FA">
        <w:rPr>
          <w:rFonts w:ascii="Times New Roman" w:hAnsi="Times New Roman"/>
          <w:sz w:val="22"/>
        </w:rPr>
        <w:t xml:space="preserve"> is the quantity of soil eroded (kg/ha*year), P</w:t>
      </w:r>
      <w:r w:rsidRPr="008651FA">
        <w:rPr>
          <w:rFonts w:ascii="Times New Roman" w:hAnsi="Times New Roman"/>
          <w:sz w:val="22"/>
          <w:vertAlign w:val="subscript"/>
        </w:rPr>
        <w:t>cs</w:t>
      </w:r>
      <w:r w:rsidRPr="008651FA">
        <w:rPr>
          <w:rFonts w:ascii="Times New Roman" w:hAnsi="Times New Roman"/>
          <w:sz w:val="22"/>
        </w:rPr>
        <w:t xml:space="preserve"> is the content of phosphorous in the top soil (kg P/kg soil) whose value is 682.94 mg/kg </w:t>
      </w:r>
      <w:r w:rsidRPr="008651FA">
        <w:rPr>
          <w:rFonts w:ascii="Times New Roman" w:hAnsi="Times New Roman"/>
          <w:sz w:val="22"/>
        </w:rPr>
        <w:fldChar w:fldCharType="begin" w:fldLock="1"/>
      </w:r>
      <w:r>
        <w:rPr>
          <w:rFonts w:ascii="Times New Roman" w:hAnsi="Times New Roman"/>
          <w:sz w:val="22"/>
        </w:rPr>
        <w:instrText>ADDIN CSL_CITATION {"citationItems":[{"id":"ITEM-1","itemData":{"DOI":"10.1016/j.catena.2020.104940","ISSN":"03418162","abstract":"Advances in science and technology combined with the need to handle and manage natural resources have resulted in a gradual increase in soil data availability. This has allowed characterizing, describing, or proposing projects to address issues such as soil degradation, agricultural productivity, threats, and ecosystem services. Despite the availability of soil data, users are increasingly looking for additional, timely, and reliable information in order to respond to current and future situations, such as food security and climate change. IRAKA is a soil information system for the Colombian Cundiboyacense high plateau and the first to provide additional information from available official sources. It has a modular design based on the organization of a soil database whose structure incorporated 299 profiles, 1432 samples, and 55 properties and the integration, harmonization, and standardization of 8 soil surveys conducted in the area. The structured information enabled modeling and validating physical and chemical properties through digital soil mapping and comparing different machine learning techniques, including random forest, ranger, support vector machine, and ensemble models of these techniques. The interpolations of 11 quantitative properties and 1 qualitative property resulted in acceptable coefficients of goodness of fit due to different factors: property variability, representativeness, distribution in the study area, and property description based on environmental covariates. All the information generated has been made available for widespread use across different geographic web services. Thus IRAKA contributes to the management of information and knowledge through techniques and tools that allow users to visualize new information, use the information, and draw attention to new studies and improve databases in which the confidence level is insufficient and does not allow decision making.","author":[{"dropping-particle":"","family":"Araujo-Carrillo","given":"Gustavo A.","non-dropping-particle":"","parse-names":false,"suffix":""},{"dropping-particle":"","family":"Varón-Ramírez","given":"Viviana Marcela","non-dropping-particle":"","parse-names":false,"suffix":""},{"dropping-particle":"","family":"Jaramillo-Barrios","given":"Camilo Ignacio","non-dropping-particle":"","parse-names":false,"suffix":""},{"dropping-particle":"","family":"Estupiñan-Casallas","given":"Jhon M.","non-dropping-particle":"","parse-names":false,"suffix":""},{"dropping-particle":"","family":"Silva-Arero","given":"Elías Alexander","non-dropping-particle":"","parse-names":false,"suffix":""},{"dropping-particle":"","family":"Gómez-Latorre","given":"Douglas A.","non-dropping-particle":"","parse-names":false,"suffix":""},{"dropping-particle":"","family":"Martínez-Maldonado","given":"Fabio E.","non-dropping-particle":"","parse-names":false,"suffix":""}],"container-title":"Catena","id":"ITEM-1","issue":"February 2020","issued":{"date-parts":[["2021"]]},"title":"IRAKA: The first Colombian soil information system with digital soil mapping products","type":"article-journal","volume":"196"},"uris":["http://www.mendeley.com/documents/?uuid=6e5275a2-b6d2-4bcc-b457-5c611490b1aa"]}],"mendeley":{"formattedCitation":"(Araujo-Carrillo et al., 2021)","plainTextFormattedCitation":"(Araujo-Carrillo et al., 2021)","previouslyFormattedCitation":"[2]"},"properties":{"noteIndex":0},"schema":"https://github.com/citation-style-language/schema/raw/master/csl-citation.json"}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(Araujo-Carrillo et al., 2021)</w:t>
      </w:r>
      <w:r w:rsidRPr="008651FA">
        <w:rPr>
          <w:rFonts w:ascii="Times New Roman" w:hAnsi="Times New Roman"/>
          <w:sz w:val="22"/>
        </w:rPr>
        <w:fldChar w:fldCharType="end"/>
      </w:r>
      <w:r w:rsidRPr="008651FA">
        <w:rPr>
          <w:rFonts w:ascii="Times New Roman" w:hAnsi="Times New Roman"/>
          <w:sz w:val="22"/>
        </w:rPr>
        <w:t>, F</w:t>
      </w:r>
      <w:r w:rsidRPr="008651FA">
        <w:rPr>
          <w:rFonts w:ascii="Times New Roman" w:hAnsi="Times New Roman"/>
          <w:sz w:val="22"/>
          <w:vertAlign w:val="subscript"/>
        </w:rPr>
        <w:t>r</w:t>
      </w:r>
      <w:r w:rsidRPr="008651FA">
        <w:rPr>
          <w:rFonts w:ascii="Times New Roman" w:hAnsi="Times New Roman"/>
          <w:sz w:val="22"/>
        </w:rPr>
        <w:t xml:space="preserve"> is the enrichment factor for phosphorous whose value is 1.86, and </w:t>
      </w:r>
      <w:proofErr w:type="spellStart"/>
      <w:r w:rsidRPr="008651FA">
        <w:rPr>
          <w:rFonts w:ascii="Times New Roman" w:hAnsi="Times New Roman"/>
          <w:sz w:val="22"/>
        </w:rPr>
        <w:t>F</w:t>
      </w:r>
      <w:r w:rsidRPr="008651FA">
        <w:rPr>
          <w:rFonts w:ascii="Times New Roman" w:hAnsi="Times New Roman"/>
          <w:sz w:val="22"/>
          <w:vertAlign w:val="subscript"/>
        </w:rPr>
        <w:t>erw</w:t>
      </w:r>
      <w:proofErr w:type="spellEnd"/>
      <w:r w:rsidRPr="008651FA">
        <w:rPr>
          <w:rFonts w:ascii="Times New Roman" w:hAnsi="Times New Roman"/>
          <w:sz w:val="22"/>
        </w:rPr>
        <w:t xml:space="preserve"> is the fraction of eroded soil that reaches the river whose value is 0.2. The quantity of soil eroded (S</w:t>
      </w:r>
      <w:r w:rsidRPr="008651FA">
        <w:rPr>
          <w:rFonts w:ascii="Times New Roman" w:hAnsi="Times New Roman"/>
          <w:sz w:val="22"/>
          <w:vertAlign w:val="subscript"/>
        </w:rPr>
        <w:t>er</w:t>
      </w:r>
      <w:r w:rsidRPr="008651FA">
        <w:rPr>
          <w:rFonts w:ascii="Times New Roman" w:hAnsi="Times New Roman"/>
          <w:sz w:val="22"/>
        </w:rPr>
        <w:t xml:space="preserve">) is calculated according to Eq. (19) where R is the erosivity factor </w:t>
      </w:r>
      <w:r>
        <w:rPr>
          <w:rFonts w:ascii="Times New Roman" w:hAnsi="Times New Roman"/>
          <w:sz w:val="22"/>
        </w:rPr>
        <w:t>(</w:t>
      </w:r>
      <w:r w:rsidRPr="008651FA">
        <w:rPr>
          <w:rFonts w:ascii="Times New Roman" w:hAnsi="Times New Roman"/>
          <w:sz w:val="22"/>
        </w:rPr>
        <w:t>MJ*mm/ha*h*</w:t>
      </w:r>
      <w:r>
        <w:rPr>
          <w:rFonts w:ascii="Times New Roman" w:hAnsi="Times New Roman"/>
          <w:sz w:val="22"/>
        </w:rPr>
        <w:t>a</w:t>
      </w:r>
      <w:r w:rsidRPr="008651FA">
        <w:rPr>
          <w:rFonts w:ascii="Times New Roman" w:hAnsi="Times New Roman"/>
          <w:sz w:val="22"/>
        </w:rPr>
        <w:t xml:space="preserve">), k is the erodibility factor (t*h/MJ*mm), LS is the slope factor, C1 is the crop factor, C2 is the tillage factor, and P is the practice factor </w:t>
      </w:r>
      <w:r w:rsidRPr="008651FA">
        <w:rPr>
          <w:rFonts w:ascii="Times New Roman" w:hAnsi="Times New Roman"/>
          <w:sz w:val="22"/>
        </w:rPr>
        <w:fldChar w:fldCharType="begin" w:fldLock="1"/>
      </w:r>
      <w:r>
        <w:rPr>
          <w:rFonts w:ascii="Times New Roman" w:hAnsi="Times New Roman"/>
          <w:sz w:val="22"/>
        </w:rPr>
        <w:instrText>ADDIN CSL_CITATION {"citationItems":[{"id":"ITEM-1","itemData":{"author":[{"dropping-particle":"","family":"Nemecek","given":"Thomas","non-dropping-particle":"","parse-names":false,"suffix":""},{"dropping-particle":"","family":"Bengoa","given":"Xavier","non-dropping-particle":"","parse-names":false,"suffix":""},{"dropping-particle":"","family":"Lansche","given":"Jens","non-dropping-particle":"","parse-names":false,"suffix":""},{"dropping-particle":"","family":"Mouron","given":"Patrik","non-dropping-particle":"","parse-names":false,"suffix":""},{"dropping-particle":"","family":"Rossi","given":"Vincent","non-dropping-particle":"","parse-names":false,"suffix":""},{"dropping-particle":"","family":"Humbert","given":"Sebastian","non-dropping-particle":"","parse-names":false,"suffix":""}],"id":"ITEM-1","issue":"July","issued":{"date-parts":[["2014"]]},"number-of-pages":"80","publisher-place":"Lausanne and Zurich, Switzerland","title":"Methodological Guidelines for the Life Cycle Inventory of Agricultural Products","type":"report"},"uris":["http://www.mendeley.com/documents/?uuid=f2318c4e-9d58-4a16-9980-a07e1c55d4b3"]}],"mendeley":{"formattedCitation":"(Nemecek et al., 2014)","plainTextFormattedCitation":"(Nemecek et al., 2014)","previouslyFormattedCitation":"[8]"},"properties":{"noteIndex":0},"schema":"https://github.com/citation-style-language/schema/raw/master/csl-citation.json"}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(Nemecek et al., 2014)</w:t>
      </w:r>
      <w:r w:rsidRPr="008651FA">
        <w:rPr>
          <w:rFonts w:ascii="Times New Roman" w:hAnsi="Times New Roman"/>
          <w:sz w:val="22"/>
        </w:rPr>
        <w:fldChar w:fldCharType="end"/>
      </w:r>
      <w:r w:rsidRPr="008651FA">
        <w:rPr>
          <w:rFonts w:ascii="Times New Roman" w:hAnsi="Times New Roman"/>
          <w:sz w:val="22"/>
        </w:rPr>
        <w:t>. The erosivity factor depends on the precipitatio</w:t>
      </w:r>
      <w:r>
        <w:rPr>
          <w:rFonts w:ascii="Times New Roman" w:hAnsi="Times New Roman"/>
          <w:sz w:val="22"/>
        </w:rPr>
        <w:t>n and</w:t>
      </w:r>
      <w:r w:rsidRPr="008651FA">
        <w:rPr>
          <w:rFonts w:ascii="Times New Roman" w:hAnsi="Times New Roman"/>
          <w:sz w:val="22"/>
        </w:rPr>
        <w:t xml:space="preserve"> was calculated according to Eq. (19). In this case P is the precipitation factor whose value was not corrected since this region does not snow. The erodibility factor was 0.04</w:t>
      </w:r>
      <w:r>
        <w:rPr>
          <w:rFonts w:ascii="Times New Roman" w:hAnsi="Times New Roman"/>
          <w:sz w:val="22"/>
        </w:rPr>
        <w:t>,</w:t>
      </w:r>
      <w:r w:rsidRPr="008651FA">
        <w:rPr>
          <w:rFonts w:ascii="Times New Roman" w:hAnsi="Times New Roman"/>
          <w:sz w:val="22"/>
        </w:rPr>
        <w:t xml:space="preserve"> which is allocated to </w:t>
      </w:r>
      <w:proofErr w:type="spellStart"/>
      <w:r w:rsidRPr="008651FA">
        <w:rPr>
          <w:rFonts w:ascii="Times New Roman" w:hAnsi="Times New Roman"/>
          <w:sz w:val="22"/>
        </w:rPr>
        <w:t>inceptisol</w:t>
      </w:r>
      <w:proofErr w:type="spellEnd"/>
      <w:r w:rsidRPr="008651FA">
        <w:rPr>
          <w:rFonts w:ascii="Times New Roman" w:hAnsi="Times New Roman"/>
          <w:sz w:val="22"/>
        </w:rPr>
        <w:t xml:space="preserve"> soils</w:t>
      </w:r>
      <w:r>
        <w:rPr>
          <w:rFonts w:ascii="Times New Roman" w:hAnsi="Times New Roman"/>
          <w:sz w:val="22"/>
        </w:rPr>
        <w:t>. T</w:t>
      </w:r>
      <w:r w:rsidRPr="008651FA">
        <w:rPr>
          <w:rFonts w:ascii="Times New Roman" w:hAnsi="Times New Roman"/>
          <w:sz w:val="22"/>
        </w:rPr>
        <w:t>he crop factor for sugarcane is 0.3, the tillage factor is 0.25 since tillage is not employed</w:t>
      </w:r>
      <w:r>
        <w:rPr>
          <w:rFonts w:ascii="Times New Roman" w:hAnsi="Times New Roman"/>
          <w:sz w:val="22"/>
        </w:rPr>
        <w:t xml:space="preserve"> in the facility</w:t>
      </w:r>
      <w:r w:rsidRPr="008651FA">
        <w:rPr>
          <w:rFonts w:ascii="Times New Roman" w:hAnsi="Times New Roman"/>
          <w:sz w:val="22"/>
        </w:rPr>
        <w:t xml:space="preserve">, and the practice factor is 1 due to anti-erosion practices </w:t>
      </w:r>
      <w:r>
        <w:rPr>
          <w:rFonts w:ascii="Times New Roman" w:hAnsi="Times New Roman"/>
          <w:sz w:val="22"/>
        </w:rPr>
        <w:t xml:space="preserve">that </w:t>
      </w:r>
      <w:r w:rsidRPr="008651FA">
        <w:rPr>
          <w:rFonts w:ascii="Times New Roman" w:hAnsi="Times New Roman"/>
          <w:sz w:val="22"/>
        </w:rPr>
        <w:t xml:space="preserve">are not employed in the facility </w:t>
      </w:r>
      <w:r w:rsidRPr="008651FA">
        <w:rPr>
          <w:rFonts w:ascii="Times New Roman" w:hAnsi="Times New Roman"/>
          <w:sz w:val="22"/>
        </w:rPr>
        <w:fldChar w:fldCharType="begin" w:fldLock="1"/>
      </w:r>
      <w:r>
        <w:rPr>
          <w:rFonts w:ascii="Times New Roman" w:hAnsi="Times New Roman"/>
          <w:sz w:val="22"/>
        </w:rPr>
        <w:instrText>ADDIN CSL_CITATION {"citationItems":[{"id":"ITEM-1","itemData":{"DOI":"10.13140/RG.2.1.5000.8167","author":[{"dropping-particle":"","family":"Emmenegger","given":"Mirelle Faist","non-dropping-particle":"","parse-names":false,"suffix":""},{"dropping-particle":"","family":"Reinhard","given":"Jürgen","non-dropping-particle":"","parse-names":false,"suffix":""},{"dropping-particle":"","family":"Zah","given":"Rainer","non-dropping-particle":"","parse-names":false,"suffix":""}],"id":"ITEM-1","issued":{"date-parts":[["2009"]]},"number-of-pages":"130","publisher-place":"Dübendorf","title":"Sustainability Quick Check for Biofuels Background Report","type":"report"},"uris":["http://www.mendeley.com/documents/?uuid=ce35872c-ec60-4aed-a951-24275528505f"]}],"mendeley":{"formattedCitation":"(Emmenegger et al., 2009)","plainTextFormattedCitation":"(Emmenegger et al., 2009)","previouslyFormattedCitation":"[19]"},"properties":{"noteIndex":0},"schema":"https://github.com/citation-style-language/schema/raw/master/csl-citation.json"}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(Emmenegger et al., 2009)</w:t>
      </w:r>
      <w:r w:rsidRPr="008651FA">
        <w:rPr>
          <w:rFonts w:ascii="Times New Roman" w:hAnsi="Times New Roman"/>
          <w:sz w:val="22"/>
        </w:rPr>
        <w:fldChar w:fldCharType="end"/>
      </w:r>
      <w:r w:rsidRPr="008651FA">
        <w:rPr>
          <w:rFonts w:ascii="Times New Roman" w:hAnsi="Times New Roman"/>
          <w:sz w:val="22"/>
        </w:rPr>
        <w:t xml:space="preserve">. The slope factor (LS) was calculated according to Eq. (20). This factor depends on the slope length (L = 60 m) and inclination (S = 3%). </w:t>
      </w:r>
    </w:p>
    <w:p w14:paraId="3384862E" w14:textId="77777777" w:rsidR="008A24CD" w:rsidRPr="008651FA" w:rsidRDefault="008A24CD" w:rsidP="008A24CD">
      <w:pPr>
        <w:pStyle w:val="MDPI35textbeforelist"/>
        <w:spacing w:line="480" w:lineRule="auto"/>
        <w:jc w:val="left"/>
        <w:rPr>
          <w:rFonts w:ascii="Times New Roman" w:hAnsi="Times New Roman"/>
          <w:sz w:val="22"/>
        </w:rPr>
      </w:pPr>
    </w:p>
    <w:p w14:paraId="7E1C5F0F" w14:textId="77777777" w:rsidR="008A24CD" w:rsidRPr="008651FA" w:rsidRDefault="008A24CD" w:rsidP="008A24CD">
      <w:pPr>
        <w:pStyle w:val="MDPI35textbeforelist"/>
        <w:spacing w:line="480" w:lineRule="auto"/>
        <w:ind w:left="0" w:firstLine="0"/>
        <w:jc w:val="left"/>
        <w:rPr>
          <w:rFonts w:ascii="Times New Roman" w:hAnsi="Times New Roman"/>
          <w:iCs/>
          <w:sz w:val="22"/>
        </w:rPr>
      </w:pPr>
      <m:oMath>
        <m:r>
          <m:rPr>
            <m:sty m:val="p"/>
          </m:rPr>
          <w:rPr>
            <w:rFonts w:ascii="Cambria Math" w:hAnsi="Cambria Math"/>
            <w:sz w:val="22"/>
          </w:rPr>
          <w:lastRenderedPageBreak/>
          <m:t>R=587.8-1.219*P+0.00415*</m:t>
        </m:r>
        <m:sSup>
          <m:sSupPr>
            <m:ctrlPr>
              <w:rPr>
                <w:rFonts w:ascii="Cambria Math" w:hAnsi="Cambria Math"/>
                <w:iCs/>
                <w:sz w:val="22"/>
              </w:rPr>
            </m:ctrlPr>
          </m:sSupPr>
          <m:e>
            <m:r>
              <m:rPr>
                <m:sty m:val="p"/>
              </m:rPr>
              <w:rPr>
                <w:rFonts w:ascii="Cambria Math" w:hAnsi="Cambria Math"/>
                <w:sz w:val="22"/>
              </w:rPr>
              <m:t>P</m:t>
            </m:r>
          </m:e>
          <m:sup>
            <m:r>
              <m:rPr>
                <m:sty m:val="p"/>
              </m:rPr>
              <w:rPr>
                <w:rFonts w:ascii="Cambria Math" w:hAnsi="Cambria Math"/>
                <w:sz w:val="22"/>
              </w:rPr>
              <m:t>2</m:t>
            </m:r>
          </m:sup>
        </m:sSup>
      </m:oMath>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t>Eq. (19)</w:t>
      </w:r>
    </w:p>
    <w:p w14:paraId="2177C62D" w14:textId="77777777" w:rsidR="008A24CD" w:rsidRPr="008651FA" w:rsidRDefault="008A24CD" w:rsidP="008A24CD">
      <w:pPr>
        <w:pStyle w:val="MDPI35textbeforelist"/>
        <w:spacing w:line="480" w:lineRule="auto"/>
        <w:jc w:val="left"/>
        <w:rPr>
          <w:rFonts w:ascii="Times New Roman" w:hAnsi="Times New Roman"/>
          <w:iCs/>
          <w:sz w:val="22"/>
        </w:rPr>
      </w:pPr>
    </w:p>
    <w:p w14:paraId="0AFA6C6A" w14:textId="77777777" w:rsidR="008A24CD" w:rsidRPr="008651FA" w:rsidRDefault="008A24CD" w:rsidP="008A24CD">
      <w:pPr>
        <w:pStyle w:val="MDPI35textbeforelist"/>
        <w:spacing w:line="480" w:lineRule="auto"/>
        <w:ind w:left="0" w:firstLine="0"/>
        <w:jc w:val="left"/>
        <w:rPr>
          <w:rFonts w:ascii="Times New Roman" w:hAnsi="Times New Roman"/>
          <w:sz w:val="22"/>
        </w:rPr>
      </w:pPr>
      <m:oMath>
        <m:r>
          <m:rPr>
            <m:sty m:val="p"/>
          </m:rPr>
          <w:rPr>
            <w:rFonts w:ascii="Cambria Math" w:hAnsi="Cambria Math"/>
            <w:sz w:val="22"/>
          </w:rPr>
          <m:t>LS=</m:t>
        </m:r>
        <m:sSup>
          <m:sSupPr>
            <m:ctrlPr>
              <w:rPr>
                <w:rFonts w:ascii="Cambria Math" w:hAnsi="Cambria Math"/>
                <w:sz w:val="22"/>
              </w:rPr>
            </m:ctrlPr>
          </m:sSupPr>
          <m:e>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rPr>
                      <m:t>L*3.28030</m:t>
                    </m:r>
                  </m:num>
                  <m:den>
                    <m:r>
                      <m:rPr>
                        <m:sty m:val="p"/>
                      </m:rPr>
                      <w:rPr>
                        <w:rFonts w:ascii="Cambria Math" w:hAnsi="Cambria Math"/>
                        <w:sz w:val="22"/>
                      </w:rPr>
                      <m:t>72.6</m:t>
                    </m:r>
                  </m:den>
                </m:f>
              </m:e>
            </m:d>
          </m:e>
          <m:sup>
            <m:r>
              <m:rPr>
                <m:sty m:val="p"/>
              </m:rPr>
              <w:rPr>
                <w:rFonts w:ascii="Cambria Math" w:hAnsi="Cambria Math"/>
                <w:sz w:val="22"/>
              </w:rPr>
              <m:t>0.3</m:t>
            </m:r>
          </m:sup>
        </m:sSup>
        <m:r>
          <m:rPr>
            <m:sty m:val="p"/>
          </m:rPr>
          <w:rPr>
            <w:rFonts w:ascii="Cambria Math" w:hAnsi="Cambria Math"/>
            <w:sz w:val="22"/>
          </w:rPr>
          <m:t>*</m:t>
        </m:r>
        <m:d>
          <m:dPr>
            <m:begChr m:val="["/>
            <m:ctrlPr>
              <w:rPr>
                <w:rFonts w:ascii="Cambria Math" w:hAnsi="Cambria Math"/>
                <w:sz w:val="22"/>
              </w:rPr>
            </m:ctrlPr>
          </m:dPr>
          <m:e>
            <m:r>
              <m:rPr>
                <m:sty m:val="p"/>
              </m:rPr>
              <w:rPr>
                <w:rFonts w:ascii="Cambria Math" w:hAnsi="Cambria Math"/>
                <w:sz w:val="22"/>
              </w:rPr>
              <m:t>65.41*</m:t>
            </m:r>
            <m:d>
              <m:dPr>
                <m:ctrlPr>
                  <w:rPr>
                    <w:rFonts w:ascii="Cambria Math" w:hAnsi="Cambria Math"/>
                    <w:sz w:val="22"/>
                  </w:rPr>
                </m:ctrlPr>
              </m:dPr>
              <m:e>
                <m:sSup>
                  <m:sSupPr>
                    <m:ctrlPr>
                      <w:rPr>
                        <w:rFonts w:ascii="Cambria Math" w:hAnsi="Cambria Math"/>
                        <w:sz w:val="22"/>
                      </w:rPr>
                    </m:ctrlPr>
                  </m:sSupPr>
                  <m:e>
                    <m:d>
                      <m:dPr>
                        <m:ctrlPr>
                          <w:rPr>
                            <w:rFonts w:ascii="Cambria Math" w:hAnsi="Cambria Math"/>
                            <w:sz w:val="22"/>
                          </w:rPr>
                        </m:ctrlPr>
                      </m:dPr>
                      <m:e>
                        <m:func>
                          <m:funcPr>
                            <m:ctrlPr>
                              <w:rPr>
                                <w:rFonts w:ascii="Cambria Math" w:hAnsi="Cambria Math"/>
                                <w:sz w:val="22"/>
                              </w:rPr>
                            </m:ctrlPr>
                          </m:funcPr>
                          <m:fName>
                            <m:r>
                              <m:rPr>
                                <m:sty m:val="p"/>
                              </m:rPr>
                              <w:rPr>
                                <w:rFonts w:ascii="Cambria Math" w:hAnsi="Cambria Math"/>
                                <w:sz w:val="22"/>
                              </w:rPr>
                              <m:t>sin</m:t>
                            </m:r>
                          </m:fName>
                          <m:e>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rPr>
                                      <m:t>S</m:t>
                                    </m:r>
                                  </m:num>
                                  <m:den>
                                    <m:r>
                                      <m:rPr>
                                        <m:sty m:val="p"/>
                                      </m:rPr>
                                      <w:rPr>
                                        <w:rFonts w:ascii="Cambria Math" w:hAnsi="Cambria Math"/>
                                        <w:sz w:val="22"/>
                                      </w:rPr>
                                      <m:t>100</m:t>
                                    </m:r>
                                  </m:den>
                                </m:f>
                              </m:e>
                            </m:d>
                          </m:e>
                        </m:func>
                      </m:e>
                    </m:d>
                    <m:r>
                      <m:rPr>
                        <m:sty m:val="p"/>
                      </m:rPr>
                      <w:rPr>
                        <w:rFonts w:ascii="Cambria Math" w:hAnsi="Cambria Math"/>
                        <w:sz w:val="22"/>
                      </w:rPr>
                      <m:t xml:space="preserve"> </m:t>
                    </m:r>
                  </m:e>
                  <m:sup>
                    <m:r>
                      <m:rPr>
                        <m:sty m:val="p"/>
                      </m:rPr>
                      <w:rPr>
                        <w:rFonts w:ascii="Cambria Math" w:hAnsi="Cambria Math"/>
                        <w:sz w:val="22"/>
                      </w:rPr>
                      <m:t>2</m:t>
                    </m:r>
                  </m:sup>
                </m:sSup>
                <m:r>
                  <m:rPr>
                    <m:sty m:val="p"/>
                  </m:rPr>
                  <w:rPr>
                    <w:rFonts w:ascii="Cambria Math" w:hAnsi="Cambria Math"/>
                    <w:sz w:val="22"/>
                  </w:rPr>
                  <m:t>+4.56*</m:t>
                </m:r>
                <m:func>
                  <m:funcPr>
                    <m:ctrlPr>
                      <w:rPr>
                        <w:rFonts w:ascii="Cambria Math" w:hAnsi="Cambria Math"/>
                        <w:sz w:val="22"/>
                      </w:rPr>
                    </m:ctrlPr>
                  </m:funcPr>
                  <m:fName>
                    <m:r>
                      <m:rPr>
                        <m:sty m:val="p"/>
                      </m:rPr>
                      <w:rPr>
                        <w:rFonts w:ascii="Cambria Math" w:hAnsi="Cambria Math"/>
                        <w:sz w:val="22"/>
                      </w:rPr>
                      <m:t>sin</m:t>
                    </m:r>
                  </m:fName>
                  <m:e>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rPr>
                              <m:t>S</m:t>
                            </m:r>
                          </m:num>
                          <m:den>
                            <m:r>
                              <m:rPr>
                                <m:sty m:val="p"/>
                              </m:rPr>
                              <w:rPr>
                                <w:rFonts w:ascii="Cambria Math" w:hAnsi="Cambria Math"/>
                                <w:sz w:val="22"/>
                              </w:rPr>
                              <m:t>100</m:t>
                            </m:r>
                          </m:den>
                        </m:f>
                      </m:e>
                    </m:d>
                  </m:e>
                </m:func>
                <m:r>
                  <m:rPr>
                    <m:sty m:val="p"/>
                  </m:rPr>
                  <w:rPr>
                    <w:rFonts w:ascii="Cambria Math" w:hAnsi="Cambria Math"/>
                    <w:sz w:val="22"/>
                  </w:rPr>
                  <m:t>+0.065</m:t>
                </m:r>
              </m:e>
            </m:d>
          </m:e>
        </m:d>
      </m:oMath>
      <w:r w:rsidRPr="008651FA">
        <w:rPr>
          <w:rFonts w:ascii="Times New Roman" w:hAnsi="Times New Roman"/>
          <w:sz w:val="22"/>
        </w:rPr>
        <w:t xml:space="preserve"> </w:t>
      </w:r>
      <w:r w:rsidRPr="008651FA">
        <w:rPr>
          <w:rFonts w:ascii="Times New Roman" w:hAnsi="Times New Roman"/>
          <w:sz w:val="22"/>
        </w:rPr>
        <w:tab/>
      </w:r>
      <w:r w:rsidRPr="008651FA">
        <w:rPr>
          <w:rFonts w:ascii="Times New Roman" w:hAnsi="Times New Roman"/>
          <w:sz w:val="22"/>
        </w:rPr>
        <w:tab/>
        <w:t>Eq. (20)</w:t>
      </w:r>
    </w:p>
    <w:p w14:paraId="441DDD99" w14:textId="77777777" w:rsidR="008A24CD" w:rsidRPr="008651FA" w:rsidRDefault="008A24CD" w:rsidP="008A24CD">
      <w:pPr>
        <w:pStyle w:val="MDPI35textbeforelist"/>
        <w:spacing w:line="480" w:lineRule="auto"/>
        <w:jc w:val="left"/>
        <w:rPr>
          <w:rFonts w:ascii="Times New Roman" w:hAnsi="Times New Roman"/>
          <w:sz w:val="22"/>
        </w:rPr>
      </w:pPr>
    </w:p>
    <w:p w14:paraId="48CB0E2C" w14:textId="66526569" w:rsidR="008A24CD" w:rsidRPr="008651FA" w:rsidRDefault="008A24CD" w:rsidP="008A24CD">
      <w:pPr>
        <w:pStyle w:val="MDPI35textbeforelist"/>
        <w:spacing w:line="480" w:lineRule="auto"/>
        <w:ind w:left="0" w:firstLine="0"/>
        <w:jc w:val="left"/>
        <w:rPr>
          <w:rFonts w:ascii="Times New Roman" w:hAnsi="Times New Roman"/>
          <w:sz w:val="22"/>
        </w:rPr>
      </w:pPr>
      <w:r w:rsidRPr="008651FA">
        <w:rPr>
          <w:rFonts w:ascii="Times New Roman" w:hAnsi="Times New Roman"/>
          <w:sz w:val="22"/>
        </w:rPr>
        <w:t>Irrigation demand was estimated through the TURC method, as shown in Eq. (21), where ET</w:t>
      </w:r>
      <w:r w:rsidRPr="008651FA">
        <w:rPr>
          <w:rFonts w:ascii="Times New Roman" w:hAnsi="Times New Roman"/>
          <w:sz w:val="22"/>
          <w:vertAlign w:val="subscript"/>
        </w:rPr>
        <w:t>0</w:t>
      </w:r>
      <w:r w:rsidRPr="008651FA">
        <w:rPr>
          <w:rFonts w:ascii="Times New Roman" w:hAnsi="Times New Roman"/>
          <w:sz w:val="22"/>
        </w:rPr>
        <w:t xml:space="preserve"> is the reference evapotranspiration (mm/month), R</w:t>
      </w:r>
      <w:r w:rsidRPr="008651FA">
        <w:rPr>
          <w:rFonts w:ascii="Times New Roman" w:hAnsi="Times New Roman"/>
          <w:sz w:val="22"/>
          <w:vertAlign w:val="subscript"/>
        </w:rPr>
        <w:t xml:space="preserve">s </w:t>
      </w:r>
      <w:r w:rsidRPr="008651FA">
        <w:rPr>
          <w:rFonts w:ascii="Times New Roman" w:hAnsi="Times New Roman"/>
          <w:sz w:val="22"/>
        </w:rPr>
        <w:t>is the solar radiation (MJ/m</w:t>
      </w:r>
      <w:r w:rsidRPr="008651FA">
        <w:rPr>
          <w:rFonts w:ascii="Times New Roman" w:hAnsi="Times New Roman"/>
          <w:sz w:val="22"/>
          <w:vertAlign w:val="superscript"/>
        </w:rPr>
        <w:t>2</w:t>
      </w:r>
      <w:r w:rsidRPr="008651FA">
        <w:rPr>
          <w:rFonts w:ascii="Times New Roman" w:hAnsi="Times New Roman"/>
          <w:sz w:val="22"/>
        </w:rPr>
        <w:t xml:space="preserve">), and </w:t>
      </w:r>
      <w:proofErr w:type="spellStart"/>
      <w:r w:rsidRPr="008651FA">
        <w:rPr>
          <w:rFonts w:ascii="Times New Roman" w:hAnsi="Times New Roman"/>
          <w:sz w:val="22"/>
        </w:rPr>
        <w:t>T</w:t>
      </w:r>
      <w:r w:rsidRPr="008651FA">
        <w:rPr>
          <w:rFonts w:ascii="Times New Roman" w:hAnsi="Times New Roman"/>
          <w:sz w:val="22"/>
          <w:vertAlign w:val="subscript"/>
        </w:rPr>
        <w:t>mean</w:t>
      </w:r>
      <w:proofErr w:type="spellEnd"/>
      <w:r w:rsidRPr="008651FA">
        <w:rPr>
          <w:rFonts w:ascii="Times New Roman" w:hAnsi="Times New Roman"/>
          <w:sz w:val="22"/>
        </w:rPr>
        <w:t xml:space="preserve"> is the average air temperature. This method calculates the water balance based on the amount of water available in the soil for crop use, accounts </w:t>
      </w:r>
      <w:r>
        <w:rPr>
          <w:rFonts w:ascii="Times New Roman" w:hAnsi="Times New Roman"/>
          <w:sz w:val="22"/>
        </w:rPr>
        <w:t xml:space="preserve">for </w:t>
      </w:r>
      <w:r w:rsidRPr="008651FA">
        <w:rPr>
          <w:rFonts w:ascii="Times New Roman" w:hAnsi="Times New Roman"/>
          <w:sz w:val="22"/>
        </w:rPr>
        <w:t xml:space="preserve">the water removal through evapotranspiration, and the water added to </w:t>
      </w:r>
      <w:r>
        <w:rPr>
          <w:rFonts w:ascii="Times New Roman" w:hAnsi="Times New Roman"/>
          <w:sz w:val="22"/>
        </w:rPr>
        <w:t xml:space="preserve">the </w:t>
      </w:r>
      <w:r w:rsidRPr="008651FA">
        <w:rPr>
          <w:rFonts w:ascii="Times New Roman" w:hAnsi="Times New Roman"/>
          <w:sz w:val="22"/>
        </w:rPr>
        <w:t xml:space="preserve">soil through rainfall and irrigation </w:t>
      </w:r>
      <w:r w:rsidRPr="008651FA">
        <w:rPr>
          <w:rFonts w:ascii="Times New Roman" w:hAnsi="Times New Roman"/>
          <w:sz w:val="22"/>
        </w:rPr>
        <w:fldChar w:fldCharType="begin" w:fldLock="1"/>
      </w:r>
      <w:r>
        <w:rPr>
          <w:rFonts w:ascii="Times New Roman" w:hAnsi="Times New Roman"/>
          <w:sz w:val="22"/>
        </w:rPr>
        <w:instrText>ADDIN CSL_CITATION {"citationItems":[{"id":"ITEM-1","itemData":{"author":[{"dropping-particle":"","family":"Fisher","given":"Daniel K","non-dropping-particle":"","parse-names":false,"suffix":""},{"dropping-particle":"","family":"Iii","given":"H C Pringle","non-dropping-particle":"","parse-names":false,"suffix":""}],"container-title":"Agricultural Sciences","id":"ITEM-1","issue":"8","issued":{"date-parts":[["2013"]]},"page":"51-60","title":"Evaluation of alternative methods for estimating reference evapotranspiration","type":"article-journal","volume":"4"},"uris":["http://www.mendeley.com/documents/?uuid=efe41e27-171d-4b87-9000-e49acf8a63b8"]},{"id":"ITEM-2","itemData":{"DOI":"10.1016/B978-0-12-811748-4.00012-1","ISBN":"9780128117484","author":[{"dropping-particle":"","family":"Kumar Rai","given":"Raveedra","non-dropping-particle":"","parse-names":false,"suffix":""},{"dropping-particle":"","family":"Singh","given":"Vijay P.","non-dropping-particle":"","parse-names":false,"suffix":""},{"dropping-particle":"","family":"Upadhyay","given":"Alka","non-dropping-particle":"","parse-names":false,"suffix":""}],"chapter-number":"12","container-title":"Planning and Evaluation of Irrigation Projects","id":"ITEM-2","issued":{"date-parts":[["2017"]]},"page":"385-412","title":"Irrigation scheduling","type":"chapter"},"uris":["http://www.mendeley.com/documents/?uuid=bd84c80c-93b1-4f83-be6d-2d03e0c8ad75"]}],"mendeley":{"formattedCitation":"(Fisher and Iii, 2013; Kumar Rai et al., 2017)","plainTextFormattedCitation":"(Fisher and Iii, 2013; Kumar Rai et al., 2017)","previouslyFormattedCitation":"[20,21]"},"properties":{"noteIndex":0},"schema":"https://github.com/citation-style-language/schema/raw/master/csl-citation.json"}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(Fisher and Iii, 2013; Kumar Rai et al., 2017)</w:t>
      </w:r>
      <w:r w:rsidRPr="008651FA">
        <w:rPr>
          <w:rFonts w:ascii="Times New Roman" w:hAnsi="Times New Roman"/>
          <w:sz w:val="22"/>
        </w:rPr>
        <w:fldChar w:fldCharType="end"/>
      </w:r>
      <w:r w:rsidRPr="008651FA">
        <w:rPr>
          <w:rFonts w:ascii="Times New Roman" w:hAnsi="Times New Roman"/>
          <w:sz w:val="22"/>
        </w:rPr>
        <w:t xml:space="preserve">. Irrigation was calculated according to Eq. (22), where </w:t>
      </w:r>
      <w:proofErr w:type="spellStart"/>
      <w:r w:rsidRPr="008651FA">
        <w:rPr>
          <w:rFonts w:ascii="Times New Roman" w:hAnsi="Times New Roman"/>
          <w:sz w:val="22"/>
        </w:rPr>
        <w:t>ET</w:t>
      </w:r>
      <w:r w:rsidRPr="008651FA">
        <w:rPr>
          <w:rFonts w:ascii="Times New Roman" w:hAnsi="Times New Roman"/>
          <w:sz w:val="22"/>
          <w:vertAlign w:val="subscript"/>
        </w:rPr>
        <w:t>c</w:t>
      </w:r>
      <w:proofErr w:type="spellEnd"/>
      <w:r w:rsidRPr="008651FA">
        <w:rPr>
          <w:rFonts w:ascii="Times New Roman" w:hAnsi="Times New Roman"/>
          <w:sz w:val="22"/>
        </w:rPr>
        <w:t xml:space="preserve"> is the water demand by the crop and Pe is the effective rainfall. </w:t>
      </w:r>
      <w:r>
        <w:rPr>
          <w:rFonts w:ascii="Times New Roman" w:hAnsi="Times New Roman"/>
          <w:sz w:val="22"/>
        </w:rPr>
        <w:t xml:space="preserve">Finally, </w:t>
      </w:r>
      <w:proofErr w:type="spellStart"/>
      <w:r w:rsidRPr="008651FA">
        <w:rPr>
          <w:rFonts w:ascii="Times New Roman" w:hAnsi="Times New Roman"/>
          <w:sz w:val="22"/>
        </w:rPr>
        <w:t>ET</w:t>
      </w:r>
      <w:r w:rsidRPr="008651FA">
        <w:rPr>
          <w:rFonts w:ascii="Times New Roman" w:hAnsi="Times New Roman"/>
          <w:sz w:val="22"/>
          <w:vertAlign w:val="subscript"/>
        </w:rPr>
        <w:t>c</w:t>
      </w:r>
      <w:proofErr w:type="spellEnd"/>
      <w:r w:rsidRPr="008651FA">
        <w:rPr>
          <w:rFonts w:ascii="Times New Roman" w:hAnsi="Times New Roman"/>
          <w:sz w:val="22"/>
        </w:rPr>
        <w:t xml:space="preserve"> was estimated according to Eq. (23), where Kc is the crop factor of sugarcane. </w:t>
      </w:r>
    </w:p>
    <w:p w14:paraId="30EB94CA" w14:textId="77777777" w:rsidR="008A24CD" w:rsidRPr="008651FA" w:rsidRDefault="008A24CD" w:rsidP="008A24CD">
      <w:pPr>
        <w:pStyle w:val="MDPI35textbeforelist"/>
        <w:spacing w:line="480" w:lineRule="auto"/>
        <w:jc w:val="left"/>
        <w:rPr>
          <w:rFonts w:ascii="Times New Roman" w:hAnsi="Times New Roman"/>
          <w:sz w:val="22"/>
        </w:rPr>
      </w:pPr>
    </w:p>
    <w:p w14:paraId="58B7C4F3" w14:textId="77777777" w:rsidR="008A24CD" w:rsidRPr="008651FA" w:rsidRDefault="0009182D" w:rsidP="008A24CD">
      <w:pPr>
        <w:pStyle w:val="MDPI35textbeforelist"/>
        <w:spacing w:line="480" w:lineRule="auto"/>
        <w:ind w:left="0" w:firstLine="0"/>
        <w:jc w:val="left"/>
        <w:rPr>
          <w:rFonts w:ascii="Times New Roman" w:hAnsi="Times New Roman"/>
          <w:iCs/>
          <w:sz w:val="22"/>
        </w:rPr>
      </w:pPr>
      <m:oMath>
        <m:sSub>
          <m:sSubPr>
            <m:ctrlPr>
              <w:rPr>
                <w:rFonts w:ascii="Cambria Math" w:hAnsi="Cambria Math"/>
                <w:iCs/>
                <w:sz w:val="22"/>
              </w:rPr>
            </m:ctrlPr>
          </m:sSubPr>
          <m:e>
            <m:r>
              <m:rPr>
                <m:sty m:val="p"/>
              </m:rPr>
              <w:rPr>
                <w:rFonts w:ascii="Cambria Math" w:hAnsi="Cambria Math"/>
                <w:sz w:val="22"/>
              </w:rPr>
              <m:t>ET</m:t>
            </m:r>
          </m:e>
          <m:sub>
            <m:r>
              <m:rPr>
                <m:sty m:val="p"/>
              </m:rPr>
              <w:rPr>
                <w:rFonts w:ascii="Cambria Math" w:hAnsi="Cambria Math"/>
                <w:sz w:val="22"/>
              </w:rPr>
              <m:t>0</m:t>
            </m:r>
          </m:sub>
        </m:sSub>
        <m:r>
          <m:rPr>
            <m:sty m:val="p"/>
          </m:rPr>
          <w:rPr>
            <w:rFonts w:ascii="Cambria Math" w:hAnsi="Cambria Math"/>
            <w:sz w:val="22"/>
          </w:rPr>
          <m:t>=0.40*</m:t>
        </m:r>
        <m:d>
          <m:dPr>
            <m:ctrlPr>
              <w:rPr>
                <w:rFonts w:ascii="Cambria Math" w:hAnsi="Cambria Math"/>
                <w:iCs/>
                <w:sz w:val="22"/>
              </w:rPr>
            </m:ctrlPr>
          </m:dPr>
          <m:e>
            <m:f>
              <m:fPr>
                <m:ctrlPr>
                  <w:rPr>
                    <w:rFonts w:ascii="Cambria Math" w:hAnsi="Cambria Math"/>
                    <w:iCs/>
                    <w:sz w:val="22"/>
                  </w:rPr>
                </m:ctrlPr>
              </m:fPr>
              <m:num>
                <m:sSub>
                  <m:sSubPr>
                    <m:ctrlPr>
                      <w:rPr>
                        <w:rFonts w:ascii="Cambria Math" w:hAnsi="Cambria Math"/>
                        <w:iCs/>
                        <w:sz w:val="22"/>
                      </w:rPr>
                    </m:ctrlPr>
                  </m:sSubPr>
                  <m:e>
                    <m:r>
                      <m:rPr>
                        <m:sty m:val="p"/>
                      </m:rPr>
                      <w:rPr>
                        <w:rFonts w:ascii="Cambria Math" w:hAnsi="Cambria Math"/>
                        <w:sz w:val="22"/>
                      </w:rPr>
                      <m:t>T</m:t>
                    </m:r>
                  </m:e>
                  <m:sub>
                    <m:r>
                      <m:rPr>
                        <m:sty m:val="p"/>
                      </m:rPr>
                      <w:rPr>
                        <w:rFonts w:ascii="Cambria Math" w:hAnsi="Cambria Math"/>
                        <w:sz w:val="22"/>
                      </w:rPr>
                      <m:t>mean</m:t>
                    </m:r>
                  </m:sub>
                </m:sSub>
              </m:num>
              <m:den>
                <m:sSub>
                  <m:sSubPr>
                    <m:ctrlPr>
                      <w:rPr>
                        <w:rFonts w:ascii="Cambria Math" w:hAnsi="Cambria Math"/>
                        <w:iCs/>
                        <w:sz w:val="22"/>
                      </w:rPr>
                    </m:ctrlPr>
                  </m:sSubPr>
                  <m:e>
                    <m:r>
                      <m:rPr>
                        <m:sty m:val="p"/>
                      </m:rPr>
                      <w:rPr>
                        <w:rFonts w:ascii="Cambria Math" w:hAnsi="Cambria Math"/>
                        <w:sz w:val="22"/>
                      </w:rPr>
                      <m:t>T</m:t>
                    </m:r>
                  </m:e>
                  <m:sub>
                    <m:r>
                      <m:rPr>
                        <m:sty m:val="p"/>
                      </m:rPr>
                      <w:rPr>
                        <w:rFonts w:ascii="Cambria Math" w:hAnsi="Cambria Math"/>
                        <w:sz w:val="22"/>
                      </w:rPr>
                      <m:t>mean</m:t>
                    </m:r>
                  </m:sub>
                </m:sSub>
                <m:r>
                  <m:rPr>
                    <m:sty m:val="p"/>
                  </m:rPr>
                  <w:rPr>
                    <w:rFonts w:ascii="Cambria Math" w:hAnsi="Cambria Math"/>
                    <w:sz w:val="22"/>
                  </w:rPr>
                  <m:t>+15</m:t>
                </m:r>
              </m:den>
            </m:f>
          </m:e>
        </m:d>
        <m:d>
          <m:dPr>
            <m:ctrlPr>
              <w:rPr>
                <w:rFonts w:ascii="Cambria Math" w:hAnsi="Cambria Math"/>
                <w:iCs/>
                <w:sz w:val="22"/>
              </w:rPr>
            </m:ctrlPr>
          </m:dPr>
          <m:e>
            <m:sSub>
              <m:sSubPr>
                <m:ctrlPr>
                  <w:rPr>
                    <w:rFonts w:ascii="Cambria Math" w:hAnsi="Cambria Math"/>
                    <w:iCs/>
                    <w:sz w:val="22"/>
                  </w:rPr>
                </m:ctrlPr>
              </m:sSubPr>
              <m:e>
                <m:r>
                  <m:rPr>
                    <m:sty m:val="p"/>
                  </m:rPr>
                  <w:rPr>
                    <w:rFonts w:ascii="Cambria Math" w:hAnsi="Cambria Math"/>
                    <w:sz w:val="22"/>
                  </w:rPr>
                  <m:t>R</m:t>
                </m:r>
              </m:e>
              <m:sub>
                <m:r>
                  <m:rPr>
                    <m:sty m:val="p"/>
                  </m:rPr>
                  <w:rPr>
                    <w:rFonts w:ascii="Cambria Math" w:hAnsi="Cambria Math"/>
                    <w:sz w:val="22"/>
                  </w:rPr>
                  <m:t>s</m:t>
                </m:r>
              </m:sub>
            </m:sSub>
            <m:r>
              <m:rPr>
                <m:sty m:val="p"/>
              </m:rPr>
              <w:rPr>
                <w:rFonts w:ascii="Cambria Math" w:hAnsi="Cambria Math"/>
                <w:sz w:val="22"/>
              </w:rPr>
              <m:t>+50</m:t>
            </m:r>
          </m:e>
        </m:d>
      </m:oMath>
      <w:r w:rsidR="008A24CD" w:rsidRPr="008651FA">
        <w:rPr>
          <w:rFonts w:ascii="Times New Roman" w:hAnsi="Times New Roman"/>
          <w:iCs/>
          <w:sz w:val="22"/>
        </w:rPr>
        <w:t xml:space="preserve"> </w:t>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r>
      <w:r w:rsidR="008A24CD" w:rsidRPr="008651FA">
        <w:rPr>
          <w:rFonts w:ascii="Times New Roman" w:hAnsi="Times New Roman"/>
          <w:iCs/>
          <w:sz w:val="22"/>
        </w:rPr>
        <w:tab/>
        <w:t>Eq. (21)</w:t>
      </w:r>
    </w:p>
    <w:p w14:paraId="1D0B87A1" w14:textId="77777777" w:rsidR="008A24CD" w:rsidRPr="008651FA" w:rsidRDefault="008A24CD" w:rsidP="008A24CD">
      <w:pPr>
        <w:pStyle w:val="MDPI35textbeforelist"/>
        <w:spacing w:line="480" w:lineRule="auto"/>
        <w:ind w:left="3118" w:firstLine="452"/>
        <w:jc w:val="left"/>
        <w:rPr>
          <w:rFonts w:ascii="Times New Roman" w:hAnsi="Times New Roman"/>
          <w:iCs/>
          <w:sz w:val="22"/>
        </w:rPr>
      </w:pPr>
    </w:p>
    <w:p w14:paraId="5E5EEDCC" w14:textId="77777777" w:rsidR="008A24CD" w:rsidRPr="008651FA" w:rsidRDefault="008A24CD" w:rsidP="008A24CD">
      <w:pPr>
        <w:pStyle w:val="MDPI35textbeforelist"/>
        <w:spacing w:line="480" w:lineRule="auto"/>
        <w:ind w:left="0" w:firstLine="0"/>
        <w:jc w:val="left"/>
        <w:rPr>
          <w:rFonts w:ascii="Times New Roman" w:hAnsi="Times New Roman"/>
          <w:iCs/>
          <w:sz w:val="22"/>
        </w:rPr>
      </w:pPr>
      <m:oMath>
        <m:r>
          <m:rPr>
            <m:sty m:val="p"/>
          </m:rPr>
          <w:rPr>
            <w:rFonts w:ascii="Cambria Math" w:hAnsi="Cambria Math"/>
            <w:sz w:val="22"/>
          </w:rPr>
          <m:t xml:space="preserve">Irrigation= </m:t>
        </m:r>
        <m:sSub>
          <m:sSubPr>
            <m:ctrlPr>
              <w:rPr>
                <w:rFonts w:ascii="Cambria Math" w:hAnsi="Cambria Math"/>
                <w:iCs/>
                <w:sz w:val="22"/>
              </w:rPr>
            </m:ctrlPr>
          </m:sSubPr>
          <m:e>
            <m:r>
              <m:rPr>
                <m:sty m:val="p"/>
              </m:rPr>
              <w:rPr>
                <w:rFonts w:ascii="Cambria Math" w:hAnsi="Cambria Math"/>
                <w:sz w:val="22"/>
              </w:rPr>
              <m:t>ET</m:t>
            </m:r>
          </m:e>
          <m:sub>
            <m:r>
              <m:rPr>
                <m:sty m:val="p"/>
              </m:rPr>
              <w:rPr>
                <w:rFonts w:ascii="Cambria Math" w:hAnsi="Cambria Math"/>
                <w:sz w:val="22"/>
              </w:rPr>
              <m:t>c</m:t>
            </m:r>
          </m:sub>
        </m:sSub>
        <m:r>
          <m:rPr>
            <m:sty m:val="p"/>
          </m:rPr>
          <w:rPr>
            <w:rFonts w:ascii="Cambria Math" w:hAnsi="Cambria Math"/>
            <w:sz w:val="22"/>
          </w:rPr>
          <m:t>-Pe</m:t>
        </m:r>
      </m:oMath>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r>
      <w:r w:rsidRPr="008651FA">
        <w:rPr>
          <w:rFonts w:ascii="Times New Roman" w:hAnsi="Times New Roman"/>
          <w:iCs/>
          <w:sz w:val="22"/>
        </w:rPr>
        <w:tab/>
        <w:t>Eq. (22)</w:t>
      </w:r>
    </w:p>
    <w:p w14:paraId="7AD5A1CB" w14:textId="77777777" w:rsidR="008A24CD" w:rsidRPr="008651FA" w:rsidRDefault="008A24CD" w:rsidP="008A24CD">
      <w:pPr>
        <w:pStyle w:val="MDPI35textbeforelist"/>
        <w:spacing w:line="480" w:lineRule="auto"/>
        <w:ind w:left="3060" w:firstLine="510"/>
        <w:jc w:val="left"/>
        <w:rPr>
          <w:rFonts w:ascii="Times New Roman" w:hAnsi="Times New Roman"/>
          <w:iCs/>
          <w:sz w:val="22"/>
        </w:rPr>
      </w:pPr>
    </w:p>
    <w:p w14:paraId="70ACDE28" w14:textId="77777777" w:rsidR="008A24CD" w:rsidRPr="008651FA" w:rsidRDefault="0009182D" w:rsidP="008A24CD">
      <w:pPr>
        <w:pStyle w:val="MDPI35textbeforelist"/>
        <w:spacing w:line="480" w:lineRule="auto"/>
        <w:ind w:left="0" w:firstLine="0"/>
        <w:jc w:val="left"/>
        <w:rPr>
          <w:rFonts w:ascii="Times New Roman" w:hAnsi="Times New Roman"/>
          <w:sz w:val="22"/>
        </w:rPr>
      </w:pPr>
      <m:oMath>
        <m:sSub>
          <m:sSubPr>
            <m:ctrlPr>
              <w:rPr>
                <w:rFonts w:ascii="Cambria Math" w:hAnsi="Cambria Math"/>
                <w:iCs/>
                <w:sz w:val="22"/>
              </w:rPr>
            </m:ctrlPr>
          </m:sSubPr>
          <m:e>
            <m:r>
              <m:rPr>
                <m:sty m:val="p"/>
              </m:rPr>
              <w:rPr>
                <w:rFonts w:ascii="Cambria Math" w:hAnsi="Cambria Math"/>
                <w:sz w:val="22"/>
              </w:rPr>
              <m:t>ET</m:t>
            </m:r>
          </m:e>
          <m:sub>
            <m:r>
              <m:rPr>
                <m:sty m:val="p"/>
              </m:rPr>
              <w:rPr>
                <w:rFonts w:ascii="Cambria Math" w:hAnsi="Cambria Math"/>
                <w:sz w:val="22"/>
              </w:rPr>
              <m:t>C</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ET</m:t>
            </m:r>
          </m:e>
          <m:sub>
            <m:r>
              <m:rPr>
                <m:sty m:val="p"/>
              </m:rPr>
              <w:rPr>
                <w:rFonts w:ascii="Cambria Math" w:hAnsi="Cambria Math"/>
                <w:sz w:val="22"/>
              </w:rPr>
              <m:t>0</m:t>
            </m:r>
          </m:sub>
        </m:sSub>
        <m:r>
          <m:rPr>
            <m:sty m:val="p"/>
          </m:rPr>
          <w:rPr>
            <w:rFonts w:ascii="Cambria Math" w:hAnsi="Cambria Math"/>
            <w:sz w:val="22"/>
          </w:rPr>
          <m:t>*</m:t>
        </m:r>
        <m:sSub>
          <m:sSubPr>
            <m:ctrlPr>
              <w:rPr>
                <w:rFonts w:ascii="Cambria Math" w:hAnsi="Cambria Math"/>
                <w:iCs/>
                <w:sz w:val="22"/>
              </w:rPr>
            </m:ctrlPr>
          </m:sSubPr>
          <m:e>
            <m:r>
              <m:rPr>
                <m:sty m:val="p"/>
              </m:rPr>
              <w:rPr>
                <w:rFonts w:ascii="Cambria Math" w:hAnsi="Cambria Math"/>
                <w:sz w:val="22"/>
              </w:rPr>
              <m:t>K</m:t>
            </m:r>
          </m:e>
          <m:sub>
            <m:r>
              <m:rPr>
                <m:sty m:val="p"/>
              </m:rPr>
              <w:rPr>
                <w:rFonts w:ascii="Cambria Math" w:hAnsi="Cambria Math"/>
                <w:sz w:val="22"/>
              </w:rPr>
              <m:t>c</m:t>
            </m:r>
          </m:sub>
        </m:sSub>
      </m:oMath>
      <w:r w:rsidR="008A24CD" w:rsidRPr="008651FA">
        <w:rPr>
          <w:rFonts w:ascii="Times New Roman" w:hAnsi="Times New Roman"/>
          <w:iCs/>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t>Eq. (23)</w:t>
      </w:r>
    </w:p>
    <w:p w14:paraId="32D396A6" w14:textId="77777777" w:rsidR="008A24CD" w:rsidRPr="008651FA" w:rsidRDefault="008A24CD" w:rsidP="008A24CD">
      <w:pPr>
        <w:pStyle w:val="MDPI35textbeforelist"/>
        <w:spacing w:line="480" w:lineRule="auto"/>
        <w:ind w:left="3118" w:firstLine="452"/>
        <w:jc w:val="left"/>
        <w:rPr>
          <w:rFonts w:ascii="Times New Roman" w:hAnsi="Times New Roman"/>
          <w:sz w:val="22"/>
        </w:rPr>
      </w:pPr>
    </w:p>
    <w:p w14:paraId="7A472A5B" w14:textId="761C29E1" w:rsidR="008A24CD" w:rsidRPr="008651FA" w:rsidRDefault="008A24CD" w:rsidP="008A24CD">
      <w:pPr>
        <w:pStyle w:val="MDPI35textbeforelist"/>
        <w:spacing w:line="480" w:lineRule="auto"/>
        <w:ind w:left="0" w:firstLine="0"/>
        <w:jc w:val="left"/>
        <w:rPr>
          <w:rFonts w:ascii="Times New Roman" w:hAnsi="Times New Roman"/>
          <w:sz w:val="22"/>
        </w:rPr>
      </w:pPr>
      <w:r>
        <w:rPr>
          <w:rFonts w:ascii="Times New Roman" w:hAnsi="Times New Roman"/>
          <w:sz w:val="22"/>
        </w:rPr>
        <w:t>C</w:t>
      </w:r>
      <w:r w:rsidRPr="008651FA">
        <w:rPr>
          <w:rFonts w:ascii="Times New Roman" w:hAnsi="Times New Roman"/>
          <w:sz w:val="22"/>
        </w:rPr>
        <w:t xml:space="preserve">arbon sequestration by the crop was calculated according to Eq. (24) where </w:t>
      </w:r>
      <w:proofErr w:type="spellStart"/>
      <w:r w:rsidRPr="008651FA">
        <w:rPr>
          <w:rFonts w:ascii="Times New Roman" w:hAnsi="Times New Roman"/>
          <w:sz w:val="22"/>
        </w:rPr>
        <w:t>w</w:t>
      </w:r>
      <w:r w:rsidRPr="008651FA">
        <w:rPr>
          <w:rFonts w:ascii="Times New Roman" w:hAnsi="Times New Roman"/>
          <w:sz w:val="22"/>
          <w:vertAlign w:val="subscript"/>
        </w:rPr>
        <w:t>i</w:t>
      </w:r>
      <w:proofErr w:type="spellEnd"/>
      <w:r w:rsidRPr="008651FA">
        <w:rPr>
          <w:rFonts w:ascii="Times New Roman" w:hAnsi="Times New Roman"/>
          <w:sz w:val="22"/>
        </w:rPr>
        <w:t xml:space="preserve"> is the fraction of carbohydrates, proteins, lipids, fibers, and ash in the sugarcane. C is the content of carbon of these fractions whose values are 440, 530, 750, 440, and 0 g C/kg dry matter, respectively </w:t>
      </w:r>
      <w:r w:rsidRPr="008651FA">
        <w:rPr>
          <w:rFonts w:ascii="Times New Roman" w:hAnsi="Times New Roman"/>
          <w:sz w:val="22"/>
        </w:rPr>
        <w:fldChar w:fldCharType="begin" w:fldLock="1"/>
      </w:r>
      <w:r>
        <w:rPr>
          <w:rFonts w:ascii="Times New Roman" w:hAnsi="Times New Roman"/>
          <w:sz w:val="22"/>
        </w:rPr>
        <w:instrText>ADDIN CSL_CITATION {"citationItems":[{"id":"ITEM-1","itemData":{"author":[{"dropping-particle":"","family":"Nemecek","given":"Thomas","non-dropping-particle":"","parse-names":false,"suffix":""},{"dropping-particle":"","family":"Kägi","given":"Thomas","non-dropping-particle":"","parse-names":false,"suffix":""}],"id":"ITEM-1","issued":{"date-parts":[["2007"]]},"number-of-pages":"360","title":"Life Cycle Inventories of Agricultural Production Systems","type":"book"},"uris":["http://www.mendeley.com/documents/?uuid=5ab9b9e6-8022-4cd5-b04b-31c9f5d19247"]},{"id":"ITEM-2","itemData":{"DOI":"10.1016/j.jclepro.2022.134276","ISSN":"09596526","abstract":"E-fuels are synthetic fuels produced from renewable sources that have garnered attention because of their potential to reduce environmental impacts in the transport sector. Ethyl levulinate is a fuel additive that can address issues associated with traditional fuels. This product can be obtained from agro-industrial wastes such as rice straw. Therefore, the aim of this study was to assess the technical, economic, and environmental feasibility of producing ethyl levulinate from Colombian rice straw. Aspen Plus v12 and life cycle assessment methodology were used for evaluating the process through the cultivation to the biorefinery stage. A base scenario was analyzed, with an overall yield of 0.115 kg ethyl levulinate/kg rice straw and a total energy consumption of 133.2 kWh/kg of ethyl levulinate produced. A carbon footprint of 2.71 kg CO2-eq/kg Ethyl levulinate was observed, which primarily ascribed to the use of steam derived from fossil fuels. An alternative scenario was proposed by implementing two changes to reduce the environmental impacts. First, steam was generated by the solid hydrolyzed residue combustion, and second, the paddy rice yield was increased to 5.7 t/ha. Reductions of 58.5% and 25.4% in the carbon footprint and ozone depletion were respectively obtained from these improvements. A class V economic assessment is performed for the alternative scenario, yielding a net present value of 18.7 MUSD, payback period of 5 years, and return on investment of 19.6%. Hence, the production of Ethyl levulinate from rice straw is a feasible alternative to boost the e-fuel market while upgrading agro-industrial waste into valuable products.","author":[{"dropping-particle":"","family":"Cañon","given":"Cristhian","non-dropping-particle":"","parse-names":false,"suffix":""},{"dropping-particle":"","family":"Sanchez","given":"Nestor","non-dropping-particle":"","parse-names":false,"suffix":""},{"dropping-particle":"","family":"Cobo","given":"Martha","non-dropping-particle":"","parse-names":false,"suffix":""}],"container-title":"Journal of Cleaner Production","id":"ITEM-2","issue":"September","issued":{"date-parts":[["2022"]]},"title":"Sustainable production of ethyl levulinate by levulinic acid esterification obtained from Colombian rice straw","type":"article-journal","volume":"377"},"uris":["http://www.mendeley.com/documents/?uuid=22735157-0c30-4837-8766-da5f6f6c8a47"]}],"mendeley":{"formattedCitation":"(Cañon et al., 2022; Nemecek and Kägi, 2007)","plainTextFormattedCitation":"(Cañon et al., 2022; Nemecek and Kägi, 2007)","previouslyFormattedCitation":"[22,23]"},"properties":{"noteIndex":0},"schema":"https://github.com/citation-style-language/schema/raw/master/csl-citation.json"}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(Cañon et al., 2022; Nemecek and Kägi, 2007)</w:t>
      </w:r>
      <w:r w:rsidRPr="008651FA">
        <w:rPr>
          <w:rFonts w:ascii="Times New Roman" w:hAnsi="Times New Roman"/>
          <w:sz w:val="22"/>
        </w:rPr>
        <w:fldChar w:fldCharType="end"/>
      </w:r>
      <w:r w:rsidRPr="008651FA">
        <w:rPr>
          <w:rFonts w:ascii="Times New Roman" w:hAnsi="Times New Roman"/>
          <w:sz w:val="22"/>
        </w:rPr>
        <w:t>. We considered both carbon sequestration by sugarcane and for leaves and buds.</w:t>
      </w:r>
    </w:p>
    <w:p w14:paraId="1730CCE9" w14:textId="77777777" w:rsidR="008A24CD" w:rsidRPr="008651FA" w:rsidRDefault="008A24CD" w:rsidP="008A24CD">
      <w:pPr>
        <w:pStyle w:val="MDPI35textbeforelist"/>
        <w:spacing w:line="480" w:lineRule="auto"/>
        <w:jc w:val="left"/>
        <w:rPr>
          <w:rFonts w:ascii="Times New Roman" w:hAnsi="Times New Roman"/>
          <w:sz w:val="22"/>
        </w:rPr>
      </w:pPr>
    </w:p>
    <w:p w14:paraId="4631D731" w14:textId="77777777" w:rsidR="008A24CD" w:rsidRDefault="0009182D" w:rsidP="008A24CD">
      <w:pPr>
        <w:pStyle w:val="MDPI35textbeforelist"/>
        <w:spacing w:line="480" w:lineRule="auto"/>
        <w:ind w:left="0" w:firstLine="0"/>
        <w:jc w:val="left"/>
        <w:rPr>
          <w:rFonts w:ascii="Times New Roman" w:hAnsi="Times New Roman"/>
          <w:sz w:val="22"/>
        </w:rPr>
      </w:pPr>
      <m:oMath>
        <m:sSub>
          <m:sSubPr>
            <m:ctrlPr>
              <w:rPr>
                <w:rFonts w:ascii="Cambria Math" w:hAnsi="Cambria Math"/>
                <w:sz w:val="22"/>
              </w:rPr>
            </m:ctrlPr>
          </m:sSubPr>
          <m:e>
            <m:r>
              <m:rPr>
                <m:sty m:val="p"/>
              </m:rPr>
              <w:rPr>
                <w:rFonts w:ascii="Cambria Math" w:hAnsi="Cambria Math"/>
                <w:sz w:val="22"/>
              </w:rPr>
              <m:t>CO</m:t>
            </m:r>
          </m:e>
          <m:sub>
            <m:r>
              <m:rPr>
                <m:sty m:val="p"/>
              </m:rPr>
              <w:rPr>
                <w:rFonts w:ascii="Cambria Math" w:hAnsi="Cambria Math"/>
                <w:sz w:val="22"/>
              </w:rPr>
              <m:t>2,uptake</m:t>
            </m:r>
          </m:sub>
        </m:sSub>
        <m:r>
          <m:rPr>
            <m:sty m:val="p"/>
          </m:rPr>
          <w:rPr>
            <w:rFonts w:ascii="Cambria Math" w:hAnsi="Cambria Math"/>
            <w:sz w:val="22"/>
          </w:rPr>
          <m:t>=</m:t>
        </m:r>
        <m:d>
          <m:dPr>
            <m:begChr m:val="["/>
            <m:endChr m:val="]"/>
            <m:ctrlPr>
              <w:rPr>
                <w:rFonts w:ascii="Cambria Math" w:hAnsi="Cambria Math"/>
                <w:sz w:val="22"/>
              </w:rPr>
            </m:ctrlPr>
          </m:dPr>
          <m:e>
            <m:nary>
              <m:naryPr>
                <m:chr m:val="∑"/>
                <m:limLoc m:val="undOvr"/>
                <m:subHide m:val="1"/>
                <m:supHide m:val="1"/>
                <m:ctrlPr>
                  <w:rPr>
                    <w:rFonts w:ascii="Cambria Math" w:hAnsi="Cambria Math"/>
                    <w:sz w:val="22"/>
                  </w:rPr>
                </m:ctrlPr>
              </m:naryPr>
              <m:sub/>
              <m:sup/>
              <m:e>
                <m:sSub>
                  <m:sSubPr>
                    <m:ctrlPr>
                      <w:rPr>
                        <w:rFonts w:ascii="Cambria Math" w:hAnsi="Cambria Math"/>
                        <w:sz w:val="22"/>
                      </w:rPr>
                    </m:ctrlPr>
                  </m:sSubPr>
                  <m:e>
                    <m:r>
                      <m:rPr>
                        <m:sty m:val="p"/>
                      </m:rPr>
                      <w:rPr>
                        <w:rFonts w:ascii="Cambria Math" w:hAnsi="Cambria Math"/>
                        <w:sz w:val="22"/>
                      </w:rPr>
                      <m:t>w</m:t>
                    </m:r>
                  </m:e>
                  <m:sub>
                    <m:r>
                      <m:rPr>
                        <m:sty m:val="p"/>
                      </m:rPr>
                      <w:rPr>
                        <w:rFonts w:ascii="Cambria Math" w:hAnsi="Cambria Math"/>
                        <w:sz w:val="22"/>
                      </w:rPr>
                      <m:t>i</m:t>
                    </m:r>
                  </m:sub>
                </m:sSub>
                <m:r>
                  <m:rPr>
                    <m:sty m:val="p"/>
                  </m:rPr>
                  <w:rPr>
                    <w:rFonts w:ascii="Cambria Math" w:hAnsi="Cambria Math"/>
                    <w:sz w:val="22"/>
                  </w:rPr>
                  <m:t>*C</m:t>
                </m:r>
              </m:e>
            </m:nary>
          </m:e>
        </m:d>
        <m:r>
          <m:rPr>
            <m:sty m:val="p"/>
          </m:rPr>
          <w:rPr>
            <w:rFonts w:ascii="Cambria Math" w:hAnsi="Cambria Math"/>
            <w:sz w:val="22"/>
          </w:rPr>
          <m:t>*</m:t>
        </m:r>
        <m:d>
          <m:dPr>
            <m:ctrlPr>
              <w:rPr>
                <w:rFonts w:ascii="Cambria Math" w:hAnsi="Cambria Math"/>
                <w:sz w:val="22"/>
              </w:rPr>
            </m:ctrlPr>
          </m:dPr>
          <m:e>
            <m:f>
              <m:fPr>
                <m:ctrlPr>
                  <w:rPr>
                    <w:rFonts w:ascii="Cambria Math" w:hAnsi="Cambria Math"/>
                    <w:sz w:val="22"/>
                  </w:rPr>
                </m:ctrlPr>
              </m:fPr>
              <m:num>
                <m:r>
                  <m:rPr>
                    <m:sty m:val="p"/>
                  </m:rPr>
                  <w:rPr>
                    <w:rFonts w:ascii="Cambria Math" w:hAnsi="Cambria Math"/>
                    <w:sz w:val="22"/>
                  </w:rPr>
                  <m:t>44</m:t>
                </m:r>
              </m:num>
              <m:den>
                <m:r>
                  <m:rPr>
                    <m:sty m:val="p"/>
                  </m:rPr>
                  <w:rPr>
                    <w:rFonts w:ascii="Cambria Math" w:hAnsi="Cambria Math"/>
                    <w:sz w:val="22"/>
                  </w:rPr>
                  <m:t>12</m:t>
                </m:r>
              </m:den>
            </m:f>
          </m:e>
        </m:d>
      </m:oMath>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r>
      <w:r w:rsidR="008A24CD" w:rsidRPr="008651FA">
        <w:rPr>
          <w:rFonts w:ascii="Times New Roman" w:hAnsi="Times New Roman"/>
          <w:sz w:val="22"/>
        </w:rPr>
        <w:tab/>
        <w:t>Eq. (24)</w:t>
      </w:r>
    </w:p>
    <w:p w14:paraId="011956C2" w14:textId="77777777" w:rsidR="008A24CD" w:rsidRDefault="008A24CD" w:rsidP="008A24CD">
      <w:pPr>
        <w:pStyle w:val="MDPI35textbeforelist"/>
        <w:spacing w:line="480" w:lineRule="auto"/>
        <w:ind w:left="0" w:firstLine="0"/>
        <w:jc w:val="left"/>
        <w:rPr>
          <w:rFonts w:ascii="Times New Roman" w:hAnsi="Times New Roman"/>
          <w:sz w:val="22"/>
        </w:rPr>
      </w:pPr>
    </w:p>
    <w:p w14:paraId="44220FCB" w14:textId="6F74DF3E" w:rsidR="008A24CD" w:rsidRPr="00C74D6B" w:rsidRDefault="008A24CD" w:rsidP="008A24CD">
      <w:pPr>
        <w:pStyle w:val="MDPI35textbeforelist"/>
        <w:spacing w:line="480" w:lineRule="auto"/>
        <w:ind w:left="0" w:firstLine="0"/>
        <w:jc w:val="left"/>
        <w:rPr>
          <w:rFonts w:ascii="Times New Roman" w:hAnsi="Times New Roman"/>
          <w:b/>
          <w:bCs/>
          <w:sz w:val="22"/>
        </w:rPr>
      </w:pPr>
      <w:r w:rsidRPr="00C74D6B">
        <w:rPr>
          <w:rFonts w:ascii="Times New Roman" w:hAnsi="Times New Roman"/>
          <w:b/>
          <w:bCs/>
          <w:sz w:val="22"/>
        </w:rPr>
        <w:t>2.</w:t>
      </w:r>
      <w:r>
        <w:rPr>
          <w:rFonts w:ascii="Times New Roman" w:hAnsi="Times New Roman"/>
          <w:b/>
          <w:bCs/>
          <w:sz w:val="22"/>
        </w:rPr>
        <w:t xml:space="preserve"> </w:t>
      </w:r>
      <w:r w:rsidRPr="00C74D6B">
        <w:rPr>
          <w:rFonts w:ascii="Times New Roman" w:hAnsi="Times New Roman"/>
          <w:b/>
          <w:bCs/>
          <w:sz w:val="22"/>
        </w:rPr>
        <w:t>Land Use Change (LUC)</w:t>
      </w:r>
    </w:p>
    <w:p w14:paraId="69C4A4E1" w14:textId="0ABBCDE7" w:rsidR="008A24CD" w:rsidRPr="008651FA" w:rsidRDefault="008A24CD" w:rsidP="008A24CD">
      <w:pPr>
        <w:pStyle w:val="MDPI35textbeforelist"/>
        <w:spacing w:line="480" w:lineRule="auto"/>
        <w:ind w:left="0" w:firstLine="0"/>
        <w:jc w:val="left"/>
        <w:rPr>
          <w:rFonts w:ascii="Times New Roman" w:hAnsi="Times New Roman"/>
          <w:iCs/>
          <w:sz w:val="22"/>
        </w:rPr>
      </w:pPr>
      <w:r w:rsidRPr="008651FA">
        <w:rPr>
          <w:rFonts w:ascii="Times New Roman" w:hAnsi="Times New Roman"/>
          <w:sz w:val="22"/>
        </w:rPr>
        <w:t xml:space="preserve">Permanent croplands can emit or remove carbon </w:t>
      </w:r>
      <w:r>
        <w:rPr>
          <w:rFonts w:ascii="Times New Roman" w:hAnsi="Times New Roman"/>
          <w:sz w:val="22"/>
        </w:rPr>
        <w:t>depending</w:t>
      </w:r>
      <w:r w:rsidRPr="008651FA">
        <w:rPr>
          <w:rFonts w:ascii="Times New Roman" w:hAnsi="Times New Roman"/>
          <w:sz w:val="22"/>
        </w:rPr>
        <w:t xml:space="preserve"> on crop type, management practices, soil, and climate variations. However, when cropland was present for 20 years or longer, LUC emissions are not significant </w:t>
      </w:r>
      <w:r w:rsidRPr="008651FA">
        <w:rPr>
          <w:rFonts w:ascii="Times New Roman" w:hAnsi="Times New Roman"/>
          <w:sz w:val="22"/>
        </w:rPr>
        <w:fldChar w:fldCharType="begin" w:fldLock="1"/>
      </w:r>
      <w:r>
        <w:rPr>
          <w:rFonts w:ascii="Times New Roman" w:hAnsi="Times New Roman"/>
          <w:sz w:val="22"/>
        </w:rPr>
        <w:instrText>ADDIN CSL_CITATION {"citationItems":[{"id":"ITEM-1","itemData":{"DOI":"10.1016/j.scitotenv.2020.143338","ISSN":"18791026","PMID":"33172635","abstract":"Greenhouse gas (GHG) emissions from direct land use change (LUC) in GHG footprint studies of crops are often estimated using national land use change statistics, as in many cases the exact location of crop cultivation and land use history is unknown. As such, these studies neglect spatial variability in land use change (amount and configuration) at the sub-national level as well as spatial variability in natural carbon stocks. For this reason, a spatial approach that enables consistent implementation of LUC emissions of crop production at different locations is developed and applied in this study. The dataset of crop production covers 69 crops cultivated on 1885 farms in 33 countries, spanning North and South America, Asia, Australia and Oceania, Europe and Africa, in the year 2014. Of the 1885 farms, 33% (619 farms) were identified to have LUC emissions when estimated at the local scale. LUC emissions of farms, derived using local scale location information, were found to have little correlation with those estimated at coarser spatial scales (such as the province or country level) using the spatial approach in this study or estimated using accounting approaches based on national statistics. Analysis at coarser spatial scales typically overestimated the LUC emissions of crops, as LUC in other regions can heavily influence these estimates. Therefore, it is concluded that local scale LUC emissions better represent local LUC dynamics, thereby improving the reliability of GHG footprint studies.","author":[{"dropping-particle":"","family":"Lam","given":"Wan Yee","non-dropping-particle":"","parse-names":false,"suffix":""},{"dropping-particle":"","family":"Chatterton","given":"Julia","non-dropping-particle":"","parse-names":false,"suffix":""},{"dropping-particle":"","family":"Sim","given":"Sarah","non-dropping-particle":"","parse-names":false,"suffix":""},{"dropping-particle":"","family":"Kulak","given":"Michal","non-dropping-particle":"","parse-names":false,"suffix":""},{"dropping-particle":"","family":"Mendoza Beltran","given":"Angelica","non-dropping-particle":"","parse-names":false,"suffix":""},{"dropping-particle":"","family":"Huijbregts","given":"Mark A.J.","non-dropping-particle":"","parse-names":false,"suffix":""}],"container-title":"Science of the Total Environment","id":"ITEM-1","issue":"89","issued":{"date-parts":[["2021"]]},"page":"143338","publisher":"The Authors","title":"Estimating greenhouse gas emissions from direct land use change due to crop production in multiple countries","type":"article-journal","volume":"755"},"uris":["http://www.mendeley.com/documents/?uuid=92db39f8-e2ce-4759-88f4-89ff9b79dfae"]}],"mendeley":{"formattedCitation":"(Lam et al., 2021)","plainTextFormattedCitation":"(Lam et al., 2021)","previouslyFormattedCitation":"[24]"},"properties":{"noteIndex":0},"schema":"https://github.com/citation-style-language/schema/raw/master/csl-citation.json"}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(Lam et al., 2021)</w:t>
      </w:r>
      <w:r w:rsidRPr="008651FA">
        <w:rPr>
          <w:rFonts w:ascii="Times New Roman" w:hAnsi="Times New Roman"/>
          <w:sz w:val="22"/>
        </w:rPr>
        <w:fldChar w:fldCharType="end"/>
      </w:r>
      <w:r w:rsidRPr="008651FA">
        <w:rPr>
          <w:rFonts w:ascii="Times New Roman" w:hAnsi="Times New Roman"/>
          <w:sz w:val="22"/>
        </w:rPr>
        <w:t>. LUC emissions</w:t>
      </w:r>
      <w:r>
        <w:rPr>
          <w:rFonts w:ascii="Times New Roman" w:hAnsi="Times New Roman"/>
          <w:sz w:val="22"/>
        </w:rPr>
        <w:t>,</w:t>
      </w:r>
      <w:r w:rsidRPr="008651FA">
        <w:rPr>
          <w:rFonts w:ascii="Times New Roman" w:hAnsi="Times New Roman"/>
          <w:sz w:val="22"/>
        </w:rPr>
        <w:t xml:space="preserve"> in this case</w:t>
      </w:r>
      <w:r>
        <w:rPr>
          <w:rFonts w:ascii="Times New Roman" w:hAnsi="Times New Roman"/>
          <w:sz w:val="22"/>
        </w:rPr>
        <w:t>,</w:t>
      </w:r>
      <w:r w:rsidRPr="008651FA">
        <w:rPr>
          <w:rFonts w:ascii="Times New Roman" w:hAnsi="Times New Roman"/>
          <w:sz w:val="22"/>
        </w:rPr>
        <w:t xml:space="preserve"> were sole</w:t>
      </w:r>
      <w:r>
        <w:rPr>
          <w:rFonts w:ascii="Times New Roman" w:hAnsi="Times New Roman"/>
          <w:sz w:val="22"/>
        </w:rPr>
        <w:t>ly</w:t>
      </w:r>
      <w:r w:rsidRPr="008651FA">
        <w:rPr>
          <w:rFonts w:ascii="Times New Roman" w:hAnsi="Times New Roman"/>
          <w:sz w:val="22"/>
        </w:rPr>
        <w:t xml:space="preserve"> attributed to soil drainage, and it is calculated according to Eq. 25 where A is the land area</w:t>
      </w:r>
      <w:r>
        <w:rPr>
          <w:rFonts w:ascii="Times New Roman" w:hAnsi="Times New Roman"/>
          <w:sz w:val="22"/>
        </w:rPr>
        <w:t>,</w:t>
      </w:r>
      <w:r w:rsidRPr="008651FA">
        <w:rPr>
          <w:rFonts w:ascii="Times New Roman" w:hAnsi="Times New Roman"/>
          <w:sz w:val="22"/>
        </w:rPr>
        <w:t xml:space="preserve"> and </w:t>
      </w:r>
      <w:proofErr w:type="spellStart"/>
      <w:r w:rsidRPr="008651FA">
        <w:rPr>
          <w:rFonts w:ascii="Times New Roman" w:hAnsi="Times New Roman"/>
          <w:sz w:val="22"/>
        </w:rPr>
        <w:t>EFc</w:t>
      </w:r>
      <w:proofErr w:type="spellEnd"/>
      <w:r w:rsidRPr="008651FA">
        <w:rPr>
          <w:rFonts w:ascii="Times New Roman" w:hAnsi="Times New Roman"/>
          <w:sz w:val="22"/>
        </w:rPr>
        <w:t xml:space="preserve"> is the emission factor that depends on the climate. In this case, this value is 20 t C/ha*year </w:t>
      </w:r>
      <w:r w:rsidRPr="008651FA">
        <w:rPr>
          <w:rFonts w:ascii="Times New Roman" w:hAnsi="Times New Roman"/>
          <w:sz w:val="22"/>
        </w:rPr>
        <w:fldChar w:fldCharType="begin" w:fldLock="1"/>
      </w:r>
      <w:r>
        <w:rPr>
          <w:rFonts w:ascii="Times New Roman" w:hAnsi="Times New Roman"/>
          <w:sz w:val="22"/>
        </w:rPr>
        <w:instrText>ADDIN CSL_CITATION {"citationItems":[{"id":"ITEM-1","itemData":{"ISSN":"00129976","author":[{"dropping-particle":"","family":"Lasco","given":"Rodel D.","non-dropping-particle":"","parse-names":false,"suffix":""},{"dropping-particle":"","family":"Ogle","given":"Stephen","non-dropping-particle":"","parse-names":false,"suffix":""},{"dropping-particle":"","family":"Raison","given":"John","non-dropping-particle":"","parse-names":false,"suffix":""},{"dropping-particle":"","family":"Verchot","given":"Louis","non-dropping-particle":"","parse-names":false,"suffix":""},{"dropping-particle":"","family":"Wassmann","given":"Reiner","non-dropping-particle":"","parse-names":false,"suffix":""},{"dropping-particle":"","family":"Yagi","given":"Kazuyuki","non-dropping-particle":"","parse-names":false,"suffix":""}],"chapter-number":"Chapter 5","container-title":"2006 IPCC Guidelines for National Greenhouse Gas Inventories. Volume 4: Agriculture, Forestry and other Land Use","id":"ITEM-1","issued":{"date-parts":[["2006"]]},"page":"66","title":"Cropland","type":"chapter"},"uris":["http://www.mendeley.com/documents/?uuid=0b15bb61-9c97-4560-a204-b11aa7ab577c"]}],"mendeley":{"formattedCitation":"(Lasco et al., 2006)","plainTextFormattedCitation":"(Lasco et al., 2006)","previouslyFormattedCitation":"[6]"},"properties":{"noteIndex":0},"schema":"https://github.com/citation-style-language/schema/raw/master/csl-citation.json"}</w:instrText>
      </w:r>
      <w:r w:rsidRPr="008651FA">
        <w:rPr>
          <w:rFonts w:ascii="Times New Roman" w:hAnsi="Times New Roman"/>
          <w:sz w:val="22"/>
        </w:rPr>
        <w:fldChar w:fldCharType="separate"/>
      </w:r>
      <w:r w:rsidRPr="008A24CD">
        <w:rPr>
          <w:rFonts w:ascii="Times New Roman" w:hAnsi="Times New Roman"/>
          <w:noProof/>
          <w:sz w:val="22"/>
        </w:rPr>
        <w:t>(Lasco et al., 2006)</w:t>
      </w:r>
      <w:r w:rsidRPr="008651FA">
        <w:rPr>
          <w:rFonts w:ascii="Times New Roman" w:hAnsi="Times New Roman"/>
          <w:sz w:val="22"/>
        </w:rPr>
        <w:fldChar w:fldCharType="end"/>
      </w:r>
      <w:r w:rsidRPr="008651FA">
        <w:rPr>
          <w:rFonts w:ascii="Times New Roman" w:hAnsi="Times New Roman"/>
          <w:sz w:val="22"/>
        </w:rPr>
        <w:t xml:space="preserve">.   </w:t>
      </w:r>
    </w:p>
    <w:p w14:paraId="37F631A4" w14:textId="77777777" w:rsidR="008A24CD" w:rsidRPr="008651FA" w:rsidRDefault="008A24CD" w:rsidP="008A24CD">
      <w:pPr>
        <w:pStyle w:val="MDPI35textbeforelist"/>
        <w:spacing w:line="480" w:lineRule="auto"/>
        <w:jc w:val="left"/>
        <w:rPr>
          <w:rFonts w:ascii="Times New Roman" w:hAnsi="Times New Roman"/>
          <w:sz w:val="22"/>
        </w:rPr>
      </w:pPr>
    </w:p>
    <w:p w14:paraId="37D918B5" w14:textId="7ADB3B9D" w:rsidR="00DA763A" w:rsidRDefault="0009182D" w:rsidP="008A24CD">
      <w:pPr>
        <w:spacing w:line="480" w:lineRule="auto"/>
        <w:jc w:val="center"/>
        <w:rPr>
          <w:rFonts w:ascii="Times New Roman" w:hAnsi="Times New Roman"/>
          <w:lang w:val="en-US"/>
        </w:rPr>
      </w:pPr>
      <m:oMath>
        <m:sSub>
          <m:sSubPr>
            <m:ctrlPr>
              <w:rPr>
                <w:rFonts w:ascii="Cambria Math" w:hAnsi="Cambria Math"/>
                <w:i/>
              </w:rPr>
            </m:ctrlPr>
          </m:sSubPr>
          <m:e>
            <m:r>
              <w:rPr>
                <w:rFonts w:ascii="Cambria Math" w:hAnsi="Cambria Math"/>
              </w:rPr>
              <m:t>L</m:t>
            </m:r>
          </m:e>
          <m:sub>
            <m:r>
              <w:rPr>
                <w:rFonts w:ascii="Cambria Math" w:hAnsi="Cambria Math"/>
              </w:rPr>
              <m:t>org</m:t>
            </m:r>
          </m:sub>
        </m:sSub>
        <m:r>
          <w:rPr>
            <w:rFonts w:ascii="Cambria Math" w:hAnsi="Cambria Math"/>
            <w:lang w:val="en-US"/>
          </w:rPr>
          <m:t>=</m:t>
        </m:r>
        <m:r>
          <w:rPr>
            <w:rFonts w:ascii="Cambria Math" w:hAnsi="Cambria Math"/>
          </w:rPr>
          <m:t>A</m:t>
        </m:r>
        <m:r>
          <w:rPr>
            <w:rFonts w:ascii="Cambria Math" w:hAnsi="Cambria Math"/>
            <w:lang w:val="en-US"/>
          </w:rPr>
          <m:t>*</m:t>
        </m:r>
        <m:sSub>
          <m:sSubPr>
            <m:ctrlPr>
              <w:rPr>
                <w:rFonts w:ascii="Cambria Math" w:hAnsi="Cambria Math"/>
                <w:i/>
              </w:rPr>
            </m:ctrlPr>
          </m:sSubPr>
          <m:e>
            <m:r>
              <w:rPr>
                <w:rFonts w:ascii="Cambria Math" w:hAnsi="Cambria Math"/>
              </w:rPr>
              <m:t>EF</m:t>
            </m:r>
          </m:e>
          <m:sub>
            <m:r>
              <w:rPr>
                <w:rFonts w:ascii="Cambria Math" w:hAnsi="Cambria Math"/>
              </w:rPr>
              <m:t>c</m:t>
            </m:r>
          </m:sub>
        </m:sSub>
        <m:r>
          <w:rPr>
            <w:rFonts w:ascii="Cambria Math" w:hAnsi="Cambria Math"/>
            <w:lang w:val="en-US"/>
          </w:rPr>
          <m:t>*</m:t>
        </m:r>
        <m:d>
          <m:dPr>
            <m:ctrlPr>
              <w:rPr>
                <w:rFonts w:ascii="Cambria Math" w:hAnsi="Cambria Math"/>
                <w:i/>
              </w:rPr>
            </m:ctrlPr>
          </m:dPr>
          <m:e>
            <m:f>
              <m:fPr>
                <m:ctrlPr>
                  <w:rPr>
                    <w:rFonts w:ascii="Cambria Math" w:hAnsi="Cambria Math"/>
                    <w:i/>
                  </w:rPr>
                </m:ctrlPr>
              </m:fPr>
              <m:num>
                <m:r>
                  <w:rPr>
                    <w:rFonts w:ascii="Cambria Math" w:hAnsi="Cambria Math"/>
                    <w:lang w:val="en-US"/>
                  </w:rPr>
                  <m:t>44</m:t>
                </m:r>
              </m:num>
              <m:den>
                <m:r>
                  <w:rPr>
                    <w:rFonts w:ascii="Cambria Math" w:hAnsi="Cambria Math"/>
                    <w:lang w:val="en-US"/>
                  </w:rPr>
                  <m:t>12</m:t>
                </m:r>
              </m:den>
            </m:f>
          </m:e>
        </m:d>
      </m:oMath>
      <w:r w:rsidR="008A24CD" w:rsidRPr="008A24CD">
        <w:rPr>
          <w:rFonts w:ascii="Times New Roman" w:hAnsi="Times New Roman"/>
          <w:lang w:val="en-US"/>
        </w:rPr>
        <w:t xml:space="preserve"> </w:t>
      </w:r>
      <w:r w:rsidR="008A24CD" w:rsidRPr="008A24CD">
        <w:rPr>
          <w:rFonts w:ascii="Times New Roman" w:hAnsi="Times New Roman"/>
          <w:lang w:val="en-US"/>
        </w:rPr>
        <w:tab/>
      </w:r>
      <w:r w:rsidR="008A24CD" w:rsidRPr="008A24CD">
        <w:rPr>
          <w:rFonts w:ascii="Times New Roman" w:hAnsi="Times New Roman"/>
          <w:lang w:val="en-US"/>
        </w:rPr>
        <w:tab/>
      </w:r>
      <w:r w:rsidR="008A24CD" w:rsidRPr="008A24CD">
        <w:rPr>
          <w:rFonts w:ascii="Times New Roman" w:hAnsi="Times New Roman"/>
          <w:lang w:val="en-US"/>
        </w:rPr>
        <w:tab/>
      </w:r>
      <w:r w:rsidR="008A24CD" w:rsidRPr="008A24CD">
        <w:rPr>
          <w:rFonts w:ascii="Times New Roman" w:hAnsi="Times New Roman"/>
          <w:lang w:val="en-US"/>
        </w:rPr>
        <w:tab/>
      </w:r>
      <w:r w:rsidR="008A24CD" w:rsidRPr="008A24CD">
        <w:rPr>
          <w:rFonts w:ascii="Times New Roman" w:hAnsi="Times New Roman"/>
          <w:lang w:val="en-US"/>
        </w:rPr>
        <w:tab/>
      </w:r>
      <w:r w:rsidR="008A24CD" w:rsidRPr="008A24CD">
        <w:rPr>
          <w:rFonts w:ascii="Times New Roman" w:hAnsi="Times New Roman"/>
          <w:lang w:val="en-US"/>
        </w:rPr>
        <w:tab/>
      </w:r>
      <w:r w:rsidR="008A24CD" w:rsidRPr="008A24CD">
        <w:rPr>
          <w:rFonts w:ascii="Times New Roman" w:hAnsi="Times New Roman"/>
          <w:lang w:val="en-US"/>
        </w:rPr>
        <w:tab/>
      </w:r>
      <w:r w:rsidR="008A24CD" w:rsidRPr="008A24CD">
        <w:rPr>
          <w:rFonts w:ascii="Times New Roman" w:hAnsi="Times New Roman"/>
          <w:lang w:val="en-US"/>
        </w:rPr>
        <w:tab/>
      </w:r>
      <w:r w:rsidR="008A24CD" w:rsidRPr="008A24CD">
        <w:rPr>
          <w:rFonts w:ascii="Times New Roman" w:hAnsi="Times New Roman"/>
          <w:lang w:val="en-US"/>
        </w:rPr>
        <w:tab/>
        <w:t>Eq. (25)</w:t>
      </w:r>
    </w:p>
    <w:p w14:paraId="20411702" w14:textId="77777777" w:rsidR="00F30FB9" w:rsidRDefault="00F30FB9" w:rsidP="008A24CD">
      <w:pPr>
        <w:spacing w:line="480" w:lineRule="auto"/>
        <w:jc w:val="center"/>
        <w:rPr>
          <w:rFonts w:ascii="Times New Roman" w:hAnsi="Times New Roman" w:cs="Times New Roman"/>
          <w:b/>
          <w:bCs/>
          <w:lang w:val="en-US"/>
        </w:rPr>
      </w:pPr>
    </w:p>
    <w:p w14:paraId="311F04B1" w14:textId="79AB8F7D" w:rsidR="00DA763A" w:rsidRPr="008A24CD" w:rsidRDefault="008A24CD" w:rsidP="008A24CD">
      <w:pPr>
        <w:pStyle w:val="MDPI35textbeforelist"/>
        <w:spacing w:line="480" w:lineRule="auto"/>
        <w:ind w:left="0" w:firstLine="0"/>
        <w:jc w:val="left"/>
        <w:rPr>
          <w:rFonts w:ascii="Times New Roman" w:hAnsi="Times New Roman"/>
          <w:b/>
          <w:bCs/>
          <w:sz w:val="22"/>
        </w:rPr>
      </w:pPr>
      <w:r w:rsidRPr="008A24CD">
        <w:rPr>
          <w:rFonts w:ascii="Times New Roman" w:hAnsi="Times New Roman"/>
          <w:b/>
          <w:bCs/>
          <w:sz w:val="22"/>
        </w:rPr>
        <w:t>3. Emission factors for fuel combustion</w:t>
      </w:r>
    </w:p>
    <w:p w14:paraId="56E9A048" w14:textId="5C821FBF" w:rsidR="008A24CD" w:rsidRPr="008651FA" w:rsidRDefault="008A24CD" w:rsidP="008A24CD">
      <w:pPr>
        <w:pStyle w:val="MDPI35textbeforelist"/>
        <w:spacing w:line="480" w:lineRule="auto"/>
        <w:ind w:left="0" w:firstLine="0"/>
        <w:jc w:val="left"/>
        <w:rPr>
          <w:rFonts w:ascii="Times New Roman" w:hAnsi="Times New Roman"/>
          <w:sz w:val="22"/>
        </w:rPr>
      </w:pPr>
      <w:r w:rsidRPr="008651FA">
        <w:rPr>
          <w:rFonts w:ascii="Times New Roman" w:hAnsi="Times New Roman"/>
          <w:b/>
          <w:bCs/>
          <w:sz w:val="22"/>
        </w:rPr>
        <w:t xml:space="preserve">Table </w:t>
      </w:r>
      <w:r>
        <w:rPr>
          <w:rFonts w:ascii="Times New Roman" w:hAnsi="Times New Roman"/>
          <w:b/>
          <w:bCs/>
          <w:sz w:val="22"/>
        </w:rPr>
        <w:t>A.2</w:t>
      </w:r>
      <w:r w:rsidRPr="008651FA">
        <w:rPr>
          <w:rFonts w:ascii="Times New Roman" w:hAnsi="Times New Roman"/>
          <w:b/>
          <w:bCs/>
          <w:sz w:val="22"/>
        </w:rPr>
        <w:t>.</w:t>
      </w:r>
      <w:r w:rsidRPr="008651FA">
        <w:rPr>
          <w:rFonts w:ascii="Times New Roman" w:hAnsi="Times New Roman"/>
          <w:sz w:val="22"/>
        </w:rPr>
        <w:t xml:space="preserve"> Emission factor</w:t>
      </w:r>
      <w:r>
        <w:rPr>
          <w:rFonts w:ascii="Times New Roman" w:hAnsi="Times New Roman"/>
          <w:sz w:val="22"/>
        </w:rPr>
        <w:t>s</w:t>
      </w:r>
      <w:r w:rsidRPr="008651FA">
        <w:rPr>
          <w:rFonts w:ascii="Times New Roman" w:hAnsi="Times New Roman"/>
          <w:sz w:val="22"/>
        </w:rPr>
        <w:t xml:space="preserve"> for different fuels employed in the facility</w:t>
      </w:r>
      <w:r>
        <w:rPr>
          <w:rFonts w:ascii="Times New Roman" w:hAnsi="Times New Roman"/>
          <w:sz w:val="22"/>
        </w:rPr>
        <w:t xml:space="preserve"> based on </w:t>
      </w:r>
      <w:proofErr w:type="spellStart"/>
      <w:r>
        <w:rPr>
          <w:rFonts w:ascii="Times New Roman" w:hAnsi="Times New Roman"/>
          <w:sz w:val="22"/>
        </w:rPr>
        <w:t>Fedepanela</w:t>
      </w:r>
      <w:proofErr w:type="spellEnd"/>
      <w:r>
        <w:rPr>
          <w:rFonts w:ascii="Times New Roman" w:hAnsi="Times New Roman"/>
          <w:sz w:val="22"/>
        </w:rPr>
        <w:t xml:space="preserve"> and Aspen Plus </w:t>
      </w:r>
      <w:proofErr w:type="gramStart"/>
      <w:r>
        <w:rPr>
          <w:rFonts w:ascii="Times New Roman" w:hAnsi="Times New Roman"/>
          <w:sz w:val="22"/>
        </w:rPr>
        <w:t>simulations</w:t>
      </w:r>
      <w:proofErr w:type="gramEnd"/>
    </w:p>
    <w:tbl>
      <w:tblPr>
        <w:tblStyle w:val="Tablaconcuadrcula"/>
        <w:tblW w:w="5000" w:type="pct"/>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9"/>
        <w:gridCol w:w="1099"/>
        <w:gridCol w:w="873"/>
        <w:gridCol w:w="1365"/>
        <w:gridCol w:w="1365"/>
        <w:gridCol w:w="2717"/>
      </w:tblGrid>
      <w:tr w:rsidR="008A24CD" w:rsidRPr="008651FA" w14:paraId="2879844F" w14:textId="77777777" w:rsidTr="00CC6EE8">
        <w:tc>
          <w:tcPr>
            <w:tcW w:w="802" w:type="pct"/>
            <w:tcBorders>
              <w:top w:val="single" w:sz="4" w:space="0" w:color="auto"/>
              <w:bottom w:val="single" w:sz="4" w:space="0" w:color="auto"/>
            </w:tcBorders>
          </w:tcPr>
          <w:p w14:paraId="5BB6D77A"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Emission</w:t>
            </w:r>
          </w:p>
        </w:tc>
        <w:tc>
          <w:tcPr>
            <w:tcW w:w="622" w:type="pct"/>
            <w:tcBorders>
              <w:top w:val="single" w:sz="4" w:space="0" w:color="auto"/>
              <w:bottom w:val="single" w:sz="4" w:space="0" w:color="auto"/>
            </w:tcBorders>
          </w:tcPr>
          <w:p w14:paraId="10753DB0"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Unit</w:t>
            </w:r>
          </w:p>
        </w:tc>
        <w:tc>
          <w:tcPr>
            <w:tcW w:w="494" w:type="pct"/>
            <w:tcBorders>
              <w:top w:val="single" w:sz="4" w:space="0" w:color="auto"/>
              <w:bottom w:val="single" w:sz="4" w:space="0" w:color="auto"/>
            </w:tcBorders>
          </w:tcPr>
          <w:p w14:paraId="7CCC3EA8"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Diesel</w:t>
            </w:r>
            <w:r w:rsidRPr="008651FA">
              <w:rPr>
                <w:rFonts w:ascii="Times New Roman" w:hAnsi="Times New Roman"/>
                <w:b/>
                <w:bCs/>
                <w:sz w:val="22"/>
                <w:szCs w:val="22"/>
                <w:vertAlign w:val="superscript"/>
              </w:rPr>
              <w:t>1</w:t>
            </w:r>
          </w:p>
        </w:tc>
        <w:tc>
          <w:tcPr>
            <w:tcW w:w="772" w:type="pct"/>
            <w:tcBorders>
              <w:top w:val="single" w:sz="4" w:space="0" w:color="auto"/>
              <w:bottom w:val="single" w:sz="4" w:space="0" w:color="auto"/>
            </w:tcBorders>
          </w:tcPr>
          <w:p w14:paraId="428CBC4D"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Bagasse</w:t>
            </w:r>
            <w:r w:rsidRPr="008651FA">
              <w:rPr>
                <w:rFonts w:ascii="Times New Roman" w:hAnsi="Times New Roman"/>
                <w:b/>
                <w:bCs/>
                <w:sz w:val="22"/>
                <w:szCs w:val="22"/>
                <w:vertAlign w:val="superscript"/>
              </w:rPr>
              <w:t>1</w:t>
            </w:r>
          </w:p>
        </w:tc>
        <w:tc>
          <w:tcPr>
            <w:tcW w:w="772" w:type="pct"/>
            <w:tcBorders>
              <w:top w:val="single" w:sz="4" w:space="0" w:color="auto"/>
              <w:bottom w:val="single" w:sz="4" w:space="0" w:color="auto"/>
            </w:tcBorders>
          </w:tcPr>
          <w:p w14:paraId="2C20A6D2"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Bagasse</w:t>
            </w:r>
            <w:r w:rsidRPr="008651FA">
              <w:rPr>
                <w:rFonts w:ascii="Times New Roman" w:hAnsi="Times New Roman"/>
                <w:b/>
                <w:bCs/>
                <w:sz w:val="22"/>
                <w:szCs w:val="22"/>
                <w:vertAlign w:val="superscript"/>
              </w:rPr>
              <w:t>2</w:t>
            </w:r>
          </w:p>
        </w:tc>
        <w:tc>
          <w:tcPr>
            <w:tcW w:w="1537" w:type="pct"/>
            <w:tcBorders>
              <w:top w:val="single" w:sz="4" w:space="0" w:color="auto"/>
              <w:bottom w:val="single" w:sz="4" w:space="0" w:color="auto"/>
            </w:tcBorders>
          </w:tcPr>
          <w:p w14:paraId="7BAC9FC0" w14:textId="77777777" w:rsidR="008A24CD" w:rsidRPr="008651FA" w:rsidRDefault="008A24CD" w:rsidP="00CC6EE8">
            <w:pPr>
              <w:pStyle w:val="MDPI35textbeforelist"/>
              <w:spacing w:line="240" w:lineRule="auto"/>
              <w:ind w:left="0" w:firstLine="0"/>
              <w:jc w:val="left"/>
              <w:rPr>
                <w:rFonts w:ascii="Times New Roman" w:hAnsi="Times New Roman"/>
                <w:b/>
                <w:bCs/>
                <w:sz w:val="22"/>
                <w:szCs w:val="22"/>
              </w:rPr>
            </w:pPr>
            <w:r w:rsidRPr="008651FA">
              <w:rPr>
                <w:rFonts w:ascii="Times New Roman" w:hAnsi="Times New Roman"/>
                <w:b/>
                <w:bCs/>
                <w:sz w:val="22"/>
                <w:szCs w:val="22"/>
              </w:rPr>
              <w:t>Bagasse+Guazuma</w:t>
            </w:r>
            <w:r w:rsidRPr="008651FA">
              <w:rPr>
                <w:rFonts w:ascii="Times New Roman" w:hAnsi="Times New Roman"/>
                <w:b/>
                <w:bCs/>
                <w:sz w:val="22"/>
                <w:szCs w:val="22"/>
                <w:vertAlign w:val="superscript"/>
              </w:rPr>
              <w:t>2</w:t>
            </w:r>
          </w:p>
        </w:tc>
      </w:tr>
      <w:tr w:rsidR="008A24CD" w:rsidRPr="008651FA" w14:paraId="08777438" w14:textId="77777777" w:rsidTr="00CC6EE8">
        <w:tc>
          <w:tcPr>
            <w:tcW w:w="802" w:type="pct"/>
            <w:tcBorders>
              <w:top w:val="single" w:sz="4" w:space="0" w:color="auto"/>
            </w:tcBorders>
          </w:tcPr>
          <w:p w14:paraId="58D59268"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CO</w:t>
            </w:r>
            <w:r w:rsidRPr="008651FA">
              <w:rPr>
                <w:rFonts w:ascii="Times New Roman" w:hAnsi="Times New Roman"/>
                <w:sz w:val="22"/>
                <w:szCs w:val="22"/>
                <w:vertAlign w:val="subscript"/>
              </w:rPr>
              <w:t>2</w:t>
            </w:r>
          </w:p>
        </w:tc>
        <w:tc>
          <w:tcPr>
            <w:tcW w:w="622" w:type="pct"/>
            <w:tcBorders>
              <w:top w:val="single" w:sz="4" w:space="0" w:color="auto"/>
            </w:tcBorders>
          </w:tcPr>
          <w:p w14:paraId="145E731B"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kg/t fuel</w:t>
            </w:r>
          </w:p>
        </w:tc>
        <w:tc>
          <w:tcPr>
            <w:tcW w:w="494" w:type="pct"/>
            <w:tcBorders>
              <w:top w:val="single" w:sz="4" w:space="0" w:color="auto"/>
            </w:tcBorders>
          </w:tcPr>
          <w:p w14:paraId="067285B0"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75</w:t>
            </w:r>
          </w:p>
        </w:tc>
        <w:tc>
          <w:tcPr>
            <w:tcW w:w="772" w:type="pct"/>
            <w:tcBorders>
              <w:top w:val="single" w:sz="4" w:space="0" w:color="auto"/>
            </w:tcBorders>
          </w:tcPr>
          <w:p w14:paraId="727F7139"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732</w:t>
            </w:r>
          </w:p>
        </w:tc>
        <w:tc>
          <w:tcPr>
            <w:tcW w:w="772" w:type="pct"/>
            <w:tcBorders>
              <w:top w:val="single" w:sz="4" w:space="0" w:color="auto"/>
            </w:tcBorders>
          </w:tcPr>
          <w:p w14:paraId="1E279211"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1,340.2</w:t>
            </w:r>
          </w:p>
        </w:tc>
        <w:tc>
          <w:tcPr>
            <w:tcW w:w="1537" w:type="pct"/>
            <w:tcBorders>
              <w:top w:val="single" w:sz="4" w:space="0" w:color="auto"/>
            </w:tcBorders>
          </w:tcPr>
          <w:p w14:paraId="6F1B617A"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1,341.8</w:t>
            </w:r>
          </w:p>
        </w:tc>
      </w:tr>
      <w:tr w:rsidR="008A24CD" w:rsidRPr="008651FA" w14:paraId="6F19C270" w14:textId="77777777" w:rsidTr="00CC6EE8">
        <w:tc>
          <w:tcPr>
            <w:tcW w:w="802" w:type="pct"/>
          </w:tcPr>
          <w:p w14:paraId="69B23539"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NO</w:t>
            </w:r>
            <w:r w:rsidRPr="008651FA">
              <w:rPr>
                <w:rFonts w:ascii="Times New Roman" w:hAnsi="Times New Roman"/>
                <w:sz w:val="22"/>
                <w:szCs w:val="22"/>
                <w:vertAlign w:val="subscript"/>
              </w:rPr>
              <w:t>x</w:t>
            </w:r>
          </w:p>
        </w:tc>
        <w:tc>
          <w:tcPr>
            <w:tcW w:w="622" w:type="pct"/>
          </w:tcPr>
          <w:p w14:paraId="74B0C457"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g/ t fuel</w:t>
            </w:r>
          </w:p>
        </w:tc>
        <w:tc>
          <w:tcPr>
            <w:tcW w:w="494" w:type="pct"/>
          </w:tcPr>
          <w:p w14:paraId="3C692861"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206</w:t>
            </w:r>
          </w:p>
        </w:tc>
        <w:tc>
          <w:tcPr>
            <w:tcW w:w="772" w:type="pct"/>
          </w:tcPr>
          <w:p w14:paraId="293EE4EF"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2446</w:t>
            </w:r>
          </w:p>
        </w:tc>
        <w:tc>
          <w:tcPr>
            <w:tcW w:w="772" w:type="pct"/>
          </w:tcPr>
          <w:p w14:paraId="6CE17A8A"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0.0105</w:t>
            </w:r>
          </w:p>
        </w:tc>
        <w:tc>
          <w:tcPr>
            <w:tcW w:w="1537" w:type="pct"/>
          </w:tcPr>
          <w:p w14:paraId="2126F88B"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0.01028</w:t>
            </w:r>
          </w:p>
        </w:tc>
      </w:tr>
      <w:tr w:rsidR="008A24CD" w:rsidRPr="008651FA" w14:paraId="1C25CC2A" w14:textId="77777777" w:rsidTr="00CC6EE8">
        <w:tc>
          <w:tcPr>
            <w:tcW w:w="802" w:type="pct"/>
          </w:tcPr>
          <w:p w14:paraId="4A4529A4"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CO</w:t>
            </w:r>
          </w:p>
        </w:tc>
        <w:tc>
          <w:tcPr>
            <w:tcW w:w="622" w:type="pct"/>
          </w:tcPr>
          <w:p w14:paraId="5A5B423B"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g/ t fuel</w:t>
            </w:r>
          </w:p>
        </w:tc>
        <w:tc>
          <w:tcPr>
            <w:tcW w:w="494" w:type="pct"/>
          </w:tcPr>
          <w:p w14:paraId="7A08C079"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15</w:t>
            </w:r>
          </w:p>
        </w:tc>
        <w:tc>
          <w:tcPr>
            <w:tcW w:w="772" w:type="pct"/>
          </w:tcPr>
          <w:p w14:paraId="3CCCE981"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24.4</w:t>
            </w:r>
          </w:p>
        </w:tc>
        <w:tc>
          <w:tcPr>
            <w:tcW w:w="772" w:type="pct"/>
          </w:tcPr>
          <w:p w14:paraId="1C26C3F8"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0.00005</w:t>
            </w:r>
          </w:p>
        </w:tc>
        <w:tc>
          <w:tcPr>
            <w:tcW w:w="1537" w:type="pct"/>
          </w:tcPr>
          <w:p w14:paraId="1638CD39"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0.00005</w:t>
            </w:r>
          </w:p>
        </w:tc>
      </w:tr>
      <w:tr w:rsidR="008A24CD" w:rsidRPr="008651FA" w14:paraId="0E21FF4E" w14:textId="77777777" w:rsidTr="00CC6EE8">
        <w:tc>
          <w:tcPr>
            <w:tcW w:w="802" w:type="pct"/>
          </w:tcPr>
          <w:p w14:paraId="71163388"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CH</w:t>
            </w:r>
            <w:r w:rsidRPr="008651FA">
              <w:rPr>
                <w:rFonts w:ascii="Times New Roman" w:hAnsi="Times New Roman"/>
                <w:sz w:val="22"/>
                <w:szCs w:val="22"/>
                <w:vertAlign w:val="subscript"/>
              </w:rPr>
              <w:t>4</w:t>
            </w:r>
          </w:p>
        </w:tc>
        <w:tc>
          <w:tcPr>
            <w:tcW w:w="622" w:type="pct"/>
          </w:tcPr>
          <w:p w14:paraId="7BC3E529"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g/ t fuel</w:t>
            </w:r>
          </w:p>
        </w:tc>
        <w:tc>
          <w:tcPr>
            <w:tcW w:w="494" w:type="pct"/>
          </w:tcPr>
          <w:p w14:paraId="253B405F"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3.1</w:t>
            </w:r>
          </w:p>
        </w:tc>
        <w:tc>
          <w:tcPr>
            <w:tcW w:w="772" w:type="pct"/>
          </w:tcPr>
          <w:p w14:paraId="6D213455"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733.8</w:t>
            </w:r>
          </w:p>
        </w:tc>
        <w:tc>
          <w:tcPr>
            <w:tcW w:w="772" w:type="pct"/>
          </w:tcPr>
          <w:p w14:paraId="2DE18715"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0</w:t>
            </w:r>
          </w:p>
        </w:tc>
        <w:tc>
          <w:tcPr>
            <w:tcW w:w="1537" w:type="pct"/>
          </w:tcPr>
          <w:p w14:paraId="4008012D"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0</w:t>
            </w:r>
          </w:p>
        </w:tc>
      </w:tr>
      <w:tr w:rsidR="008A24CD" w:rsidRPr="008651FA" w14:paraId="5AA74AF6" w14:textId="77777777" w:rsidTr="00CC6EE8">
        <w:tc>
          <w:tcPr>
            <w:tcW w:w="802" w:type="pct"/>
          </w:tcPr>
          <w:p w14:paraId="494C12A6"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NMVOC</w:t>
            </w:r>
          </w:p>
        </w:tc>
        <w:tc>
          <w:tcPr>
            <w:tcW w:w="622" w:type="pct"/>
          </w:tcPr>
          <w:p w14:paraId="067456CE"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g/ t fuel</w:t>
            </w:r>
          </w:p>
        </w:tc>
        <w:tc>
          <w:tcPr>
            <w:tcW w:w="494" w:type="pct"/>
          </w:tcPr>
          <w:p w14:paraId="3832D0E9"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5.15</w:t>
            </w:r>
          </w:p>
        </w:tc>
        <w:tc>
          <w:tcPr>
            <w:tcW w:w="772" w:type="pct"/>
          </w:tcPr>
          <w:p w14:paraId="10855DB4"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1223</w:t>
            </w:r>
          </w:p>
        </w:tc>
        <w:tc>
          <w:tcPr>
            <w:tcW w:w="772" w:type="pct"/>
          </w:tcPr>
          <w:p w14:paraId="67687ACF"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NA</w:t>
            </w:r>
          </w:p>
        </w:tc>
        <w:tc>
          <w:tcPr>
            <w:tcW w:w="1537" w:type="pct"/>
          </w:tcPr>
          <w:p w14:paraId="2E3C4EC9"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NA</w:t>
            </w:r>
          </w:p>
        </w:tc>
      </w:tr>
      <w:tr w:rsidR="008A24CD" w:rsidRPr="008651FA" w14:paraId="4416D358" w14:textId="77777777" w:rsidTr="00CC6EE8">
        <w:tc>
          <w:tcPr>
            <w:tcW w:w="802" w:type="pct"/>
          </w:tcPr>
          <w:p w14:paraId="5EF3A651"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PM</w:t>
            </w:r>
          </w:p>
        </w:tc>
        <w:tc>
          <w:tcPr>
            <w:tcW w:w="622" w:type="pct"/>
          </w:tcPr>
          <w:p w14:paraId="4440614B"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g/ t fuel</w:t>
            </w:r>
          </w:p>
        </w:tc>
        <w:tc>
          <w:tcPr>
            <w:tcW w:w="494" w:type="pct"/>
          </w:tcPr>
          <w:p w14:paraId="74E15B5A"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19.2</w:t>
            </w:r>
          </w:p>
        </w:tc>
        <w:tc>
          <w:tcPr>
            <w:tcW w:w="772" w:type="pct"/>
          </w:tcPr>
          <w:p w14:paraId="047A7520"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2583</w:t>
            </w:r>
          </w:p>
        </w:tc>
        <w:tc>
          <w:tcPr>
            <w:tcW w:w="772" w:type="pct"/>
          </w:tcPr>
          <w:p w14:paraId="68EBEF9D"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NA</w:t>
            </w:r>
          </w:p>
        </w:tc>
        <w:tc>
          <w:tcPr>
            <w:tcW w:w="1537" w:type="pct"/>
          </w:tcPr>
          <w:p w14:paraId="3E545392"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NA</w:t>
            </w:r>
          </w:p>
        </w:tc>
      </w:tr>
      <w:tr w:rsidR="008A24CD" w:rsidRPr="008651FA" w14:paraId="172418DC" w14:textId="77777777" w:rsidTr="00CC6EE8">
        <w:tc>
          <w:tcPr>
            <w:tcW w:w="802" w:type="pct"/>
            <w:tcBorders>
              <w:bottom w:val="single" w:sz="4" w:space="0" w:color="auto"/>
            </w:tcBorders>
          </w:tcPr>
          <w:p w14:paraId="3AB69F80"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proofErr w:type="spellStart"/>
            <w:r w:rsidRPr="008651FA">
              <w:rPr>
                <w:rFonts w:ascii="Times New Roman" w:hAnsi="Times New Roman"/>
                <w:sz w:val="22"/>
                <w:szCs w:val="22"/>
              </w:rPr>
              <w:t>SOx</w:t>
            </w:r>
            <w:proofErr w:type="spellEnd"/>
          </w:p>
        </w:tc>
        <w:tc>
          <w:tcPr>
            <w:tcW w:w="622" w:type="pct"/>
            <w:tcBorders>
              <w:bottom w:val="single" w:sz="4" w:space="0" w:color="auto"/>
            </w:tcBorders>
          </w:tcPr>
          <w:p w14:paraId="0B11C4C0"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g/ t fuel</w:t>
            </w:r>
          </w:p>
        </w:tc>
        <w:tc>
          <w:tcPr>
            <w:tcW w:w="494" w:type="pct"/>
            <w:tcBorders>
              <w:bottom w:val="single" w:sz="4" w:space="0" w:color="auto"/>
            </w:tcBorders>
          </w:tcPr>
          <w:p w14:paraId="43B5A5A8"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NR</w:t>
            </w:r>
          </w:p>
        </w:tc>
        <w:tc>
          <w:tcPr>
            <w:tcW w:w="772" w:type="pct"/>
            <w:tcBorders>
              <w:bottom w:val="single" w:sz="4" w:space="0" w:color="auto"/>
            </w:tcBorders>
          </w:tcPr>
          <w:p w14:paraId="2AA108CE"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NR</w:t>
            </w:r>
          </w:p>
        </w:tc>
        <w:tc>
          <w:tcPr>
            <w:tcW w:w="772" w:type="pct"/>
            <w:tcBorders>
              <w:bottom w:val="single" w:sz="4" w:space="0" w:color="auto"/>
            </w:tcBorders>
          </w:tcPr>
          <w:p w14:paraId="7EDB9A74"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0.00107</w:t>
            </w:r>
          </w:p>
        </w:tc>
        <w:tc>
          <w:tcPr>
            <w:tcW w:w="1537" w:type="pct"/>
            <w:tcBorders>
              <w:bottom w:val="single" w:sz="4" w:space="0" w:color="auto"/>
            </w:tcBorders>
          </w:tcPr>
          <w:p w14:paraId="49C14941" w14:textId="77777777" w:rsidR="008A24CD" w:rsidRPr="008651FA" w:rsidRDefault="008A24CD" w:rsidP="00CC6EE8">
            <w:pPr>
              <w:pStyle w:val="MDPI35textbeforelist"/>
              <w:spacing w:line="240" w:lineRule="auto"/>
              <w:ind w:left="0" w:firstLine="0"/>
              <w:jc w:val="left"/>
              <w:rPr>
                <w:rFonts w:ascii="Times New Roman" w:hAnsi="Times New Roman"/>
                <w:sz w:val="22"/>
                <w:szCs w:val="22"/>
              </w:rPr>
            </w:pPr>
            <w:r w:rsidRPr="008651FA">
              <w:rPr>
                <w:rFonts w:ascii="Times New Roman" w:hAnsi="Times New Roman"/>
                <w:sz w:val="22"/>
                <w:szCs w:val="22"/>
              </w:rPr>
              <w:t>0.00106</w:t>
            </w:r>
          </w:p>
        </w:tc>
      </w:tr>
    </w:tbl>
    <w:p w14:paraId="5EDA6605" w14:textId="77777777" w:rsidR="008A24CD" w:rsidRPr="00C74D6B" w:rsidRDefault="008A24CD" w:rsidP="008A24CD">
      <w:pPr>
        <w:pStyle w:val="MDPI35textbeforelist"/>
        <w:spacing w:line="240" w:lineRule="auto"/>
        <w:ind w:left="0" w:firstLine="0"/>
        <w:jc w:val="left"/>
        <w:rPr>
          <w:rFonts w:ascii="Times New Roman" w:hAnsi="Times New Roman"/>
          <w:sz w:val="18"/>
          <w:szCs w:val="18"/>
        </w:rPr>
      </w:pPr>
      <w:r w:rsidRPr="00C74D6B">
        <w:rPr>
          <w:rFonts w:ascii="Times New Roman" w:hAnsi="Times New Roman"/>
          <w:sz w:val="18"/>
          <w:szCs w:val="18"/>
        </w:rPr>
        <w:t>NMVOC: non-methane volatile compounds; PM: Particulate matter; NA</w:t>
      </w:r>
    </w:p>
    <w:p w14:paraId="7B88AD32" w14:textId="3FF88F73" w:rsidR="008A24CD" w:rsidRPr="00C74D6B" w:rsidRDefault="008A24CD" w:rsidP="008A24CD">
      <w:pPr>
        <w:pStyle w:val="MDPI35textbeforelist"/>
        <w:spacing w:line="240" w:lineRule="auto"/>
        <w:ind w:left="0" w:firstLine="0"/>
        <w:jc w:val="left"/>
        <w:rPr>
          <w:rFonts w:ascii="Times New Roman" w:hAnsi="Times New Roman"/>
          <w:sz w:val="18"/>
          <w:szCs w:val="18"/>
        </w:rPr>
      </w:pPr>
      <w:r w:rsidRPr="00C74D6B">
        <w:rPr>
          <w:rFonts w:ascii="Times New Roman" w:hAnsi="Times New Roman"/>
          <w:sz w:val="18"/>
          <w:szCs w:val="18"/>
          <w:vertAlign w:val="superscript"/>
        </w:rPr>
        <w:t>1</w:t>
      </w:r>
      <w:r w:rsidRPr="00C74D6B">
        <w:rPr>
          <w:rFonts w:ascii="Times New Roman" w:hAnsi="Times New Roman"/>
          <w:sz w:val="18"/>
          <w:szCs w:val="18"/>
        </w:rPr>
        <w:t xml:space="preserve">Data obtained from </w:t>
      </w:r>
      <w:r w:rsidRPr="00C74D6B">
        <w:rPr>
          <w:rFonts w:ascii="Times New Roman" w:hAnsi="Times New Roman"/>
          <w:sz w:val="18"/>
          <w:szCs w:val="18"/>
        </w:rPr>
        <w:fldChar w:fldCharType="begin" w:fldLock="1"/>
      </w:r>
      <w:r>
        <w:rPr>
          <w:rFonts w:ascii="Times New Roman" w:hAnsi="Times New Roman"/>
          <w:sz w:val="18"/>
          <w:szCs w:val="18"/>
        </w:rPr>
        <w:instrText>ADDIN CSL_CITATION {"citationItems":[{"id":"ITEM-1","itemData":{"author":[{"dropping-particle":"","family":"Fedepanela","given":"","non-dropping-particle":"","parse-names":false,"suffix":""}],"id":"ITEM-1","issued":{"date-parts":[["2015"]]},"number-of-pages":"289","title":"Nota De Información De La Nama (Nino) Reconversión Productiva Y Tecnológica Del Subsector Panelero","type":"report"},"uris":["http://www.mendeley.com/documents/?uuid=ee90b4e9-41a6-4da2-85a5-d0ceb270b180"]}],"mendeley":{"formattedCitation":"(Fedepanela, 2015)","plainTextFormattedCitation":"(Fedepanela, 2015)","previouslyFormattedCitation":"[25]"},"properties":{"noteIndex":0},"schema":"https://github.com/citation-style-language/schema/raw/master/csl-citation.json"}</w:instrText>
      </w:r>
      <w:r w:rsidRPr="00C74D6B">
        <w:rPr>
          <w:rFonts w:ascii="Times New Roman" w:hAnsi="Times New Roman"/>
          <w:sz w:val="18"/>
          <w:szCs w:val="18"/>
        </w:rPr>
        <w:fldChar w:fldCharType="separate"/>
      </w:r>
      <w:r w:rsidRPr="008A24CD">
        <w:rPr>
          <w:rFonts w:ascii="Times New Roman" w:hAnsi="Times New Roman"/>
          <w:noProof/>
          <w:sz w:val="18"/>
          <w:szCs w:val="18"/>
        </w:rPr>
        <w:t>(Fedepanela, 2015)</w:t>
      </w:r>
      <w:r w:rsidRPr="00C74D6B">
        <w:rPr>
          <w:rFonts w:ascii="Times New Roman" w:hAnsi="Times New Roman"/>
          <w:sz w:val="18"/>
          <w:szCs w:val="18"/>
        </w:rPr>
        <w:fldChar w:fldCharType="end"/>
      </w:r>
      <w:r w:rsidRPr="00C74D6B">
        <w:rPr>
          <w:rFonts w:ascii="Times New Roman" w:hAnsi="Times New Roman"/>
          <w:sz w:val="18"/>
          <w:szCs w:val="18"/>
        </w:rPr>
        <w:t xml:space="preserve">.  </w:t>
      </w:r>
    </w:p>
    <w:p w14:paraId="45696022" w14:textId="77777777" w:rsidR="008A24CD" w:rsidRPr="00C74D6B" w:rsidRDefault="008A24CD" w:rsidP="008A24CD">
      <w:pPr>
        <w:pStyle w:val="MDPI35textbeforelist"/>
        <w:spacing w:line="240" w:lineRule="auto"/>
        <w:ind w:left="0" w:firstLine="0"/>
        <w:jc w:val="left"/>
        <w:rPr>
          <w:rFonts w:ascii="Times New Roman" w:hAnsi="Times New Roman"/>
          <w:sz w:val="18"/>
          <w:szCs w:val="18"/>
        </w:rPr>
      </w:pPr>
      <w:r w:rsidRPr="00C74D6B">
        <w:rPr>
          <w:rFonts w:ascii="Times New Roman" w:hAnsi="Times New Roman"/>
          <w:sz w:val="18"/>
          <w:szCs w:val="18"/>
          <w:vertAlign w:val="superscript"/>
        </w:rPr>
        <w:t>2</w:t>
      </w:r>
      <w:r w:rsidRPr="00C74D6B">
        <w:rPr>
          <w:rFonts w:ascii="Times New Roman" w:hAnsi="Times New Roman"/>
          <w:sz w:val="18"/>
          <w:szCs w:val="18"/>
        </w:rPr>
        <w:t xml:space="preserve">Data obtained from Aspen Plus simulation. </w:t>
      </w:r>
    </w:p>
    <w:p w14:paraId="1D5EBF9D" w14:textId="77777777" w:rsidR="008A24CD" w:rsidRDefault="008A24CD" w:rsidP="008A24CD">
      <w:pPr>
        <w:rPr>
          <w:rFonts w:ascii="Arial" w:hAnsi="Arial" w:cs="Arial"/>
          <w:lang w:val="en-US"/>
        </w:rPr>
      </w:pPr>
    </w:p>
    <w:p w14:paraId="6CB92219" w14:textId="3B375772" w:rsidR="008A24CD" w:rsidRPr="000314EC" w:rsidRDefault="008A24CD" w:rsidP="008A24CD">
      <w:pPr>
        <w:rPr>
          <w:rFonts w:ascii="Times New Roman" w:eastAsia="Times New Roman" w:hAnsi="Times New Roman" w:cs="Times New Roman"/>
          <w:b/>
          <w:bCs/>
          <w:snapToGrid w:val="0"/>
          <w:color w:val="000000"/>
          <w:kern w:val="0"/>
          <w:lang w:eastAsia="de-DE" w:bidi="en-US"/>
          <w14:ligatures w14:val="none"/>
        </w:rPr>
      </w:pPr>
      <w:proofErr w:type="spellStart"/>
      <w:r w:rsidRPr="000314EC">
        <w:rPr>
          <w:rFonts w:ascii="Times New Roman" w:eastAsia="Times New Roman" w:hAnsi="Times New Roman" w:cs="Times New Roman"/>
          <w:b/>
          <w:bCs/>
          <w:snapToGrid w:val="0"/>
          <w:color w:val="000000"/>
          <w:kern w:val="0"/>
          <w:lang w:eastAsia="de-DE" w:bidi="en-US"/>
          <w14:ligatures w14:val="none"/>
        </w:rPr>
        <w:t>References</w:t>
      </w:r>
      <w:proofErr w:type="spellEnd"/>
    </w:p>
    <w:p w14:paraId="6DEF5F58" w14:textId="4EF21C4B"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8A24CD">
        <w:rPr>
          <w:rFonts w:ascii="Times New Roman" w:eastAsia="Times New Roman" w:hAnsi="Times New Roman" w:cs="Times New Roman"/>
          <w:snapToGrid w:val="0"/>
          <w:color w:val="000000"/>
          <w:kern w:val="0"/>
          <w:lang w:val="en-US" w:eastAsia="de-DE" w:bidi="en-US"/>
          <w14:ligatures w14:val="none"/>
        </w:rPr>
        <w:fldChar w:fldCharType="begin" w:fldLock="1"/>
      </w:r>
      <w:r w:rsidRPr="000314EC">
        <w:rPr>
          <w:rFonts w:ascii="Times New Roman" w:eastAsia="Times New Roman" w:hAnsi="Times New Roman" w:cs="Times New Roman"/>
          <w:snapToGrid w:val="0"/>
          <w:color w:val="000000"/>
          <w:kern w:val="0"/>
          <w:lang w:eastAsia="de-DE" w:bidi="en-US"/>
          <w14:ligatures w14:val="none"/>
        </w:rPr>
        <w:instrText xml:space="preserve">ADDIN Mendeley Bibliography CSL_BIBLIOGRAPHY </w:instrText>
      </w:r>
      <w:r w:rsidRPr="008A24CD">
        <w:rPr>
          <w:rFonts w:ascii="Times New Roman" w:eastAsia="Times New Roman" w:hAnsi="Times New Roman" w:cs="Times New Roman"/>
          <w:snapToGrid w:val="0"/>
          <w:color w:val="000000"/>
          <w:kern w:val="0"/>
          <w:lang w:val="en-US" w:eastAsia="de-DE" w:bidi="en-US"/>
          <w14:ligatures w14:val="none"/>
        </w:rPr>
        <w:fldChar w:fldCharType="separate"/>
      </w:r>
      <w:r w:rsidRPr="008A24CD">
        <w:rPr>
          <w:rFonts w:ascii="Times New Roman" w:hAnsi="Times New Roman" w:cs="Times New Roman"/>
          <w:noProof/>
          <w:kern w:val="0"/>
          <w:szCs w:val="24"/>
        </w:rPr>
        <w:t xml:space="preserve">Angel Riveros, M., 2012. Aprovechamiento de subproductos de la caña panelera en la alimentación animal [WWW Document]. </w:t>
      </w:r>
      <w:r w:rsidRPr="000314EC">
        <w:rPr>
          <w:rFonts w:ascii="Times New Roman" w:hAnsi="Times New Roman" w:cs="Times New Roman"/>
          <w:noProof/>
          <w:kern w:val="0"/>
          <w:szCs w:val="24"/>
          <w:lang w:val="en-US"/>
        </w:rPr>
        <w:t>Fedepanela. URL http://www.fedepanela.org.co/publicaciones/cartillas/Subproductos.pdf (accessed 2.11.19).</w:t>
      </w:r>
    </w:p>
    <w:p w14:paraId="1329AEAE" w14:textId="77777777" w:rsidR="008A24CD" w:rsidRPr="008A24CD"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rPr>
      </w:pPr>
      <w:r w:rsidRPr="008A24CD">
        <w:rPr>
          <w:rFonts w:ascii="Times New Roman" w:hAnsi="Times New Roman" w:cs="Times New Roman"/>
          <w:noProof/>
          <w:kern w:val="0"/>
          <w:szCs w:val="24"/>
        </w:rPr>
        <w:t xml:space="preserve">Araujo-Carrillo, G.A., Varón-Ramírez, V.M., Jaramillo-Barrios, C.I., Estupiñan-Casallas, J.M., </w:t>
      </w:r>
      <w:r w:rsidRPr="008A24CD">
        <w:rPr>
          <w:rFonts w:ascii="Times New Roman" w:hAnsi="Times New Roman" w:cs="Times New Roman"/>
          <w:noProof/>
          <w:kern w:val="0"/>
          <w:szCs w:val="24"/>
        </w:rPr>
        <w:lastRenderedPageBreak/>
        <w:t xml:space="preserve">Silva-Arero, E.A., Gómez-Latorre, D.A., Martínez-Maldonado, F.E., 2021. </w:t>
      </w:r>
      <w:r w:rsidRPr="000314EC">
        <w:rPr>
          <w:rFonts w:ascii="Times New Roman" w:hAnsi="Times New Roman" w:cs="Times New Roman"/>
          <w:noProof/>
          <w:kern w:val="0"/>
          <w:szCs w:val="24"/>
          <w:lang w:val="en-US"/>
        </w:rPr>
        <w:t xml:space="preserve">IRAKA: The first Colombian soil information system with digital soil mapping products. </w:t>
      </w:r>
      <w:r w:rsidRPr="008A24CD">
        <w:rPr>
          <w:rFonts w:ascii="Times New Roman" w:hAnsi="Times New Roman" w:cs="Times New Roman"/>
          <w:noProof/>
          <w:kern w:val="0"/>
          <w:szCs w:val="24"/>
        </w:rPr>
        <w:t>Catena 196. https://doi.org/10.1016/j.catena.2020.104940</w:t>
      </w:r>
    </w:p>
    <w:p w14:paraId="411EF87E"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8A24CD">
        <w:rPr>
          <w:rFonts w:ascii="Times New Roman" w:hAnsi="Times New Roman" w:cs="Times New Roman"/>
          <w:noProof/>
          <w:kern w:val="0"/>
          <w:szCs w:val="24"/>
        </w:rPr>
        <w:t xml:space="preserve">Cañon, C., Sanchez, N., Cobo, M., 2022. </w:t>
      </w:r>
      <w:r w:rsidRPr="000314EC">
        <w:rPr>
          <w:rFonts w:ascii="Times New Roman" w:hAnsi="Times New Roman" w:cs="Times New Roman"/>
          <w:noProof/>
          <w:kern w:val="0"/>
          <w:szCs w:val="24"/>
          <w:lang w:val="en-US"/>
        </w:rPr>
        <w:t>Sustainable production of ethyl levulinate by levulinic acid esterification obtained from Colombian rice straw. J. Clean. Prod. 377. https://doi.org/10.1016/j.jclepro.2022.134276</w:t>
      </w:r>
    </w:p>
    <w:p w14:paraId="5C2FC4DA"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Dadrasnia, A., de Bona Muñoz, I., Yáñez, E.H., Lamkaddam, I.U., Mora, M., Ponsá, S., Ahmed, M., Argelaguet, L.L., Williams, P.M., Oatley-Radcliffe, D.L., 2021. Sustainable nutrient recovery from animal manure: A review of current best practice technology and the potential for freeze concentration. J. Clean. Prod. 315, 128106. https://doi.org/10.1016/j.jclepro.2021.128106</w:t>
      </w:r>
    </w:p>
    <w:p w14:paraId="2F9FB92F"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Dong, H., Mangino, J., McAllister, T.A., Hatfield, J.L., Johnson, D.E., Bartram, D., Gibb, D., Martin, J.H., 2006. Emissions from livestock and manure management, in: Eggleston, S., Buendia, L., Miwa, K., Ngara, T., Tanabe, K. (Eds.), IPCC Guidelines for National Greenhouse Gas Inventories. Volume 4. Institute of Global Environmental Strategies, Japan, p. 87.</w:t>
      </w:r>
    </w:p>
    <w:p w14:paraId="1D901FAF" w14:textId="77777777" w:rsidR="008A24CD" w:rsidRPr="008A24CD"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rPr>
      </w:pPr>
      <w:r w:rsidRPr="000314EC">
        <w:rPr>
          <w:rFonts w:ascii="Times New Roman" w:hAnsi="Times New Roman" w:cs="Times New Roman"/>
          <w:noProof/>
          <w:kern w:val="0"/>
          <w:szCs w:val="24"/>
          <w:lang w:val="en-US"/>
        </w:rPr>
        <w:t xml:space="preserve">Emmenegger, M.F., Reinhard, J., Zah, R., 2009. Sustainability Quick Check for Biofuels Background Report. </w:t>
      </w:r>
      <w:r w:rsidRPr="008A24CD">
        <w:rPr>
          <w:rFonts w:ascii="Times New Roman" w:hAnsi="Times New Roman" w:cs="Times New Roman"/>
          <w:noProof/>
          <w:kern w:val="0"/>
          <w:szCs w:val="24"/>
        </w:rPr>
        <w:t>Dübendorf. https://doi.org/10.13140/RG.2.1.5000.8167</w:t>
      </w:r>
    </w:p>
    <w:p w14:paraId="3D1C4DB9" w14:textId="77777777" w:rsidR="008A24CD" w:rsidRPr="008A24CD"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rPr>
      </w:pPr>
      <w:r w:rsidRPr="008A24CD">
        <w:rPr>
          <w:rFonts w:ascii="Times New Roman" w:hAnsi="Times New Roman" w:cs="Times New Roman"/>
          <w:noProof/>
          <w:kern w:val="0"/>
          <w:szCs w:val="24"/>
        </w:rPr>
        <w:t>Fedepanela, 2015. Nota De Información De La Nama (Nino) Reconversión Productiva Y Tecnológica Del Subsector Panelero.</w:t>
      </w:r>
    </w:p>
    <w:p w14:paraId="01DE8130"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Fisher, D.K., Iii, H.C.P., 2013. Evaluation of alternative methods for estimating reference evapotranspiration. Agric. Sci. 4, 51–60.</w:t>
      </w:r>
    </w:p>
    <w:p w14:paraId="500EACC8" w14:textId="77777777" w:rsidR="008A24CD" w:rsidRPr="008A24CD"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rPr>
      </w:pPr>
      <w:r w:rsidRPr="000314EC">
        <w:rPr>
          <w:rFonts w:ascii="Times New Roman" w:hAnsi="Times New Roman" w:cs="Times New Roman"/>
          <w:noProof/>
          <w:kern w:val="0"/>
          <w:szCs w:val="24"/>
          <w:lang w:val="en-US"/>
        </w:rPr>
        <w:t xml:space="preserve">Franceschi, F., Cobo, M., Figueredo, M., 2018. Discovering relationships and forecasting PM10 and PM2.5 concentrations in Bogotá Colombia, using Artificial Neural Networks, Principal Component Analysis, and k-means clustering. </w:t>
      </w:r>
      <w:r w:rsidRPr="008A24CD">
        <w:rPr>
          <w:rFonts w:ascii="Times New Roman" w:hAnsi="Times New Roman" w:cs="Times New Roman"/>
          <w:noProof/>
          <w:kern w:val="0"/>
          <w:szCs w:val="24"/>
        </w:rPr>
        <w:t>Atmos. Pollut. Res. 9, 912–922. https://doi.org/10.1016/j.apr.2018.02.006</w:t>
      </w:r>
    </w:p>
    <w:p w14:paraId="5E076426" w14:textId="77777777" w:rsidR="008A24CD" w:rsidRPr="008A24CD"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rPr>
      </w:pPr>
      <w:r w:rsidRPr="008A24CD">
        <w:rPr>
          <w:rFonts w:ascii="Times New Roman" w:hAnsi="Times New Roman" w:cs="Times New Roman"/>
          <w:noProof/>
          <w:kern w:val="0"/>
          <w:szCs w:val="24"/>
        </w:rPr>
        <w:t xml:space="preserve">Gonzáles Chavarro, F., Cabezas Gutiérrez, M., Ramírez-Gómez, M., Ramírez Durán, J., 2018. </w:t>
      </w:r>
      <w:r w:rsidRPr="000314EC">
        <w:rPr>
          <w:rFonts w:ascii="Times New Roman" w:hAnsi="Times New Roman" w:cs="Times New Roman"/>
          <w:noProof/>
          <w:kern w:val="0"/>
          <w:szCs w:val="24"/>
          <w:lang w:val="en-US"/>
        </w:rPr>
        <w:t xml:space="preserve">Macronutrient absorption curves in three varieties of sugarcane (Saccharum officinarum L.) for Panela in the Hoya del Río Suarez. </w:t>
      </w:r>
      <w:r w:rsidRPr="008A24CD">
        <w:rPr>
          <w:rFonts w:ascii="Times New Roman" w:hAnsi="Times New Roman" w:cs="Times New Roman"/>
          <w:noProof/>
          <w:kern w:val="0"/>
          <w:szCs w:val="24"/>
        </w:rPr>
        <w:t>Rev. U.D.C.A Actual. Divulg. Científica 21, 395–404.</w:t>
      </w:r>
    </w:p>
    <w:p w14:paraId="5C9A016F"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8A24CD">
        <w:rPr>
          <w:rFonts w:ascii="Times New Roman" w:hAnsi="Times New Roman" w:cs="Times New Roman"/>
          <w:noProof/>
          <w:kern w:val="0"/>
          <w:szCs w:val="24"/>
        </w:rPr>
        <w:t xml:space="preserve">Hergoualch, K., Akiyama, H., Bernoux, M., Chirinda, N., Prado, A. del, Kasimir, A., MacDonald, J.D., Ogle, S.M., Regina, K., van der Weerden, T.J., 2019. </w:t>
      </w:r>
      <w:r w:rsidRPr="000314EC">
        <w:rPr>
          <w:rFonts w:ascii="Times New Roman" w:hAnsi="Times New Roman" w:cs="Times New Roman"/>
          <w:noProof/>
          <w:kern w:val="0"/>
          <w:szCs w:val="24"/>
          <w:lang w:val="en-US"/>
        </w:rPr>
        <w:t>N2O Emissions From Managed Soils, and CO2 Emissions From Lime and Urea Application, in: 2019 Refinement to the 2006 IPCC Guidelines for National Greenhouse Gas Inventories. p. 48.</w:t>
      </w:r>
    </w:p>
    <w:p w14:paraId="1B35F44A"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Hopke, P.K., Dai, Q., Li, L., Feng, Y., 2020. Global review of recent source apportionments for airborne particulate matter. Sci. Total Environ. 740, 140091. https://doi.org/10.1016/j.scitotenv.2020.140091</w:t>
      </w:r>
    </w:p>
    <w:p w14:paraId="7FE9831C"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Kumar Rai, R., Singh, V.P., Upadhyay, A., 2017. Irrigation scheduling, in: Planning and Evaluation of Irrigation Projects. pp. 385–412. https://doi.org/10.1016/B978-0-12-811748-4.00012-1</w:t>
      </w:r>
    </w:p>
    <w:p w14:paraId="3C57CD45"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Lam, W.Y., Chatterton, J., Sim, S., Kulak, M., Mendoza Beltran, A., Huijbregts, M.A.J., 2021. Estimating greenhouse gas emissions from direct land use change due to crop production in multiple countries. Sci. Total Environ. 755, 143338. https://doi.org/10.1016/j.scitotenv.2020.143338</w:t>
      </w:r>
    </w:p>
    <w:p w14:paraId="0F6AB2E6"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Lasco, R.D., Ogle, S., Raison, J., Verchot, L., Wassmann, R., Yagi, K., 2006. Cropland, in: 2006 IPCC Guidelines for National Greenhouse Gas Inventories. Volume 4: Agriculture, Forestry and Other Land Use. p. 66.</w:t>
      </w:r>
    </w:p>
    <w:p w14:paraId="0B5DEB70"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lastRenderedPageBreak/>
        <w:t>Metz, B., Davidson, O., Coninck, H. de, Loos, M., Meyer, L., 2005. IPCC Special Report on Carbon Dioxide Capture and Storage, Intergovernmental Panel on Climate Change. https://doi.org/10.1016/bs.ache.2021.10.005</w:t>
      </w:r>
    </w:p>
    <w:p w14:paraId="2D1DDEE9"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8A24CD">
        <w:rPr>
          <w:rFonts w:ascii="Times New Roman" w:hAnsi="Times New Roman" w:cs="Times New Roman"/>
          <w:noProof/>
          <w:kern w:val="0"/>
          <w:szCs w:val="24"/>
        </w:rPr>
        <w:t xml:space="preserve">Mitiku Teferra, D., Wubu, W., 2019. </w:t>
      </w:r>
      <w:r w:rsidRPr="000314EC">
        <w:rPr>
          <w:rFonts w:ascii="Times New Roman" w:hAnsi="Times New Roman" w:cs="Times New Roman"/>
          <w:noProof/>
          <w:kern w:val="0"/>
          <w:szCs w:val="24"/>
          <w:lang w:val="en-US"/>
        </w:rPr>
        <w:t>Biogas for Clean Energy, in: Anaerobic Digestion. IntechOpen, pp. 1–20. https://doi.org/10.5772/intechopen.79534</w:t>
      </w:r>
    </w:p>
    <w:p w14:paraId="6DFD6576"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Moeletsi, M.E., Tongwane, M.I., 2015. 2004 methane and nitrous oxide emissions from manure management in South Africa. Animals 5, 193–205. https://doi.org/10.3390/ani5020193</w:t>
      </w:r>
    </w:p>
    <w:p w14:paraId="2D2A5163"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Nemecek, T., Bengoa, X., Lansche, J., Mouron, P., Rossi, V., Humbert, S., 2014. Methodological Guidelines for the Life Cycle Inventory of Agricultural Products. Lausanne and Zurich, Switzerland.</w:t>
      </w:r>
    </w:p>
    <w:p w14:paraId="4B80FDA2"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Nemecek, T., Kägi, T., 2007. Life Cycle Inventories of Agricultural Production Systems.</w:t>
      </w:r>
    </w:p>
    <w:p w14:paraId="2E8F124F"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0314EC">
        <w:rPr>
          <w:rFonts w:ascii="Times New Roman" w:hAnsi="Times New Roman" w:cs="Times New Roman"/>
          <w:noProof/>
          <w:kern w:val="0"/>
          <w:szCs w:val="24"/>
          <w:lang w:val="en-US"/>
        </w:rPr>
        <w:t>Nemecek, T., Lansche, J., Mouron, P., Rossi, V., 2019. World Food LCA Database Methodological World Food LCA Database Methodological Guidelines for the Life Cycle. Lausanne and Zurich, Switzerland.</w:t>
      </w:r>
    </w:p>
    <w:p w14:paraId="41BE2E1A" w14:textId="77777777" w:rsidR="008A24CD" w:rsidRPr="008A24CD"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rPr>
      </w:pPr>
      <w:r w:rsidRPr="000314EC">
        <w:rPr>
          <w:rFonts w:ascii="Times New Roman" w:hAnsi="Times New Roman" w:cs="Times New Roman"/>
          <w:noProof/>
          <w:kern w:val="0"/>
          <w:szCs w:val="24"/>
          <w:lang w:val="en-US"/>
        </w:rPr>
        <w:t xml:space="preserve">Ramírez-Durán, J., Insuasty-Burbano, O., Murcia-Pardo, M., 2014. </w:t>
      </w:r>
      <w:r w:rsidRPr="008A24CD">
        <w:rPr>
          <w:rFonts w:ascii="Times New Roman" w:hAnsi="Times New Roman" w:cs="Times New Roman"/>
          <w:noProof/>
          <w:kern w:val="0"/>
          <w:szCs w:val="24"/>
        </w:rPr>
        <w:t>Variedad de caña de azúcar empleadas para la agroindustria panelera de Colombia. Barbosa, Santander.</w:t>
      </w:r>
    </w:p>
    <w:p w14:paraId="37FB6746"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8A24CD">
        <w:rPr>
          <w:rFonts w:ascii="Times New Roman" w:hAnsi="Times New Roman" w:cs="Times New Roman"/>
          <w:noProof/>
          <w:kern w:val="0"/>
          <w:szCs w:val="24"/>
        </w:rPr>
        <w:t xml:space="preserve">Sagastume Gutiérrez, A., Mendoza Fandiño, J.M., Cabello Eras, J.J., Sofan German, S.J., 2022. </w:t>
      </w:r>
      <w:r w:rsidRPr="000314EC">
        <w:rPr>
          <w:rFonts w:ascii="Times New Roman" w:hAnsi="Times New Roman" w:cs="Times New Roman"/>
          <w:noProof/>
          <w:kern w:val="0"/>
          <w:szCs w:val="24"/>
          <w:lang w:val="en-US"/>
        </w:rPr>
        <w:t>Potential of livestock manure and agricultural wastes to mitigate the use of firewood for cooking in rural areas. The case of the department of Cordoba (Colombia). Dev. Eng. 7. https://doi.org/10.1016/j.deveng.2022.100093</w:t>
      </w:r>
    </w:p>
    <w:p w14:paraId="42B5BB60" w14:textId="77777777" w:rsidR="008A24CD" w:rsidRPr="000314EC"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kern w:val="0"/>
          <w:szCs w:val="24"/>
          <w:lang w:val="en-US"/>
        </w:rPr>
      </w:pPr>
      <w:r w:rsidRPr="008A24CD">
        <w:rPr>
          <w:rFonts w:ascii="Times New Roman" w:hAnsi="Times New Roman" w:cs="Times New Roman"/>
          <w:noProof/>
          <w:kern w:val="0"/>
          <w:szCs w:val="24"/>
        </w:rPr>
        <w:t xml:space="preserve">Velasquez, E., Lavelle, P., Barrios, E., Joffre, R., Reversat, F., 2005. </w:t>
      </w:r>
      <w:r w:rsidRPr="000314EC">
        <w:rPr>
          <w:rFonts w:ascii="Times New Roman" w:hAnsi="Times New Roman" w:cs="Times New Roman"/>
          <w:noProof/>
          <w:kern w:val="0"/>
          <w:szCs w:val="24"/>
          <w:lang w:val="en-US"/>
        </w:rPr>
        <w:t>Evaluating soil quality in tropical agroecosystems of Colombia using NIRS. Soil Biol. Biochem. 37, 889–898. https://doi.org/10.1016/j.soilbio.2004.09.009</w:t>
      </w:r>
    </w:p>
    <w:p w14:paraId="50E22EA3" w14:textId="77777777" w:rsidR="008A24CD" w:rsidRPr="008A24CD" w:rsidRDefault="008A24CD" w:rsidP="008A24CD">
      <w:pPr>
        <w:widowControl w:val="0"/>
        <w:autoSpaceDE w:val="0"/>
        <w:autoSpaceDN w:val="0"/>
        <w:adjustRightInd w:val="0"/>
        <w:spacing w:line="240" w:lineRule="auto"/>
        <w:ind w:left="480" w:hanging="480"/>
        <w:jc w:val="both"/>
        <w:rPr>
          <w:rFonts w:ascii="Times New Roman" w:hAnsi="Times New Roman" w:cs="Times New Roman"/>
          <w:noProof/>
        </w:rPr>
      </w:pPr>
      <w:r w:rsidRPr="000314EC">
        <w:rPr>
          <w:rFonts w:ascii="Times New Roman" w:hAnsi="Times New Roman" w:cs="Times New Roman"/>
          <w:noProof/>
          <w:kern w:val="0"/>
          <w:szCs w:val="24"/>
          <w:lang w:val="en-US"/>
        </w:rPr>
        <w:t xml:space="preserve">Vonk, J., Bannink, A., van Bruggen, C., Groenestein, C.M., Huijsmans, J.F.M., van der Kolk, J.W.H., Luesink, H.H., Oude Voshaar, S.V., Sluis, S.M., Velthof, G.L., 2016. </w:t>
      </w:r>
      <w:r w:rsidRPr="008A24CD">
        <w:rPr>
          <w:rFonts w:ascii="Times New Roman" w:hAnsi="Times New Roman" w:cs="Times New Roman"/>
          <w:noProof/>
          <w:kern w:val="0"/>
          <w:szCs w:val="24"/>
        </w:rPr>
        <w:t>Methodology for estimating emissions from agriculture in the Netherlands.</w:t>
      </w:r>
    </w:p>
    <w:p w14:paraId="2A04A6F1" w14:textId="1ABB4333" w:rsidR="008A24CD" w:rsidRPr="008A24CD" w:rsidRDefault="008A24CD" w:rsidP="008A24CD">
      <w:pPr>
        <w:jc w:val="both"/>
        <w:rPr>
          <w:rFonts w:ascii="Times New Roman" w:eastAsia="Times New Roman" w:hAnsi="Times New Roman" w:cs="Times New Roman"/>
          <w:snapToGrid w:val="0"/>
          <w:color w:val="000000"/>
          <w:kern w:val="0"/>
          <w:lang w:val="en-US" w:eastAsia="de-DE" w:bidi="en-US"/>
          <w14:ligatures w14:val="none"/>
        </w:rPr>
      </w:pPr>
      <w:r w:rsidRPr="008A24CD">
        <w:rPr>
          <w:rFonts w:ascii="Times New Roman" w:eastAsia="Times New Roman" w:hAnsi="Times New Roman" w:cs="Times New Roman"/>
          <w:snapToGrid w:val="0"/>
          <w:color w:val="000000"/>
          <w:kern w:val="0"/>
          <w:lang w:val="en-US" w:eastAsia="de-DE" w:bidi="en-US"/>
          <w14:ligatures w14:val="none"/>
        </w:rPr>
        <w:fldChar w:fldCharType="end"/>
      </w:r>
    </w:p>
    <w:sectPr w:rsidR="008A24CD" w:rsidRPr="008A24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63A"/>
    <w:rsid w:val="000314EC"/>
    <w:rsid w:val="0009182D"/>
    <w:rsid w:val="003F5F49"/>
    <w:rsid w:val="00575728"/>
    <w:rsid w:val="006F2A9A"/>
    <w:rsid w:val="00744997"/>
    <w:rsid w:val="00862A92"/>
    <w:rsid w:val="008A24CD"/>
    <w:rsid w:val="008D09A7"/>
    <w:rsid w:val="00A022E3"/>
    <w:rsid w:val="00AC65E1"/>
    <w:rsid w:val="00DA763A"/>
    <w:rsid w:val="00F30FB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57A617"/>
  <w15:chartTrackingRefBased/>
  <w15:docId w15:val="{296CC4DF-3C56-49D5-8663-BBC14318D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DA763A"/>
    <w:rPr>
      <w:color w:val="0563C1" w:themeColor="hyperlink"/>
      <w:u w:val="single"/>
    </w:rPr>
  </w:style>
  <w:style w:type="table" w:styleId="Tablaconcuadrcula">
    <w:name w:val="Table Grid"/>
    <w:basedOn w:val="Tablanormal"/>
    <w:uiPriority w:val="39"/>
    <w:rsid w:val="008A24CD"/>
    <w:pPr>
      <w:spacing w:after="0" w:line="260" w:lineRule="atLeast"/>
      <w:jc w:val="both"/>
    </w:pPr>
    <w:rPr>
      <w:rFonts w:ascii="Palatino Linotype" w:eastAsia="SimSun" w:hAnsi="Palatino Linotype" w:cs="Times New Roman"/>
      <w:color w:val="000000"/>
      <w:kern w:val="0"/>
      <w:sz w:val="20"/>
      <w:szCs w:val="20"/>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35textbeforelist">
    <w:name w:val="MDPI_3.5_text_before_list"/>
    <w:qFormat/>
    <w:rsid w:val="008A24CD"/>
    <w:pPr>
      <w:adjustRightInd w:val="0"/>
      <w:snapToGrid w:val="0"/>
      <w:spacing w:after="0" w:line="228" w:lineRule="auto"/>
      <w:ind w:left="2608" w:firstLine="425"/>
      <w:jc w:val="both"/>
    </w:pPr>
    <w:rPr>
      <w:rFonts w:ascii="Palatino Linotype" w:eastAsia="Times New Roman" w:hAnsi="Palatino Linotype" w:cs="Times New Roman"/>
      <w:snapToGrid w:val="0"/>
      <w:color w:val="000000"/>
      <w:kern w:val="0"/>
      <w:sz w:val="20"/>
      <w:lang w:val="en-US" w:eastAsia="de-DE"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stor.sanchez1@unisabana.edu.co" TargetMode="External"/><Relationship Id="rId3" Type="http://schemas.openxmlformats.org/officeDocument/2006/relationships/settings" Target="settings.xml"/><Relationship Id="rId7" Type="http://schemas.openxmlformats.org/officeDocument/2006/relationships/hyperlink" Target="mailto:Ruth.ruiz@unisabana.edu.c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martha.cobo@unisabana.edu.co" TargetMode="External"/><Relationship Id="rId5" Type="http://schemas.openxmlformats.org/officeDocument/2006/relationships/hyperlink" Target="mailto:davidrodfo@unisabana.edu.c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8671C4-4B8A-480E-9E01-01CBD6587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3155</Words>
  <Characters>17770</Characters>
  <Application>Microsoft Office Word</Application>
  <DocSecurity>0</DocSecurity>
  <Lines>390</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Nestor Eduardo Sanchez Ramirez</dc:creator>
  <cp:keywords/>
  <dc:description/>
  <cp:lastModifiedBy>Nestor Eduardo Sanchez Ramirez</cp:lastModifiedBy>
  <cp:revision>5</cp:revision>
  <dcterms:created xsi:type="dcterms:W3CDTF">2023-06-20T20:09:00Z</dcterms:created>
  <dcterms:modified xsi:type="dcterms:W3CDTF">2023-12-04T19:37:00Z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f14aa42a-1373-4537-81c0-58004040eab5</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http://www.zotero.org/styles/applied-catalysis-a-general</vt:lpwstr>
  </property>
  <property fmtid="{D5CDD505-2E9C-101B-9397-08002B2CF9AE}" pid="10" name="Mendeley Recent Style Name 3_1">
    <vt:lpwstr>Applied Catalysis A, General</vt:lpwstr>
  </property>
  <property fmtid="{D5CDD505-2E9C-101B-9397-08002B2CF9AE}" pid="11" name="Mendeley Recent Style Id 4_1">
    <vt:lpwstr>http://www.zotero.org/styles/energies</vt:lpwstr>
  </property>
  <property fmtid="{D5CDD505-2E9C-101B-9397-08002B2CF9AE}" pid="12" name="Mendeley Recent Style Name 4_1">
    <vt:lpwstr>Energies</vt:lpwstr>
  </property>
  <property fmtid="{D5CDD505-2E9C-101B-9397-08002B2CF9AE}" pid="13" name="Mendeley Recent Style Id 5_1">
    <vt:lpwstr>http://www.zotero.org/styles/energy</vt:lpwstr>
  </property>
  <property fmtid="{D5CDD505-2E9C-101B-9397-08002B2CF9AE}" pid="14" name="Mendeley Recent Style Name 5_1">
    <vt:lpwstr>Energy</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http://www.zotero.org/styles/industrial-crops-and-products</vt:lpwstr>
  </property>
  <property fmtid="{D5CDD505-2E9C-101B-9397-08002B2CF9AE}" pid="18" name="Mendeley Recent Style Name 7_1">
    <vt:lpwstr>Industrial Crops &amp; Products</vt:lpwstr>
  </property>
  <property fmtid="{D5CDD505-2E9C-101B-9397-08002B2CF9AE}" pid="19" name="Mendeley Recent Style Id 8_1">
    <vt:lpwstr>http://www.zotero.org/styles/international-journal-of-hydrogen-energy</vt:lpwstr>
  </property>
  <property fmtid="{D5CDD505-2E9C-101B-9397-08002B2CF9AE}" pid="20" name="Mendeley Recent Style Name 8_1">
    <vt:lpwstr>International Journal of Hydrogen Energy</vt:lpwstr>
  </property>
  <property fmtid="{D5CDD505-2E9C-101B-9397-08002B2CF9AE}" pid="21" name="Mendeley Recent Style Id 9_1">
    <vt:lpwstr>http://www.zotero.org/styles/processes</vt:lpwstr>
  </property>
  <property fmtid="{D5CDD505-2E9C-101B-9397-08002B2CF9AE}" pid="22" name="Mendeley Recent Style Name 9_1">
    <vt:lpwstr>Processes</vt:lpwstr>
  </property>
  <property fmtid="{D5CDD505-2E9C-101B-9397-08002B2CF9AE}" pid="23" name="Mendeley Document_1">
    <vt:lpwstr>True</vt:lpwstr>
  </property>
  <property fmtid="{D5CDD505-2E9C-101B-9397-08002B2CF9AE}" pid="24" name="Mendeley Unique User Id_1">
    <vt:lpwstr>19dea542-77ad-3380-b3ab-3d1d4f31ac84</vt:lpwstr>
  </property>
  <property fmtid="{D5CDD505-2E9C-101B-9397-08002B2CF9AE}" pid="25" name="Mendeley Citation Style_1">
    <vt:lpwstr>http://www.zotero.org/styles/industrial-crops-and-products</vt:lpwstr>
  </property>
</Properties>
</file>