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480" w:lineRule="auto"/>
        <w:jc w:val="center"/>
        <w:rPr>
          <w:rFonts w:hint="eastAsia"/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Electronic Supplementary Information</w:t>
      </w:r>
      <w:r>
        <w:rPr>
          <w:rFonts w:hint="eastAsia"/>
          <w:b/>
          <w:bCs/>
          <w:i/>
          <w:iCs/>
          <w:sz w:val="32"/>
          <w:szCs w:val="32"/>
        </w:rPr>
        <w:t xml:space="preserve"> for</w:t>
      </w:r>
    </w:p>
    <w:p>
      <w:pPr>
        <w:spacing w:line="480" w:lineRule="auto"/>
        <w:jc w:val="left"/>
        <w:rPr>
          <w:i/>
          <w:iCs/>
          <w:sz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cs="Times New Roman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cs="Times New Roman"/>
          <w:b/>
          <w:bCs/>
          <w:kern w:val="0"/>
          <w:sz w:val="32"/>
          <w:szCs w:val="32"/>
          <w:lang w:val="en-US" w:eastAsia="zh-CN" w:bidi="ar-SA"/>
        </w:rPr>
        <w:t>Synthesis of photoresponsive phenanthroimidazole-based S,S-dioxide dithienylethene for information storage and encryption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cs="Times New Roman"/>
          <w:b/>
          <w:bCs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adjustRightInd w:val="0"/>
        <w:snapToGrid w:val="0"/>
        <w:spacing w:line="480" w:lineRule="auto"/>
        <w:ind w:left="360" w:hanging="360"/>
        <w:jc w:val="left"/>
        <w:textAlignment w:val="auto"/>
        <w:rPr>
          <w:rFonts w:hint="default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>Jiaxian Lu,</w:t>
      </w:r>
      <w:r>
        <w:rPr>
          <w:i w:val="0"/>
          <w:sz w:val="24"/>
          <w:szCs w:val="24"/>
          <w:vertAlign w:val="superscript"/>
          <w:lang w:eastAsia="zh-CN"/>
        </w:rPr>
        <w:t>a</w:t>
      </w:r>
      <w:r>
        <w:rPr>
          <w:rFonts w:hint="eastAsia"/>
          <w:i w:val="0"/>
          <w:sz w:val="24"/>
          <w:szCs w:val="24"/>
          <w:vertAlign w:val="superscript"/>
          <w:lang w:eastAsia="zh-CN"/>
        </w:rPr>
        <w:t>,</w:t>
      </w:r>
      <w:r>
        <w:rPr>
          <w:i w:val="0"/>
          <w:sz w:val="24"/>
          <w:szCs w:val="24"/>
          <w:vertAlign w:val="superscript"/>
          <w:lang w:eastAsia="zh-CN"/>
        </w:rPr>
        <w:t>b</w:t>
      </w: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 xml:space="preserve"> Qing Yan,</w:t>
      </w:r>
      <w:r>
        <w:rPr>
          <w:i w:val="0"/>
          <w:sz w:val="24"/>
          <w:szCs w:val="24"/>
          <w:vertAlign w:val="superscript"/>
          <w:lang w:eastAsia="zh-CN"/>
        </w:rPr>
        <w:t>b</w:t>
      </w: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>* Miao Luo,</w:t>
      </w:r>
      <w:r>
        <w:rPr>
          <w:i w:val="0"/>
          <w:sz w:val="24"/>
          <w:szCs w:val="24"/>
          <w:vertAlign w:val="superscript"/>
          <w:lang w:eastAsia="zh-CN"/>
        </w:rPr>
        <w:t>b</w:t>
      </w: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 xml:space="preserve"> Jun Ren,</w:t>
      </w:r>
      <w:r>
        <w:rPr>
          <w:i w:val="0"/>
          <w:sz w:val="24"/>
          <w:szCs w:val="24"/>
          <w:vertAlign w:val="superscript"/>
          <w:lang w:eastAsia="zh-CN"/>
        </w:rPr>
        <w:t>a</w:t>
      </w: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>* Sheng Wang</w:t>
      </w:r>
      <w:r>
        <w:rPr>
          <w:i w:val="0"/>
          <w:sz w:val="24"/>
          <w:szCs w:val="24"/>
          <w:vertAlign w:val="superscript"/>
          <w:lang w:eastAsia="zh-CN"/>
        </w:rPr>
        <w:t>a</w:t>
      </w:r>
      <w:r>
        <w:rPr>
          <w:rFonts w:hint="eastAsia"/>
          <w:i w:val="0"/>
          <w:sz w:val="24"/>
          <w:szCs w:val="24"/>
          <w:vertAlign w:val="superscript"/>
          <w:lang w:eastAsia="zh-CN"/>
        </w:rPr>
        <w:t>,</w:t>
      </w:r>
      <w:r>
        <w:rPr>
          <w:i w:val="0"/>
          <w:sz w:val="24"/>
          <w:szCs w:val="24"/>
          <w:vertAlign w:val="superscript"/>
          <w:lang w:eastAsia="zh-CN"/>
        </w:rPr>
        <w:t>b</w:t>
      </w: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>*</w:t>
      </w:r>
    </w:p>
    <w:p>
      <w:pPr>
        <w:pStyle w:val="9"/>
        <w:spacing w:line="480" w:lineRule="auto"/>
        <w:jc w:val="center"/>
        <w:rPr>
          <w:sz w:val="24"/>
          <w:szCs w:val="24"/>
          <w:vertAlign w:val="superscript"/>
        </w:rPr>
      </w:pPr>
    </w:p>
    <w:p>
      <w:pPr>
        <w:pStyle w:val="9"/>
        <w:spacing w:line="480" w:lineRule="auto"/>
        <w:jc w:val="both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  <w:vertAlign w:val="superscript"/>
        </w:rPr>
        <w:t>a</w:t>
      </w:r>
      <w:r>
        <w:rPr>
          <w:i w:val="0"/>
          <w:iCs/>
          <w:sz w:val="24"/>
          <w:szCs w:val="24"/>
        </w:rPr>
        <w:t>Ministry of Education Key Laboratory for the Synthesis and Application of Organic Functional Molecules &amp; Hubei Collaborative Innovation Center for Advanced Organic Chemical Materials, Hubei University, Wuhan, 430062, P.R. China.</w:t>
      </w:r>
    </w:p>
    <w:p>
      <w:pPr>
        <w:pStyle w:val="9"/>
        <w:spacing w:line="480" w:lineRule="auto"/>
        <w:jc w:val="both"/>
        <w:rPr>
          <w:rFonts w:hint="eastAsia"/>
          <w:i w:val="0"/>
          <w:iCs/>
          <w:sz w:val="24"/>
          <w:szCs w:val="24"/>
          <w:lang w:eastAsia="zh-CN"/>
        </w:rPr>
      </w:pPr>
      <w:r>
        <w:rPr>
          <w:i w:val="0"/>
          <w:iCs/>
          <w:sz w:val="24"/>
          <w:szCs w:val="24"/>
          <w:vertAlign w:val="superscript"/>
        </w:rPr>
        <w:t>b</w:t>
      </w:r>
      <w:r>
        <w:rPr>
          <w:i w:val="0"/>
          <w:iCs/>
          <w:sz w:val="24"/>
          <w:szCs w:val="24"/>
        </w:rPr>
        <w:t>School of Chemistry and Chemical Engineering, Lingnan Normal University, Zhanjiang, 524048, China.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adjustRightInd w:val="0"/>
        <w:snapToGrid w:val="0"/>
        <w:spacing w:line="480" w:lineRule="auto"/>
        <w:ind w:left="360" w:hanging="360"/>
        <w:textAlignment w:val="auto"/>
        <w:rPr>
          <w:rFonts w:hint="default" w:cs="Times New Roman"/>
          <w:b w:val="0"/>
          <w:bCs w:val="0"/>
          <w:sz w:val="28"/>
          <w:szCs w:val="28"/>
          <w:lang w:val="en-US" w:eastAsia="zh-CN"/>
        </w:rPr>
      </w:pPr>
    </w:p>
    <w:p/>
    <w:p>
      <w:pPr>
        <w:rPr>
          <w:rFonts w:hint="default"/>
          <w:b/>
          <w:bCs/>
          <w:sz w:val="28"/>
          <w:szCs w:val="28"/>
        </w:rPr>
      </w:pPr>
    </w:p>
    <w:p>
      <w:pPr>
        <w:rPr>
          <w:rFonts w:hint="default"/>
          <w:b/>
          <w:bCs/>
          <w:sz w:val="28"/>
          <w:szCs w:val="28"/>
        </w:rPr>
      </w:pPr>
    </w:p>
    <w:p>
      <w:pPr>
        <w:rPr>
          <w:rFonts w:hint="default"/>
          <w:b/>
          <w:bCs/>
          <w:sz w:val="28"/>
          <w:szCs w:val="28"/>
        </w:rPr>
      </w:pPr>
    </w:p>
    <w:p>
      <w:pPr>
        <w:rPr>
          <w:rFonts w:hint="default"/>
          <w:b/>
          <w:bCs/>
          <w:sz w:val="28"/>
          <w:szCs w:val="28"/>
        </w:rPr>
      </w:pPr>
    </w:p>
    <w:p>
      <w:pPr>
        <w:rPr>
          <w:rFonts w:hint="eastAsia" w:cs="Times New Roman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</w:rPr>
        <w:br w:type="page"/>
      </w: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t xml:space="preserve">1.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GB"/>
        </w:rPr>
        <w:t>Absorption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 xml:space="preserve"> Spectra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4265930"/>
            <wp:effectExtent l="0" t="0" r="1016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The absorption changes of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 xml:space="preserve">DTE-P1O4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in a) </w:t>
      </w:r>
      <w:r>
        <w:rPr>
          <w:rFonts w:hint="eastAsia" w:cs="Times New Roman"/>
          <w:sz w:val="24"/>
          <w:szCs w:val="24"/>
          <w:lang w:val="en-US" w:eastAsia="zh-CN"/>
        </w:rPr>
        <w:t xml:space="preserve">DCM, b) MeCN, c) DMSO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(1 × 10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GB"/>
        </w:rPr>
        <w:t>−5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M) under 254 nm irradiation.</w:t>
      </w:r>
      <w:r>
        <w:rPr>
          <w:rFonts w:hint="default" w:ascii="Times New Roman" w:hAnsi="Times New Roman" w:cs="Times New Roman"/>
          <w:sz w:val="24"/>
          <w:szCs w:val="24"/>
        </w:rPr>
        <w:t xml:space="preserve"> Inset: corresponding color </w:t>
      </w:r>
      <w:r>
        <w:rPr>
          <w:rFonts w:hint="default"/>
          <w:sz w:val="24"/>
          <w:szCs w:val="24"/>
        </w:rPr>
        <w:t>changes before and after irradiation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pacing w:line="480" w:lineRule="auto"/>
        <w:textAlignment w:val="auto"/>
        <w:rPr>
          <w:rFonts w:hint="default" w:ascii="Times New Roman" w:hAnsi="Times New Roman" w:cs="Times New Roman"/>
        </w:rPr>
      </w:pPr>
    </w:p>
    <w:p>
      <w:pPr>
        <w:rPr>
          <w:rFonts w:hint="eastAsia" w:cs="Times New Roman"/>
          <w:b/>
          <w:bCs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t>2. Fluorescence Spectra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2405" cy="4072255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pacing w:before="156" w:beforeLines="50" w:after="156" w:afterLines="50"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Fluorescence spectra change</w:t>
      </w:r>
      <w:r>
        <w:rPr>
          <w:rFonts w:hint="default" w:ascii="Times New Roman" w:hAnsi="Times New Roman" w:cs="Times New Roman"/>
          <w:sz w:val="24"/>
          <w:szCs w:val="24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(λ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GB"/>
        </w:rPr>
        <w:t>ex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= 360 nm)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of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DTE-P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O4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in </w:t>
      </w:r>
      <w:r>
        <w:rPr>
          <w:rFonts w:hint="eastAsia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) DCM, </w:t>
      </w:r>
      <w:r>
        <w:rPr>
          <w:rFonts w:hint="eastAsia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) MeCN, </w:t>
      </w:r>
      <w:r>
        <w:rPr>
          <w:rFonts w:hint="eastAsia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) DMSO (1 × 10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GB"/>
        </w:rPr>
        <w:t>−5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M) under 254 nm</w:t>
      </w:r>
      <w:r>
        <w:rPr>
          <w:rFonts w:hint="default" w:ascii="Times New Roman" w:hAnsi="Times New Roman" w:cs="Times New Roman"/>
          <w:sz w:val="24"/>
          <w:szCs w:val="24"/>
        </w:rPr>
        <w:t xml:space="preserve"> light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irradiation. </w:t>
      </w:r>
      <w:r>
        <w:rPr>
          <w:rFonts w:hint="default" w:ascii="Times New Roman" w:hAnsi="Times New Roman" w:cs="Times New Roman"/>
          <w:sz w:val="24"/>
          <w:szCs w:val="24"/>
        </w:rPr>
        <w:t>Inset: corresponding fluorescence changes before and after irradiation.</w:t>
      </w:r>
      <w:r>
        <w:rPr>
          <w:rFonts w:hint="eastAsia" w:cs="Times New Roman"/>
          <w:sz w:val="24"/>
          <w:szCs w:val="24"/>
          <w:lang w:val="en-US" w:eastAsia="zh-CN"/>
        </w:rPr>
        <w:t xml:space="preserve"> d) Color</w:t>
      </w:r>
      <w:r>
        <w:rPr>
          <w:rFonts w:hint="default" w:ascii="Times New Roman" w:hAnsi="Times New Roman" w:cs="Times New Roman"/>
          <w:sz w:val="24"/>
          <w:szCs w:val="24"/>
        </w:rPr>
        <w:t xml:space="preserve"> changes before and after irradiation</w:t>
      </w:r>
      <w:r>
        <w:rPr>
          <w:rFonts w:hint="eastAsia" w:cs="Times New Roman"/>
          <w:sz w:val="24"/>
          <w:szCs w:val="24"/>
          <w:lang w:val="en-US" w:eastAsia="zh-CN"/>
        </w:rPr>
        <w:t xml:space="preserve"> in solid state.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3. </w:t>
      </w:r>
      <w:r>
        <w:rPr>
          <w:b/>
          <w:bCs/>
          <w:sz w:val="28"/>
          <w:szCs w:val="28"/>
        </w:rPr>
        <w:t>NMR spectra and HRMS</w:t>
      </w:r>
      <w:r>
        <w:rPr>
          <w:rFonts w:hint="eastAsia"/>
          <w:b/>
          <w:bCs/>
          <w:sz w:val="28"/>
          <w:szCs w:val="28"/>
        </w:rPr>
        <w:t>：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0500" cy="3085465"/>
            <wp:effectExtent l="0" t="0" r="6350" b="635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/>
          <w:sz w:val="24"/>
        </w:rPr>
      </w:pPr>
      <w:r>
        <w:rPr>
          <w:b/>
          <w:bCs/>
          <w:sz w:val="24"/>
        </w:rPr>
        <w:t>Fig</w:t>
      </w:r>
      <w:r>
        <w:rPr>
          <w:rFonts w:hint="eastAsia"/>
          <w:b/>
          <w:bCs/>
          <w:sz w:val="24"/>
        </w:rPr>
        <w:t>ure S</w:t>
      </w:r>
      <w:r>
        <w:rPr>
          <w:rFonts w:hint="eastAsia"/>
          <w:b/>
          <w:bCs/>
          <w:sz w:val="24"/>
          <w:lang w:val="en-US" w:eastAsia="zh-CN"/>
        </w:rPr>
        <w:t>3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1</w:t>
      </w:r>
      <w:r>
        <w:rPr>
          <w:sz w:val="24"/>
        </w:rPr>
        <w:t>H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MNR of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DTE-P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O4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sz w:val="24"/>
        </w:rPr>
        <w:t>in CDCl</w:t>
      </w:r>
      <w:r>
        <w:rPr>
          <w:rFonts w:hint="eastAsia"/>
          <w:sz w:val="24"/>
          <w:vertAlign w:val="subscript"/>
          <w:lang w:val="en-US" w:eastAsia="zh-CN"/>
        </w:rPr>
        <w:t>3</w:t>
      </w:r>
      <w:r>
        <w:rPr>
          <w:rFonts w:hint="eastAsia"/>
          <w:sz w:val="24"/>
        </w:rPr>
        <w:t>.</w:t>
      </w:r>
    </w:p>
    <w:p/>
    <w:p/>
    <w:p>
      <w:r>
        <w:drawing>
          <wp:inline distT="0" distB="0" distL="114300" distR="114300">
            <wp:extent cx="5270500" cy="2685415"/>
            <wp:effectExtent l="0" t="0" r="6350" b="635"/>
            <wp:docPr id="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/>
          <w:sz w:val="24"/>
        </w:rPr>
      </w:pPr>
      <w:r>
        <w:rPr>
          <w:b/>
          <w:bCs/>
          <w:sz w:val="24"/>
        </w:rPr>
        <w:t>Fig</w:t>
      </w:r>
      <w:r>
        <w:rPr>
          <w:rFonts w:hint="eastAsia"/>
          <w:b/>
          <w:bCs/>
          <w:sz w:val="24"/>
        </w:rPr>
        <w:t>ure S</w:t>
      </w:r>
      <w:r>
        <w:rPr>
          <w:rFonts w:hint="eastAsia"/>
          <w:b/>
          <w:bCs/>
          <w:sz w:val="24"/>
          <w:lang w:val="en-US" w:eastAsia="zh-CN"/>
        </w:rPr>
        <w:t>4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1</w:t>
      </w:r>
      <w:r>
        <w:rPr>
          <w:rFonts w:hint="eastAsia"/>
          <w:sz w:val="24"/>
          <w:vertAlign w:val="superscript"/>
          <w:lang w:val="en-US" w:eastAsia="zh-CN"/>
        </w:rPr>
        <w:t>3</w:t>
      </w:r>
      <w:r>
        <w:rPr>
          <w:rFonts w:hint="eastAsia"/>
          <w:sz w:val="24"/>
          <w:lang w:val="en-US" w:eastAsia="zh-CN"/>
        </w:rPr>
        <w:t>C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MNR of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DTE-P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O4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sz w:val="24"/>
        </w:rPr>
        <w:t>in CDCl</w:t>
      </w:r>
      <w:r>
        <w:rPr>
          <w:rFonts w:hint="eastAsia"/>
          <w:sz w:val="24"/>
          <w:vertAlign w:val="subscript"/>
          <w:lang w:val="en-US" w:eastAsia="zh-CN"/>
        </w:rPr>
        <w:t>3</w:t>
      </w:r>
      <w:r>
        <w:rPr>
          <w:rFonts w:hint="eastAsia"/>
          <w:sz w:val="24"/>
        </w:rPr>
        <w:t>.</w:t>
      </w:r>
    </w:p>
    <w:p>
      <w:pPr>
        <w:spacing w:line="480" w:lineRule="auto"/>
      </w:pPr>
    </w:p>
    <w:p>
      <w:pPr>
        <w:spacing w:line="480" w:lineRule="auto"/>
        <w:rPr>
          <w:rFonts w:hint="eastAsia"/>
          <w:sz w:val="24"/>
        </w:rPr>
      </w:pPr>
      <w:r>
        <w:drawing>
          <wp:inline distT="0" distB="0" distL="114300" distR="114300">
            <wp:extent cx="5269865" cy="2955290"/>
            <wp:effectExtent l="0" t="0" r="6985" b="16510"/>
            <wp:docPr id="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Figure </w:t>
      </w:r>
      <w:r>
        <w:rPr>
          <w:rFonts w:hint="eastAsia"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</w:rPr>
        <w:t xml:space="preserve">HRMS of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DTE-P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O4</w:t>
      </w:r>
      <w:r>
        <w:rPr>
          <w:rFonts w:hint="default" w:ascii="Times New Roman" w:hAnsi="Times New Roman" w:cs="Times New Roman"/>
          <w:b/>
          <w:bCs/>
          <w:sz w:val="24"/>
        </w:rPr>
        <w:t>.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i w:val="0"/>
          <w:iCs w:val="0"/>
          <w:sz w:val="24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lang w:val="en-US" w:eastAsia="zh-CN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NWMwYjBmYTg0ZmY3MGVkY2NiMjhjMzZhYWU0NjQifQ=="/>
  </w:docVars>
  <w:rsids>
    <w:rsidRoot w:val="00000000"/>
    <w:rsid w:val="00CD1788"/>
    <w:rsid w:val="02B063CF"/>
    <w:rsid w:val="04ED41A7"/>
    <w:rsid w:val="082C4A8F"/>
    <w:rsid w:val="083B1F11"/>
    <w:rsid w:val="0B0A4D27"/>
    <w:rsid w:val="0B535806"/>
    <w:rsid w:val="0C2E36E7"/>
    <w:rsid w:val="0C963376"/>
    <w:rsid w:val="0D8238FA"/>
    <w:rsid w:val="0DF33DA8"/>
    <w:rsid w:val="0EE87959"/>
    <w:rsid w:val="10994689"/>
    <w:rsid w:val="10B71B0D"/>
    <w:rsid w:val="10D60B3D"/>
    <w:rsid w:val="118739F0"/>
    <w:rsid w:val="11EC57E6"/>
    <w:rsid w:val="15806971"/>
    <w:rsid w:val="1672012D"/>
    <w:rsid w:val="16EA2C3C"/>
    <w:rsid w:val="181F0DC7"/>
    <w:rsid w:val="18DF3ADD"/>
    <w:rsid w:val="19340E2B"/>
    <w:rsid w:val="1AEA6DD9"/>
    <w:rsid w:val="1C485D0F"/>
    <w:rsid w:val="1CEC7871"/>
    <w:rsid w:val="202A5F3D"/>
    <w:rsid w:val="209634ED"/>
    <w:rsid w:val="226F3FF6"/>
    <w:rsid w:val="233F6D19"/>
    <w:rsid w:val="242022A8"/>
    <w:rsid w:val="27F8683B"/>
    <w:rsid w:val="2A0911D4"/>
    <w:rsid w:val="2B050473"/>
    <w:rsid w:val="2BE30D8F"/>
    <w:rsid w:val="2DB843CA"/>
    <w:rsid w:val="30CF7AC3"/>
    <w:rsid w:val="34CE2DFE"/>
    <w:rsid w:val="39AE222F"/>
    <w:rsid w:val="3A704EFB"/>
    <w:rsid w:val="3CE05DC4"/>
    <w:rsid w:val="3EF50E21"/>
    <w:rsid w:val="41742F7F"/>
    <w:rsid w:val="42D36576"/>
    <w:rsid w:val="43317327"/>
    <w:rsid w:val="434121F7"/>
    <w:rsid w:val="435D6CE3"/>
    <w:rsid w:val="43F839F3"/>
    <w:rsid w:val="44976E75"/>
    <w:rsid w:val="453942C3"/>
    <w:rsid w:val="46780E1B"/>
    <w:rsid w:val="4EC15FC5"/>
    <w:rsid w:val="571B31C5"/>
    <w:rsid w:val="57597E5D"/>
    <w:rsid w:val="57A8352A"/>
    <w:rsid w:val="58403763"/>
    <w:rsid w:val="592A16CF"/>
    <w:rsid w:val="593B28A8"/>
    <w:rsid w:val="59AE6F27"/>
    <w:rsid w:val="59E940B2"/>
    <w:rsid w:val="5D30024A"/>
    <w:rsid w:val="5DE80B25"/>
    <w:rsid w:val="603F7AAB"/>
    <w:rsid w:val="610C5A15"/>
    <w:rsid w:val="612400C6"/>
    <w:rsid w:val="61F41846"/>
    <w:rsid w:val="627604AD"/>
    <w:rsid w:val="65E676F8"/>
    <w:rsid w:val="6B8D7B3C"/>
    <w:rsid w:val="6BA8544F"/>
    <w:rsid w:val="6DC766FA"/>
    <w:rsid w:val="6EDF5173"/>
    <w:rsid w:val="6F75469F"/>
    <w:rsid w:val="74E720E2"/>
    <w:rsid w:val="75AC1B02"/>
    <w:rsid w:val="75B769B0"/>
    <w:rsid w:val="77644920"/>
    <w:rsid w:val="7ACA3634"/>
    <w:rsid w:val="7C725D31"/>
    <w:rsid w:val="7D9D293A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Els_Author"/>
    <w:next w:val="9"/>
    <w:qFormat/>
    <w:uiPriority w:val="0"/>
    <w:pPr>
      <w:spacing w:after="160" w:line="290" w:lineRule="exact"/>
    </w:pPr>
    <w:rPr>
      <w:rFonts w:ascii="Times New Roman" w:hAnsi="Times New Roman" w:eastAsia="宋体" w:cs="Times New Roman"/>
      <w:sz w:val="24"/>
      <w:lang w:val="en-US" w:eastAsia="en-US" w:bidi="ar-SA"/>
    </w:rPr>
  </w:style>
  <w:style w:type="paragraph" w:customStyle="1" w:styleId="9">
    <w:name w:val="Els_Affiliation"/>
    <w:qFormat/>
    <w:uiPriority w:val="0"/>
    <w:pPr>
      <w:spacing w:line="200" w:lineRule="exact"/>
    </w:pPr>
    <w:rPr>
      <w:rFonts w:ascii="Times New Roman" w:hAnsi="Times New Roman" w:eastAsia="宋体" w:cs="Times New Roman"/>
      <w:i/>
      <w:sz w:val="16"/>
      <w:lang w:val="en-US" w:eastAsia="en-US" w:bidi="ar-SA"/>
    </w:rPr>
  </w:style>
  <w:style w:type="paragraph" w:customStyle="1" w:styleId="10">
    <w:name w:val="Els_CorrespondingAuthor"/>
    <w:next w:val="11"/>
    <w:qFormat/>
    <w:uiPriority w:val="0"/>
    <w:pPr>
      <w:spacing w:before="120" w:line="200" w:lineRule="exact"/>
    </w:pPr>
    <w:rPr>
      <w:rFonts w:ascii="Times New Roman" w:hAnsi="Times New Roman" w:eastAsia="宋体" w:cs="Times New Roman"/>
      <w:sz w:val="18"/>
      <w:lang w:val="en-US" w:eastAsia="en-US" w:bidi="ar-SA"/>
    </w:rPr>
  </w:style>
  <w:style w:type="paragraph" w:customStyle="1" w:styleId="11">
    <w:name w:val="Els_Footnote"/>
    <w:qFormat/>
    <w:uiPriority w:val="0"/>
    <w:pPr>
      <w:spacing w:before="120" w:line="200" w:lineRule="exact"/>
    </w:pPr>
    <w:rPr>
      <w:rFonts w:ascii="Times New Roman" w:hAnsi="Times New Roman" w:eastAsia="宋体" w:cs="Times New Roman"/>
      <w:sz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2023-10-25T01:47:00Z</dcterms:created>
  <dc:creator>Administrator</dc:creator>
  <cp:lastModifiedBy>晏蜻</cp:lastModifiedBy>
  <dcterms:modified xsi:type="dcterms:W3CDTF">2023-12-04T15:48:16Z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23E4F21BFA41410E80C36DF2500C917D_12</vt:lpwstr>
  </property>
</Properties>
</file>