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9943" w14:textId="77777777" w:rsidR="00865A3A" w:rsidRPr="00865A3A" w:rsidRDefault="00865A3A" w:rsidP="00F07CAD">
      <w:pPr>
        <w:pStyle w:val="Heading1"/>
        <w:rPr>
          <w:lang w:val="en-US"/>
        </w:rPr>
      </w:pPr>
      <w:r w:rsidRPr="00865A3A">
        <w:rPr>
          <w:lang w:val="en-US"/>
        </w:rPr>
        <w:t>The ignition and evolution of a giant submarine gravity flow</w:t>
      </w:r>
    </w:p>
    <w:p w14:paraId="2200552E" w14:textId="77777777" w:rsidR="005C639B" w:rsidRDefault="00AA7EC3" w:rsidP="00F07CAD">
      <w:pPr>
        <w:rPr>
          <w:i/>
          <w:iCs/>
        </w:rPr>
      </w:pPr>
      <w:r w:rsidRPr="00865A3A">
        <w:rPr>
          <w:i/>
          <w:iCs/>
        </w:rPr>
        <w:t>Supplementary material</w:t>
      </w:r>
    </w:p>
    <w:p w14:paraId="12171C5A" w14:textId="77777777" w:rsidR="00213CEA" w:rsidRDefault="00213CEA" w:rsidP="00213CEA">
      <w:pPr>
        <w:pStyle w:val="Heading2"/>
      </w:pPr>
      <w:r w:rsidRPr="0006737A">
        <w:t>Knickpoint</w:t>
      </w:r>
      <w:r>
        <w:t xml:space="preserve"> Profiles</w:t>
      </w:r>
    </w:p>
    <w:p w14:paraId="1BA771D4" w14:textId="77777777" w:rsidR="00213CEA" w:rsidRPr="00033DFB" w:rsidRDefault="00213CEA" w:rsidP="00213CEA">
      <w:r>
        <w:rPr>
          <w:noProof/>
        </w:rPr>
        <w:drawing>
          <wp:inline distT="0" distB="0" distL="0" distR="0" wp14:anchorId="3999F1D3" wp14:editId="61DEF30F">
            <wp:extent cx="5722620" cy="3979422"/>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22620" cy="3979422"/>
                    </a:xfrm>
                    <a:prstGeom prst="rect">
                      <a:avLst/>
                    </a:prstGeom>
                    <a:noFill/>
                    <a:ln>
                      <a:noFill/>
                    </a:ln>
                  </pic:spPr>
                </pic:pic>
              </a:graphicData>
            </a:graphic>
          </wp:inline>
        </w:drawing>
      </w:r>
    </w:p>
    <w:p w14:paraId="0DB273F4" w14:textId="4B12C6A3" w:rsidR="00213CEA" w:rsidRPr="00865A3A" w:rsidRDefault="00213CEA" w:rsidP="00213CEA">
      <w:pPr>
        <w:pStyle w:val="Caption"/>
      </w:pPr>
      <w:r w:rsidRPr="0006737A">
        <w:t xml:space="preserve">Figure </w:t>
      </w:r>
      <w:r w:rsidR="00BB1B3B">
        <w:t>S</w:t>
      </w:r>
      <w:r w:rsidR="00727699">
        <w:t>1</w:t>
      </w:r>
      <w:r w:rsidRPr="0006737A">
        <w:t xml:space="preserve">. </w:t>
      </w:r>
      <w:r>
        <w:t>Bathymetric slope maps of the Agadir Canyon’s upper and lower knickpoints. Black is high slope gradient, white is low slope gradient. (A) Slope Gradient map of the upper knickpoint with indicated depth profile (red line) shown in (B). (C) Slope Gradient map of lower Knickpoint with indicated profile (red line) shown in (D). Location of A and C are given in Figure 1.</w:t>
      </w:r>
    </w:p>
    <w:p w14:paraId="23A6E423" w14:textId="72C70F80" w:rsidR="004A2ED6" w:rsidRDefault="004A2ED6" w:rsidP="004A2ED6">
      <w:pPr>
        <w:pStyle w:val="Heading2"/>
      </w:pPr>
      <w:r>
        <w:lastRenderedPageBreak/>
        <w:t xml:space="preserve">Trimline &amp; Knickpoint </w:t>
      </w:r>
    </w:p>
    <w:p w14:paraId="6ECA6A77" w14:textId="26E23920" w:rsidR="004A2ED6" w:rsidRDefault="004A2ED6" w:rsidP="004A2ED6">
      <w:r>
        <w:rPr>
          <w:noProof/>
        </w:rPr>
        <w:drawing>
          <wp:inline distT="0" distB="0" distL="0" distR="0" wp14:anchorId="4387E3D1" wp14:editId="0DDCAB2F">
            <wp:extent cx="5702060" cy="6641446"/>
            <wp:effectExtent l="0" t="0" r="0" b="7620"/>
            <wp:docPr id="189433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07549" cy="6647840"/>
                    </a:xfrm>
                    <a:prstGeom prst="rect">
                      <a:avLst/>
                    </a:prstGeom>
                    <a:noFill/>
                    <a:ln>
                      <a:noFill/>
                    </a:ln>
                  </pic:spPr>
                </pic:pic>
              </a:graphicData>
            </a:graphic>
          </wp:inline>
        </w:drawing>
      </w:r>
    </w:p>
    <w:p w14:paraId="72FDBE70" w14:textId="39881BC0" w:rsidR="004A2ED6" w:rsidRPr="004A2ED6" w:rsidRDefault="004A2ED6" w:rsidP="006B40AA">
      <w:pPr>
        <w:pStyle w:val="Caption"/>
      </w:pPr>
      <w:r>
        <w:t xml:space="preserve">Figure </w:t>
      </w:r>
      <w:r w:rsidR="00BB1B3B">
        <w:t>S</w:t>
      </w:r>
      <w:r w:rsidR="00727699">
        <w:t>2</w:t>
      </w:r>
      <w:r>
        <w:t>. (A) 3.5 kHz parametric echosounder data across the trimline in the upper canyon. The profile covers the locations of cores MSM113-55-1 and MSM113-56-1 (see Fig. 1 for position). (B) High-resolution seismic image across the same location as in (A), showing the trimline is also visible in seismic data despite being close to the resolution limit (~5 m vertical resolution @ 80 Hz, 1500 m/s). (C) Side-Scan Sonar data showing</w:t>
      </w:r>
      <w:r w:rsidR="009C3543">
        <w:t xml:space="preserve"> detailed morphology of</w:t>
      </w:r>
      <w:r>
        <w:t xml:space="preserve"> the upper knickpoint </w:t>
      </w:r>
      <w:r w:rsidR="009C3543">
        <w:t xml:space="preserve">with numerous erosional scours </w:t>
      </w:r>
      <w:r>
        <w:t>(up t</w:t>
      </w:r>
      <w:r w:rsidR="009C3543">
        <w:t>o</w:t>
      </w:r>
      <w:r>
        <w:t xml:space="preserve"> 200 m long)</w:t>
      </w:r>
      <w:r w:rsidR="009C3543">
        <w:t xml:space="preserve"> forming a composite scarp (~60 m high)</w:t>
      </w:r>
      <w:r>
        <w:t>.</w:t>
      </w:r>
      <w:r w:rsidR="009C3543">
        <w:t xml:space="preserve"> Note the highly irregular crestline of the scarp and </w:t>
      </w:r>
      <w:r w:rsidR="00845334">
        <w:t xml:space="preserve">the large </w:t>
      </w:r>
      <w:r w:rsidR="009C3543">
        <w:t>V-shaped cut</w:t>
      </w:r>
      <w:r w:rsidR="00845334">
        <w:t>, which incises upslope from the main scarp crestline by 1-2 km</w:t>
      </w:r>
      <w:r w:rsidR="009C3543">
        <w:t xml:space="preserve">. </w:t>
      </w:r>
    </w:p>
    <w:p w14:paraId="22785F2A" w14:textId="4D8226A5" w:rsidR="00261A6D" w:rsidRPr="004C40C4" w:rsidRDefault="004C40C4" w:rsidP="004C40C4">
      <w:pPr>
        <w:pStyle w:val="Caption"/>
        <w:rPr>
          <w:rFonts w:cs="Times New Roman"/>
        </w:rPr>
      </w:pPr>
      <w:r>
        <w:br w:type="page"/>
      </w:r>
    </w:p>
    <w:p w14:paraId="2639D79F" w14:textId="77777777" w:rsidR="00BB1B3B" w:rsidRDefault="00BB1B3B" w:rsidP="00BB1B3B">
      <w:pPr>
        <w:spacing w:line="259" w:lineRule="auto"/>
        <w:jc w:val="left"/>
        <w:rPr>
          <w:rFonts w:eastAsiaTheme="minorEastAsia"/>
          <w:b/>
          <w:lang w:val="en-US"/>
        </w:rPr>
      </w:pPr>
      <w:r>
        <w:rPr>
          <w:rFonts w:eastAsiaTheme="minorEastAsia"/>
          <w:b/>
          <w:lang w:val="en-US"/>
        </w:rPr>
        <w:lastRenderedPageBreak/>
        <w:t>Core: MSM113-58</w:t>
      </w:r>
    </w:p>
    <w:p w14:paraId="1411A3E4" w14:textId="724C982C" w:rsidR="00BB1B3B" w:rsidRDefault="00BB1B3B" w:rsidP="00BB1B3B">
      <w:pPr>
        <w:rPr>
          <w:rFonts w:eastAsiaTheme="minorEastAsia"/>
          <w:lang w:val="en-US"/>
        </w:rPr>
      </w:pPr>
      <w:r w:rsidRPr="00454848">
        <w:rPr>
          <w:rFonts w:eastAsiaTheme="minorEastAsia"/>
          <w:lang w:val="en-US"/>
        </w:rPr>
        <w:t xml:space="preserve">MSM113-58 is situated in the Northern Tributary and records </w:t>
      </w:r>
      <w:r>
        <w:rPr>
          <w:rFonts w:eastAsiaTheme="minorEastAsia"/>
          <w:lang w:val="en-US"/>
        </w:rPr>
        <w:t xml:space="preserve">~8m of hemipelagic sediments with </w:t>
      </w:r>
      <w:r w:rsidRPr="00454848">
        <w:rPr>
          <w:rFonts w:eastAsiaTheme="minorEastAsia"/>
          <w:lang w:val="en-US"/>
        </w:rPr>
        <w:t xml:space="preserve">only one </w:t>
      </w:r>
      <w:r>
        <w:rPr>
          <w:rFonts w:eastAsiaTheme="minorEastAsia"/>
          <w:lang w:val="en-US"/>
        </w:rPr>
        <w:t xml:space="preserve">very fine sand </w:t>
      </w:r>
      <w:r w:rsidRPr="00454848">
        <w:rPr>
          <w:rFonts w:eastAsiaTheme="minorEastAsia"/>
          <w:lang w:val="en-US"/>
        </w:rPr>
        <w:t>gravity flow deposit dated to ~82 ka</w:t>
      </w:r>
      <w:r>
        <w:rPr>
          <w:rFonts w:eastAsiaTheme="minorEastAsia"/>
          <w:lang w:val="en-US"/>
        </w:rPr>
        <w:t xml:space="preserve"> (</w:t>
      </w:r>
      <w:r w:rsidRPr="00BB1B3B">
        <w:rPr>
          <w:rFonts w:eastAsiaTheme="minorEastAsia"/>
          <w:i/>
          <w:iCs/>
          <w:lang w:val="en-US"/>
        </w:rPr>
        <w:t>Supplementary Figure S</w:t>
      </w:r>
      <w:r w:rsidR="00727699">
        <w:rPr>
          <w:rFonts w:eastAsiaTheme="minorEastAsia"/>
          <w:i/>
          <w:iCs/>
          <w:lang w:val="en-US"/>
        </w:rPr>
        <w:t>3</w:t>
      </w:r>
      <w:r>
        <w:rPr>
          <w:rFonts w:eastAsiaTheme="minorEastAsia"/>
          <w:lang w:val="en-US"/>
        </w:rPr>
        <w:t>)</w:t>
      </w:r>
      <w:r w:rsidRPr="00454848">
        <w:rPr>
          <w:rFonts w:eastAsiaTheme="minorEastAsia"/>
          <w:lang w:val="en-US"/>
        </w:rPr>
        <w:t xml:space="preserve">. The deposit sits below the </w:t>
      </w:r>
      <w:proofErr w:type="spellStart"/>
      <w:r w:rsidRPr="00213CEA">
        <w:rPr>
          <w:rFonts w:eastAsiaTheme="minorEastAsia"/>
          <w:i/>
          <w:iCs/>
          <w:lang w:val="en-US"/>
        </w:rPr>
        <w:t>G.Mullerae</w:t>
      </w:r>
      <w:proofErr w:type="spellEnd"/>
      <w:r w:rsidRPr="00213CEA">
        <w:rPr>
          <w:rFonts w:eastAsiaTheme="minorEastAsia"/>
          <w:i/>
          <w:iCs/>
          <w:lang w:val="en-US"/>
        </w:rPr>
        <w:t>/</w:t>
      </w:r>
      <w:proofErr w:type="spellStart"/>
      <w:r w:rsidRPr="00213CEA">
        <w:rPr>
          <w:rFonts w:eastAsiaTheme="minorEastAsia"/>
          <w:i/>
          <w:iCs/>
          <w:lang w:val="en-US"/>
        </w:rPr>
        <w:t>E.Huxlyei</w:t>
      </w:r>
      <w:proofErr w:type="spellEnd"/>
      <w:r w:rsidRPr="00454848">
        <w:rPr>
          <w:rFonts w:eastAsiaTheme="minorEastAsia"/>
          <w:lang w:val="en-US"/>
        </w:rPr>
        <w:t xml:space="preserve"> biozone and so is confidently older than 72 ka. Hence, this core rules out Bed 5 originating from the Northern Tributary.</w:t>
      </w:r>
    </w:p>
    <w:p w14:paraId="6ED6F399" w14:textId="77777777" w:rsidR="00BB1B3B" w:rsidRDefault="00BB1B3B" w:rsidP="00BB1B3B">
      <w:pPr>
        <w:rPr>
          <w:rFonts w:eastAsiaTheme="minorEastAsia"/>
          <w:lang w:val="en-US"/>
        </w:rPr>
      </w:pPr>
    </w:p>
    <w:p w14:paraId="25A70DD7" w14:textId="06E84A8F" w:rsidR="000C0FA6" w:rsidRDefault="001966BF" w:rsidP="001258FF">
      <w:pPr>
        <w:rPr>
          <w:b/>
        </w:rPr>
      </w:pPr>
      <w:r>
        <w:rPr>
          <w:b/>
        </w:rPr>
        <w:t>Bed 5 grain sizes</w:t>
      </w:r>
    </w:p>
    <w:tbl>
      <w:tblPr>
        <w:tblStyle w:val="TableGrid"/>
        <w:tblW w:w="0" w:type="auto"/>
        <w:tblLook w:val="04A0" w:firstRow="1" w:lastRow="0" w:firstColumn="1" w:lastColumn="0" w:noHBand="0" w:noVBand="1"/>
      </w:tblPr>
      <w:tblGrid>
        <w:gridCol w:w="2254"/>
        <w:gridCol w:w="2254"/>
        <w:gridCol w:w="2254"/>
        <w:gridCol w:w="2254"/>
      </w:tblGrid>
      <w:tr w:rsidR="00882277" w14:paraId="09A60E1E" w14:textId="77777777" w:rsidTr="00882277">
        <w:tc>
          <w:tcPr>
            <w:tcW w:w="2254" w:type="dxa"/>
          </w:tcPr>
          <w:p w14:paraId="6D2D768B" w14:textId="5CE09350" w:rsidR="00882277" w:rsidRDefault="00882277" w:rsidP="001258FF">
            <w:pPr>
              <w:rPr>
                <w:b/>
              </w:rPr>
            </w:pPr>
            <w:r>
              <w:rPr>
                <w:b/>
              </w:rPr>
              <w:t>Core</w:t>
            </w:r>
          </w:p>
        </w:tc>
        <w:tc>
          <w:tcPr>
            <w:tcW w:w="2254" w:type="dxa"/>
          </w:tcPr>
          <w:p w14:paraId="0429988D" w14:textId="4962B255" w:rsidR="00882277" w:rsidRPr="00882277" w:rsidRDefault="00882277" w:rsidP="001258FF">
            <w:pPr>
              <w:rPr>
                <w:b/>
              </w:rPr>
            </w:pPr>
            <w:r>
              <w:rPr>
                <w:b/>
              </w:rPr>
              <w:t>D</w:t>
            </w:r>
            <w:r w:rsidRPr="00882277">
              <w:rPr>
                <w:b/>
                <w:vertAlign w:val="subscript"/>
              </w:rPr>
              <w:t>50</w:t>
            </w:r>
            <w:r>
              <w:rPr>
                <w:b/>
                <w:vertAlign w:val="subscript"/>
              </w:rPr>
              <w:t xml:space="preserve"> </w:t>
            </w:r>
            <w:r>
              <w:rPr>
                <w:b/>
              </w:rPr>
              <w:t>(mm)</w:t>
            </w:r>
          </w:p>
        </w:tc>
        <w:tc>
          <w:tcPr>
            <w:tcW w:w="2254" w:type="dxa"/>
          </w:tcPr>
          <w:p w14:paraId="4ACE1BFC" w14:textId="243A27ED" w:rsidR="00882277" w:rsidRDefault="00882277" w:rsidP="001258FF">
            <w:pPr>
              <w:rPr>
                <w:b/>
              </w:rPr>
            </w:pPr>
            <w:r>
              <w:rPr>
                <w:b/>
              </w:rPr>
              <w:t>D</w:t>
            </w:r>
            <w:r w:rsidRPr="00882277">
              <w:rPr>
                <w:b/>
                <w:vertAlign w:val="subscript"/>
              </w:rPr>
              <w:t>90</w:t>
            </w:r>
            <w:r>
              <w:rPr>
                <w:b/>
                <w:vertAlign w:val="subscript"/>
              </w:rPr>
              <w:t xml:space="preserve"> </w:t>
            </w:r>
            <w:r>
              <w:rPr>
                <w:b/>
              </w:rPr>
              <w:t>(mm)</w:t>
            </w:r>
          </w:p>
        </w:tc>
        <w:tc>
          <w:tcPr>
            <w:tcW w:w="2254" w:type="dxa"/>
          </w:tcPr>
          <w:p w14:paraId="60146651" w14:textId="2F3F8218" w:rsidR="00882277" w:rsidRDefault="00882277" w:rsidP="001258FF">
            <w:pPr>
              <w:rPr>
                <w:b/>
              </w:rPr>
            </w:pPr>
            <w:proofErr w:type="spellStart"/>
            <w:r>
              <w:rPr>
                <w:b/>
              </w:rPr>
              <w:t>D</w:t>
            </w:r>
            <w:r w:rsidRPr="00882277">
              <w:rPr>
                <w:b/>
                <w:vertAlign w:val="subscript"/>
              </w:rPr>
              <w:t>max</w:t>
            </w:r>
            <w:proofErr w:type="spellEnd"/>
            <w:r>
              <w:rPr>
                <w:b/>
                <w:vertAlign w:val="subscript"/>
              </w:rPr>
              <w:t xml:space="preserve"> </w:t>
            </w:r>
            <w:r>
              <w:rPr>
                <w:b/>
              </w:rPr>
              <w:t>(mm)</w:t>
            </w:r>
          </w:p>
        </w:tc>
      </w:tr>
      <w:tr w:rsidR="00882277" w14:paraId="67C04167" w14:textId="77777777" w:rsidTr="00882277">
        <w:tc>
          <w:tcPr>
            <w:tcW w:w="2254" w:type="dxa"/>
          </w:tcPr>
          <w:p w14:paraId="42783C76" w14:textId="5EAAB78A" w:rsidR="00882277" w:rsidRPr="00882277" w:rsidRDefault="00882277" w:rsidP="001258FF">
            <w:r w:rsidRPr="00882277">
              <w:t>MSM113-61</w:t>
            </w:r>
          </w:p>
        </w:tc>
        <w:tc>
          <w:tcPr>
            <w:tcW w:w="2254" w:type="dxa"/>
          </w:tcPr>
          <w:p w14:paraId="19B4511D" w14:textId="78537124" w:rsidR="00882277" w:rsidRPr="00882277" w:rsidRDefault="00882277" w:rsidP="001258FF">
            <w:r w:rsidRPr="00882277">
              <w:t>1</w:t>
            </w:r>
          </w:p>
        </w:tc>
        <w:tc>
          <w:tcPr>
            <w:tcW w:w="2254" w:type="dxa"/>
          </w:tcPr>
          <w:p w14:paraId="35987BA2" w14:textId="5A494258" w:rsidR="00882277" w:rsidRPr="00882277" w:rsidRDefault="00882277" w:rsidP="001258FF">
            <w:r w:rsidRPr="00882277">
              <w:t>2</w:t>
            </w:r>
          </w:p>
        </w:tc>
        <w:tc>
          <w:tcPr>
            <w:tcW w:w="2254" w:type="dxa"/>
          </w:tcPr>
          <w:p w14:paraId="35CBD53C" w14:textId="0B8307DA" w:rsidR="00882277" w:rsidRPr="00882277" w:rsidRDefault="00882277" w:rsidP="001258FF">
            <w:r w:rsidRPr="00882277">
              <w:t>12</w:t>
            </w:r>
          </w:p>
        </w:tc>
      </w:tr>
      <w:tr w:rsidR="00882277" w14:paraId="0C6EABF7" w14:textId="77777777" w:rsidTr="00882277">
        <w:tc>
          <w:tcPr>
            <w:tcW w:w="2254" w:type="dxa"/>
          </w:tcPr>
          <w:p w14:paraId="5599E7C1" w14:textId="5EB7BB88" w:rsidR="00882277" w:rsidRPr="00882277" w:rsidRDefault="00882277" w:rsidP="001258FF">
            <w:r w:rsidRPr="00882277">
              <w:t>MSM32-53</w:t>
            </w:r>
          </w:p>
        </w:tc>
        <w:tc>
          <w:tcPr>
            <w:tcW w:w="2254" w:type="dxa"/>
          </w:tcPr>
          <w:p w14:paraId="0C5CC111" w14:textId="13955623" w:rsidR="00882277" w:rsidRPr="00882277" w:rsidRDefault="00882277" w:rsidP="001258FF">
            <w:r>
              <w:t>1</w:t>
            </w:r>
          </w:p>
        </w:tc>
        <w:tc>
          <w:tcPr>
            <w:tcW w:w="2254" w:type="dxa"/>
          </w:tcPr>
          <w:p w14:paraId="5D675682" w14:textId="3CD0F942" w:rsidR="00882277" w:rsidRPr="00882277" w:rsidRDefault="00882277" w:rsidP="001258FF">
            <w:r>
              <w:t>2</w:t>
            </w:r>
          </w:p>
        </w:tc>
        <w:tc>
          <w:tcPr>
            <w:tcW w:w="2254" w:type="dxa"/>
          </w:tcPr>
          <w:p w14:paraId="606E8EF1" w14:textId="1EEA0A2E" w:rsidR="00882277" w:rsidRPr="00882277" w:rsidRDefault="00882277" w:rsidP="001258FF">
            <w:r>
              <w:t>15</w:t>
            </w:r>
          </w:p>
        </w:tc>
      </w:tr>
      <w:tr w:rsidR="00882277" w14:paraId="707CEC7C" w14:textId="77777777" w:rsidTr="00882277">
        <w:tc>
          <w:tcPr>
            <w:tcW w:w="2254" w:type="dxa"/>
          </w:tcPr>
          <w:p w14:paraId="0CC7D23D" w14:textId="0E512416" w:rsidR="00882277" w:rsidRPr="00882277" w:rsidRDefault="00882277" w:rsidP="001258FF">
            <w:r w:rsidRPr="00882277">
              <w:t>JC27-13</w:t>
            </w:r>
          </w:p>
        </w:tc>
        <w:tc>
          <w:tcPr>
            <w:tcW w:w="2254" w:type="dxa"/>
          </w:tcPr>
          <w:p w14:paraId="68D927C7" w14:textId="0F8F1115" w:rsidR="00882277" w:rsidRPr="00882277" w:rsidRDefault="00A74378" w:rsidP="001258FF">
            <w:r>
              <w:t>0.5</w:t>
            </w:r>
          </w:p>
        </w:tc>
        <w:tc>
          <w:tcPr>
            <w:tcW w:w="2254" w:type="dxa"/>
          </w:tcPr>
          <w:p w14:paraId="6DD7F148" w14:textId="4E51DDD8" w:rsidR="00882277" w:rsidRPr="00882277" w:rsidRDefault="00A74378" w:rsidP="001258FF">
            <w:r>
              <w:t>1</w:t>
            </w:r>
          </w:p>
        </w:tc>
        <w:tc>
          <w:tcPr>
            <w:tcW w:w="2254" w:type="dxa"/>
          </w:tcPr>
          <w:p w14:paraId="105037E4" w14:textId="35B88A9A" w:rsidR="00882277" w:rsidRPr="00882277" w:rsidRDefault="00A74378" w:rsidP="001258FF">
            <w:r>
              <w:t>2</w:t>
            </w:r>
          </w:p>
        </w:tc>
      </w:tr>
    </w:tbl>
    <w:p w14:paraId="0E2C0D55" w14:textId="353DD9F9" w:rsidR="00A74378" w:rsidRDefault="00A74378" w:rsidP="00261A6D">
      <w:pPr>
        <w:pStyle w:val="Caption"/>
      </w:pPr>
      <w:r>
        <w:t xml:space="preserve">Table </w:t>
      </w:r>
      <w:r w:rsidR="00BB1B3B">
        <w:t>S</w:t>
      </w:r>
      <w:r w:rsidR="00727699">
        <w:t>1</w:t>
      </w:r>
      <w:r>
        <w:t>: Grain size information for Bed 5 deposits used to reconstruct parent flow speeds (</w:t>
      </w:r>
      <w:r w:rsidRPr="00A74378">
        <w:t>see Methods</w:t>
      </w:r>
      <w:r>
        <w:t>). Note in the Canyon Head region deposits comprise a coarse-grained matrix with one or two much larger outsized particles. Hence, the large difference between D</w:t>
      </w:r>
      <w:r w:rsidRPr="00A74378">
        <w:rPr>
          <w:vertAlign w:val="subscript"/>
        </w:rPr>
        <w:t>50</w:t>
      </w:r>
      <w:r>
        <w:t>, D</w:t>
      </w:r>
      <w:r w:rsidRPr="00A74378">
        <w:rPr>
          <w:vertAlign w:val="subscript"/>
        </w:rPr>
        <w:t>90</w:t>
      </w:r>
      <w:r>
        <w:t xml:space="preserve"> and </w:t>
      </w:r>
      <w:proofErr w:type="spellStart"/>
      <w:r>
        <w:t>D</w:t>
      </w:r>
      <w:r w:rsidRPr="00A74378">
        <w:rPr>
          <w:vertAlign w:val="subscript"/>
        </w:rPr>
        <w:t>max</w:t>
      </w:r>
      <w:proofErr w:type="spellEnd"/>
      <w:r>
        <w:t>. Speed estimates from grain size use D</w:t>
      </w:r>
      <w:r w:rsidRPr="00A74378">
        <w:rPr>
          <w:vertAlign w:val="subscript"/>
        </w:rPr>
        <w:t>90</w:t>
      </w:r>
      <w:r>
        <w:t xml:space="preserve"> and the </w:t>
      </w:r>
      <w:proofErr w:type="spellStart"/>
      <w:r>
        <w:t>D</w:t>
      </w:r>
      <w:r w:rsidRPr="00A74378">
        <w:rPr>
          <w:vertAlign w:val="subscript"/>
        </w:rPr>
        <w:t>max</w:t>
      </w:r>
      <w:proofErr w:type="spellEnd"/>
      <w:r>
        <w:t xml:space="preserve"> values.</w:t>
      </w:r>
    </w:p>
    <w:p w14:paraId="4AF2CF9E" w14:textId="77777777" w:rsidR="00BB1B3B" w:rsidRDefault="00BB1B3B">
      <w:pPr>
        <w:spacing w:line="259" w:lineRule="auto"/>
        <w:jc w:val="left"/>
        <w:rPr>
          <w:rFonts w:eastAsiaTheme="majorEastAsia" w:cstheme="majorBidi"/>
          <w:b/>
          <w:szCs w:val="26"/>
        </w:rPr>
      </w:pPr>
      <w:r>
        <w:br w:type="page"/>
      </w:r>
    </w:p>
    <w:p w14:paraId="14593D82" w14:textId="5E1AF340" w:rsidR="00BB1B3B" w:rsidRDefault="00BB1B3B" w:rsidP="00BB1B3B">
      <w:pPr>
        <w:pStyle w:val="Heading2"/>
      </w:pPr>
      <w:r>
        <w:lastRenderedPageBreak/>
        <w:t>Core Age Models</w:t>
      </w:r>
    </w:p>
    <w:p w14:paraId="3E994F89" w14:textId="77777777" w:rsidR="00BB1B3B" w:rsidRDefault="00BB1B3B" w:rsidP="00BB1B3B">
      <w:r>
        <w:rPr>
          <w:noProof/>
          <w:sz w:val="16"/>
          <w:szCs w:val="16"/>
        </w:rPr>
        <w:drawing>
          <wp:inline distT="0" distB="0" distL="0" distR="0" wp14:anchorId="314B371F" wp14:editId="2D8E6C04">
            <wp:extent cx="5731510" cy="44951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e age model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495165"/>
                    </a:xfrm>
                    <a:prstGeom prst="rect">
                      <a:avLst/>
                    </a:prstGeom>
                  </pic:spPr>
                </pic:pic>
              </a:graphicData>
            </a:graphic>
          </wp:inline>
        </w:drawing>
      </w:r>
    </w:p>
    <w:p w14:paraId="3E8F23B2" w14:textId="0C097405" w:rsidR="00BB1B3B" w:rsidRDefault="00BB1B3B" w:rsidP="00BB1B3B">
      <w:pPr>
        <w:pStyle w:val="Caption"/>
        <w:rPr>
          <w:rFonts w:cs="Times New Roman"/>
        </w:rPr>
      </w:pPr>
      <w:r w:rsidRPr="00F65BB8">
        <w:t xml:space="preserve">Figure </w:t>
      </w:r>
      <w:r>
        <w:t>S</w:t>
      </w:r>
      <w:r w:rsidR="00727699">
        <w:t>3</w:t>
      </w:r>
      <w:r>
        <w:t xml:space="preserve">. Age models for cores across the Canyon Head region (Fig. 5), which include </w:t>
      </w:r>
      <w:proofErr w:type="spellStart"/>
      <w:r>
        <w:t>GeoB</w:t>
      </w:r>
      <w:proofErr w:type="spellEnd"/>
      <w:r>
        <w:t xml:space="preserve"> cores situated on the open slope ~10 km away from the tributary thalwegs (after </w:t>
      </w:r>
      <w:r w:rsidRPr="007E7726">
        <w:rPr>
          <w:color w:val="0070C0"/>
        </w:rPr>
        <w:t>Kuhlmann et al., 2004</w:t>
      </w:r>
      <w:r>
        <w:t xml:space="preserve">). These </w:t>
      </w:r>
      <w:proofErr w:type="spellStart"/>
      <w:r>
        <w:t>GeoB</w:t>
      </w:r>
      <w:proofErr w:type="spellEnd"/>
      <w:r>
        <w:t xml:space="preserve"> cores help constrain the age models for the MSM cores. MSM cores dated in this study show similar age trajectories to the </w:t>
      </w:r>
      <w:proofErr w:type="spellStart"/>
      <w:r>
        <w:t>GeoB</w:t>
      </w:r>
      <w:proofErr w:type="spellEnd"/>
      <w:r>
        <w:t xml:space="preserve"> records: MSM32-53 showing a similar sedimentation rate of ~7 cm/kyr, and MSM113-58 and 61 having slightly higher sedimentation rates of ~10 cm/kyr. The error envelopes are derived from the </w:t>
      </w:r>
      <w:proofErr w:type="spellStart"/>
      <w:proofErr w:type="gramStart"/>
      <w:r>
        <w:t>E.Huxleyi</w:t>
      </w:r>
      <w:proofErr w:type="spellEnd"/>
      <w:proofErr w:type="gramEnd"/>
      <w:r>
        <w:t xml:space="preserve">/G. </w:t>
      </w:r>
      <w:proofErr w:type="spellStart"/>
      <w:r>
        <w:t>Mullerae</w:t>
      </w:r>
      <w:proofErr w:type="spellEnd"/>
      <w:r>
        <w:t xml:space="preserve"> coccolith biozone (72 ka), which has a </w:t>
      </w:r>
      <w:r>
        <w:rPr>
          <w:rFonts w:cs="Times New Roman"/>
        </w:rPr>
        <w:t>±5000 year error. Gravity flow deposits found in these cores are shown with dashed arrows and corresponding age of emplacement. Bed 5 is identified in MSM32-53 and MSM113-61. Note that the only event bed found in MSM113-58 (in the Northern Tributary) is 82 ka, which rules it out as being Bed 5.</w:t>
      </w:r>
    </w:p>
    <w:p w14:paraId="2ABC4922" w14:textId="77777777" w:rsidR="00727699" w:rsidRDefault="00727699">
      <w:pPr>
        <w:spacing w:line="259" w:lineRule="auto"/>
        <w:jc w:val="left"/>
        <w:rPr>
          <w:b/>
        </w:rPr>
      </w:pPr>
      <w:r>
        <w:rPr>
          <w:b/>
        </w:rPr>
        <w:br w:type="page"/>
      </w:r>
    </w:p>
    <w:p w14:paraId="44660FAE" w14:textId="5CC5C8FC" w:rsidR="00727699" w:rsidRDefault="00727699" w:rsidP="00727699">
      <w:pPr>
        <w:rPr>
          <w:b/>
        </w:rPr>
      </w:pPr>
      <w:r>
        <w:rPr>
          <w:b/>
        </w:rPr>
        <w:lastRenderedPageBreak/>
        <w:t>Shear Strength Profiles</w:t>
      </w:r>
    </w:p>
    <w:p w14:paraId="1A746BD1" w14:textId="77777777" w:rsidR="00727699" w:rsidRDefault="00727699" w:rsidP="00727699">
      <w:pPr>
        <w:rPr>
          <w:lang w:val="en-US"/>
        </w:rPr>
      </w:pPr>
      <w:r>
        <w:rPr>
          <w:noProof/>
          <w:lang w:val="en-US"/>
        </w:rPr>
        <w:drawing>
          <wp:inline distT="0" distB="0" distL="0" distR="0" wp14:anchorId="11FF80EB" wp14:editId="120173D7">
            <wp:extent cx="5727700" cy="35331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3533140"/>
                    </a:xfrm>
                    <a:prstGeom prst="rect">
                      <a:avLst/>
                    </a:prstGeom>
                    <a:noFill/>
                    <a:ln>
                      <a:noFill/>
                    </a:ln>
                  </pic:spPr>
                </pic:pic>
              </a:graphicData>
            </a:graphic>
          </wp:inline>
        </w:drawing>
      </w:r>
    </w:p>
    <w:p w14:paraId="7F58F016" w14:textId="66A17AFD" w:rsidR="00727699" w:rsidRDefault="00727699" w:rsidP="00727699">
      <w:pPr>
        <w:pStyle w:val="Caption"/>
        <w:rPr>
          <w:lang w:val="en-US"/>
        </w:rPr>
      </w:pPr>
      <w:r>
        <w:rPr>
          <w:lang w:val="en-US"/>
        </w:rPr>
        <w:t>Figure S</w:t>
      </w:r>
      <w:r>
        <w:rPr>
          <w:lang w:val="en-US"/>
        </w:rPr>
        <w:t>4</w:t>
      </w:r>
      <w:r>
        <w:rPr>
          <w:lang w:val="en-US"/>
        </w:rPr>
        <w:t>. Plot showing the shear strength profiles of five sediment core in downslope order (see Fig. 1). The cores comprise remobilized sediments with destroyed consolidation profile compared to in-situ seafloor sediments (</w:t>
      </w:r>
      <w:bookmarkStart w:id="0" w:name="_Hlk142574220"/>
      <w:r w:rsidRPr="00A07CE8">
        <w:rPr>
          <w:color w:val="0070C0"/>
          <w:lang w:val="en-US"/>
        </w:rPr>
        <w:t>Peakall et al., 2020</w:t>
      </w:r>
      <w:bookmarkEnd w:id="0"/>
      <w:r>
        <w:rPr>
          <w:lang w:val="en-US"/>
        </w:rPr>
        <w:t>).</w:t>
      </w:r>
    </w:p>
    <w:p w14:paraId="26667A14" w14:textId="77777777" w:rsidR="00727699" w:rsidRPr="00727699" w:rsidRDefault="00727699" w:rsidP="00727699">
      <w:pPr>
        <w:rPr>
          <w:lang w:val="en-US"/>
        </w:rPr>
      </w:pPr>
    </w:p>
    <w:p w14:paraId="41E1E0AF" w14:textId="77777777" w:rsidR="00443128" w:rsidRDefault="00443128">
      <w:pPr>
        <w:spacing w:line="259" w:lineRule="auto"/>
        <w:jc w:val="left"/>
        <w:rPr>
          <w:rFonts w:eastAsiaTheme="minorEastAsia"/>
          <w:b/>
          <w:lang w:val="en-US"/>
        </w:rPr>
      </w:pPr>
      <w:r>
        <w:rPr>
          <w:rFonts w:eastAsiaTheme="minorEastAsia"/>
          <w:b/>
          <w:lang w:val="en-US"/>
        </w:rPr>
        <w:br w:type="page"/>
      </w:r>
    </w:p>
    <w:p w14:paraId="4CAB7935" w14:textId="3761E6D9" w:rsidR="000257E3" w:rsidRDefault="006B40AA" w:rsidP="00D522BC">
      <w:pPr>
        <w:rPr>
          <w:rFonts w:eastAsiaTheme="minorEastAsia"/>
          <w:b/>
          <w:lang w:val="en-US"/>
        </w:rPr>
      </w:pPr>
      <w:r>
        <w:rPr>
          <w:rFonts w:eastAsiaTheme="minorEastAsia"/>
          <w:b/>
          <w:lang w:val="en-US"/>
        </w:rPr>
        <w:lastRenderedPageBreak/>
        <w:t>C</w:t>
      </w:r>
      <w:r w:rsidR="000257E3">
        <w:rPr>
          <w:rFonts w:eastAsiaTheme="minorEastAsia"/>
          <w:b/>
          <w:lang w:val="en-US"/>
        </w:rPr>
        <w:t>occolith assemblages of Bed 5</w:t>
      </w:r>
    </w:p>
    <w:p w14:paraId="3002C8E5" w14:textId="37B3F35D" w:rsidR="00647246" w:rsidRPr="00BE52A7" w:rsidRDefault="0045147C" w:rsidP="00D522BC">
      <w:pPr>
        <w:rPr>
          <w:rFonts w:eastAsiaTheme="minorEastAsia"/>
          <w:lang w:val="en-US"/>
        </w:rPr>
      </w:pPr>
      <w:r w:rsidRPr="00BE52A7">
        <w:rPr>
          <w:rFonts w:eastAsiaTheme="minorEastAsia"/>
          <w:lang w:val="en-US"/>
        </w:rPr>
        <w:t>The coccolith assemblages within Bed 5 are distinct from surrounding event beds (</w:t>
      </w:r>
      <w:r w:rsidRPr="007E7726">
        <w:rPr>
          <w:rFonts w:eastAsiaTheme="minorEastAsia"/>
          <w:color w:val="0070C0"/>
          <w:lang w:val="en-US"/>
        </w:rPr>
        <w:t>Hunt, 2017</w:t>
      </w:r>
      <w:r w:rsidRPr="00BE52A7">
        <w:rPr>
          <w:rFonts w:eastAsiaTheme="minorEastAsia"/>
          <w:lang w:val="en-US"/>
        </w:rPr>
        <w:t>)</w:t>
      </w:r>
      <w:r w:rsidR="00647246" w:rsidRPr="00BE52A7">
        <w:rPr>
          <w:rFonts w:eastAsiaTheme="minorEastAsia"/>
          <w:lang w:val="en-US"/>
        </w:rPr>
        <w:t xml:space="preserve">. They contain both </w:t>
      </w:r>
      <w:proofErr w:type="spellStart"/>
      <w:proofErr w:type="gramStart"/>
      <w:r w:rsidR="00647246" w:rsidRPr="00213CEA">
        <w:rPr>
          <w:rFonts w:eastAsiaTheme="minorEastAsia"/>
          <w:i/>
          <w:iCs/>
          <w:lang w:val="en-US"/>
        </w:rPr>
        <w:t>E.Huxlyei</w:t>
      </w:r>
      <w:proofErr w:type="spellEnd"/>
      <w:proofErr w:type="gramEnd"/>
      <w:r w:rsidR="00647246" w:rsidRPr="00BE52A7">
        <w:rPr>
          <w:rFonts w:eastAsiaTheme="minorEastAsia"/>
          <w:lang w:val="en-US"/>
        </w:rPr>
        <w:t xml:space="preserve"> (young) and a small proportion of </w:t>
      </w:r>
      <w:proofErr w:type="spellStart"/>
      <w:r w:rsidR="00647246" w:rsidRPr="00213CEA">
        <w:rPr>
          <w:rFonts w:eastAsiaTheme="minorEastAsia"/>
          <w:i/>
          <w:iCs/>
          <w:lang w:val="en-US"/>
        </w:rPr>
        <w:t>P.Lacunosa</w:t>
      </w:r>
      <w:proofErr w:type="spellEnd"/>
      <w:r w:rsidR="00647246" w:rsidRPr="00BE52A7">
        <w:rPr>
          <w:rFonts w:eastAsiaTheme="minorEastAsia"/>
          <w:lang w:val="en-US"/>
        </w:rPr>
        <w:t xml:space="preserve"> (old). This mixture of species indicates that the Bed 5 event was sourced from a failure at least 35 m thick (assuming uninterrupted hemipelagic sedimentation between 450 ka and 60 ka) or the parent flow was able to erode down up to 35 m along its pathway. Canyon floor scours up to 100 m deep in the Southern Tributary suggest that flows were powerful enough to erode significantly into the canyon floor. However, it is not possible to determine how much of that scouring was produced by Bed 5 alone.</w:t>
      </w:r>
    </w:p>
    <w:p w14:paraId="592E76AE" w14:textId="1FB3D876" w:rsidR="00E80BBB" w:rsidRDefault="00E80BBB" w:rsidP="00D522BC">
      <w:pPr>
        <w:rPr>
          <w:rFonts w:eastAsiaTheme="minorEastAsia"/>
          <w:highlight w:val="yellow"/>
          <w:lang w:val="en-US"/>
        </w:rPr>
      </w:pPr>
      <w:r>
        <w:rPr>
          <w:rFonts w:eastAsiaTheme="minorEastAsia"/>
          <w:noProof/>
          <w:lang w:val="en-US"/>
        </w:rPr>
        <w:drawing>
          <wp:inline distT="0" distB="0" distL="0" distR="0" wp14:anchorId="5183E6C8" wp14:editId="129BB931">
            <wp:extent cx="5731510" cy="43967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d 5 coccolith assemblag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396740"/>
                    </a:xfrm>
                    <a:prstGeom prst="rect">
                      <a:avLst/>
                    </a:prstGeom>
                  </pic:spPr>
                </pic:pic>
              </a:graphicData>
            </a:graphic>
          </wp:inline>
        </w:drawing>
      </w:r>
    </w:p>
    <w:p w14:paraId="2247747B" w14:textId="585E6D4C" w:rsidR="00E80BBB" w:rsidRDefault="00E80BBB" w:rsidP="00443128">
      <w:pPr>
        <w:pStyle w:val="Caption"/>
        <w:rPr>
          <w:rFonts w:eastAsiaTheme="minorEastAsia"/>
          <w:b/>
          <w:lang w:val="en-US"/>
        </w:rPr>
      </w:pPr>
      <w:r w:rsidRPr="00981219">
        <w:rPr>
          <w:lang w:val="en-US"/>
        </w:rPr>
        <w:t xml:space="preserve">Figure </w:t>
      </w:r>
      <w:r w:rsidR="00BB1B3B">
        <w:rPr>
          <w:lang w:val="en-US"/>
        </w:rPr>
        <w:t>S</w:t>
      </w:r>
      <w:r w:rsidR="00727699">
        <w:rPr>
          <w:lang w:val="en-US"/>
        </w:rPr>
        <w:t>5</w:t>
      </w:r>
      <w:r w:rsidRPr="00981219">
        <w:rPr>
          <w:lang w:val="en-US"/>
        </w:rPr>
        <w:t xml:space="preserve">. </w:t>
      </w:r>
      <w:r w:rsidR="00A36757" w:rsidRPr="00981219">
        <w:rPr>
          <w:lang w:val="en-US"/>
        </w:rPr>
        <w:t xml:space="preserve">Coccolith assemblages for select cores from the Canyon Mouth (JC27-13; After Hunt, 2017), Main Canyon (MSM113-55), Tributary Confluence (MSM32-53) and Southern Tributary (MSM113-61). Bed 5 coccolith assemblages are distinct from other events because they characteristically contain both </w:t>
      </w:r>
      <w:proofErr w:type="spellStart"/>
      <w:proofErr w:type="gramStart"/>
      <w:r w:rsidR="00A36757" w:rsidRPr="00981219">
        <w:rPr>
          <w:lang w:val="en-US"/>
        </w:rPr>
        <w:t>E.Huxlyei</w:t>
      </w:r>
      <w:proofErr w:type="spellEnd"/>
      <w:proofErr w:type="gramEnd"/>
      <w:r w:rsidR="00A36757" w:rsidRPr="00981219">
        <w:rPr>
          <w:lang w:val="en-US"/>
        </w:rPr>
        <w:t xml:space="preserve"> (8-15%) and a limited amount of much older </w:t>
      </w:r>
      <w:proofErr w:type="spellStart"/>
      <w:r w:rsidR="00A36757" w:rsidRPr="00981219">
        <w:rPr>
          <w:lang w:val="en-US"/>
        </w:rPr>
        <w:t>P.Lacunosa</w:t>
      </w:r>
      <w:proofErr w:type="spellEnd"/>
      <w:r w:rsidR="00A36757" w:rsidRPr="00981219">
        <w:rPr>
          <w:lang w:val="en-US"/>
        </w:rPr>
        <w:t xml:space="preserve"> (2-12%). The intervening </w:t>
      </w:r>
      <w:proofErr w:type="spellStart"/>
      <w:r w:rsidR="00A36757" w:rsidRPr="00981219">
        <w:rPr>
          <w:lang w:val="en-US"/>
        </w:rPr>
        <w:t>Gephyrocapsa</w:t>
      </w:r>
      <w:proofErr w:type="spellEnd"/>
      <w:r w:rsidR="00A36757" w:rsidRPr="00981219">
        <w:rPr>
          <w:lang w:val="en-US"/>
        </w:rPr>
        <w:t xml:space="preserve"> assemblages typically show a significant proportion of </w:t>
      </w:r>
      <w:proofErr w:type="spellStart"/>
      <w:proofErr w:type="gramStart"/>
      <w:r w:rsidR="00A36757" w:rsidRPr="00981219">
        <w:rPr>
          <w:lang w:val="en-US"/>
        </w:rPr>
        <w:t>G.Mullerae</w:t>
      </w:r>
      <w:proofErr w:type="spellEnd"/>
      <w:proofErr w:type="gramEnd"/>
      <w:r w:rsidR="00A36757" w:rsidRPr="00981219">
        <w:rPr>
          <w:lang w:val="en-US"/>
        </w:rPr>
        <w:t xml:space="preserve"> (</w:t>
      </w:r>
      <w:r w:rsidR="00D83B53" w:rsidRPr="00981219">
        <w:rPr>
          <w:lang w:val="en-US"/>
        </w:rPr>
        <w:t xml:space="preserve">~20-30%), Small G. (~20%) and a dominance of </w:t>
      </w:r>
      <w:proofErr w:type="spellStart"/>
      <w:r w:rsidR="00D83B53" w:rsidRPr="00981219">
        <w:rPr>
          <w:lang w:val="en-US"/>
        </w:rPr>
        <w:t>G.Carribianica</w:t>
      </w:r>
      <w:proofErr w:type="spellEnd"/>
      <w:r w:rsidR="00D83B53" w:rsidRPr="00981219">
        <w:rPr>
          <w:lang w:val="en-US"/>
        </w:rPr>
        <w:t xml:space="preserve"> (30-48%). Core 55 is different with only 5% </w:t>
      </w:r>
      <w:proofErr w:type="spellStart"/>
      <w:proofErr w:type="gramStart"/>
      <w:r w:rsidR="00D83B53" w:rsidRPr="00981219">
        <w:rPr>
          <w:lang w:val="en-US"/>
        </w:rPr>
        <w:t>G.Carribianica</w:t>
      </w:r>
      <w:proofErr w:type="spellEnd"/>
      <w:proofErr w:type="gramEnd"/>
      <w:r w:rsidR="00D83B53" w:rsidRPr="00981219">
        <w:rPr>
          <w:lang w:val="en-US"/>
        </w:rPr>
        <w:t xml:space="preserve"> and a dominance of Small G. (48%). However, it still records the diagnostic species of </w:t>
      </w:r>
      <w:proofErr w:type="spellStart"/>
      <w:proofErr w:type="gramStart"/>
      <w:r w:rsidR="00D83B53" w:rsidRPr="00981219">
        <w:rPr>
          <w:lang w:val="en-US"/>
        </w:rPr>
        <w:t>E.Huxlyei</w:t>
      </w:r>
      <w:proofErr w:type="spellEnd"/>
      <w:proofErr w:type="gramEnd"/>
      <w:r w:rsidR="00D83B53" w:rsidRPr="00981219">
        <w:rPr>
          <w:lang w:val="en-US"/>
        </w:rPr>
        <w:t xml:space="preserve"> and </w:t>
      </w:r>
      <w:proofErr w:type="spellStart"/>
      <w:r w:rsidR="00D83B53" w:rsidRPr="00981219">
        <w:rPr>
          <w:lang w:val="en-US"/>
        </w:rPr>
        <w:t>P.Lacunosa</w:t>
      </w:r>
      <w:proofErr w:type="spellEnd"/>
      <w:r w:rsidR="00D83B53" w:rsidRPr="00981219">
        <w:rPr>
          <w:lang w:val="en-US"/>
        </w:rPr>
        <w:t xml:space="preserve">. No other events younger or older than Bed 5 capture both </w:t>
      </w:r>
      <w:proofErr w:type="spellStart"/>
      <w:proofErr w:type="gramStart"/>
      <w:r w:rsidR="00D83B53" w:rsidRPr="00981219">
        <w:rPr>
          <w:lang w:val="en-US"/>
        </w:rPr>
        <w:t>E.Huxlyei</w:t>
      </w:r>
      <w:proofErr w:type="spellEnd"/>
      <w:proofErr w:type="gramEnd"/>
      <w:r w:rsidR="00D83B53" w:rsidRPr="00981219">
        <w:rPr>
          <w:lang w:val="en-US"/>
        </w:rPr>
        <w:t xml:space="preserve"> and </w:t>
      </w:r>
      <w:proofErr w:type="spellStart"/>
      <w:r w:rsidR="00D83B53" w:rsidRPr="00981219">
        <w:rPr>
          <w:lang w:val="en-US"/>
        </w:rPr>
        <w:t>P.Lacunosa</w:t>
      </w:r>
      <w:proofErr w:type="spellEnd"/>
      <w:r w:rsidR="00D83B53" w:rsidRPr="00981219">
        <w:rPr>
          <w:lang w:val="en-US"/>
        </w:rPr>
        <w:t xml:space="preserve"> (see </w:t>
      </w:r>
      <w:r w:rsidR="00D83B53" w:rsidRPr="007E7726">
        <w:rPr>
          <w:color w:val="0070C0"/>
          <w:lang w:val="en-US"/>
        </w:rPr>
        <w:t>Hunt, 2017</w:t>
      </w:r>
      <w:r w:rsidR="00D83B53" w:rsidRPr="00981219">
        <w:rPr>
          <w:lang w:val="en-US"/>
        </w:rPr>
        <w:t>).</w:t>
      </w:r>
    </w:p>
    <w:p w14:paraId="4F065835" w14:textId="1ADD7ED1" w:rsidR="006B40AA" w:rsidRDefault="006B40AA">
      <w:pPr>
        <w:spacing w:line="259" w:lineRule="auto"/>
        <w:jc w:val="left"/>
        <w:rPr>
          <w:rFonts w:eastAsiaTheme="minorEastAsia"/>
          <w:b/>
          <w:lang w:val="en-US"/>
        </w:rPr>
      </w:pPr>
      <w:r>
        <w:rPr>
          <w:rFonts w:eastAsiaTheme="minorEastAsia"/>
          <w:b/>
          <w:lang w:val="en-US"/>
        </w:rPr>
        <w:br w:type="page"/>
      </w:r>
    </w:p>
    <w:p w14:paraId="039DF1FC" w14:textId="2A4C5FDD" w:rsidR="00D522BC" w:rsidRPr="00D522BC" w:rsidRDefault="00D522BC" w:rsidP="00D522BC">
      <w:pPr>
        <w:rPr>
          <w:rFonts w:eastAsiaTheme="minorEastAsia"/>
          <w:b/>
          <w:lang w:val="en-US"/>
        </w:rPr>
      </w:pPr>
      <w:r w:rsidRPr="00D522BC">
        <w:rPr>
          <w:rFonts w:eastAsiaTheme="minorEastAsia"/>
          <w:b/>
          <w:lang w:val="en-US"/>
        </w:rPr>
        <w:lastRenderedPageBreak/>
        <w:t xml:space="preserve">The </w:t>
      </w:r>
      <w:r>
        <w:rPr>
          <w:rFonts w:eastAsiaTheme="minorEastAsia"/>
          <w:b/>
          <w:lang w:val="en-US"/>
        </w:rPr>
        <w:t xml:space="preserve">canyon </w:t>
      </w:r>
      <w:r w:rsidRPr="00D522BC">
        <w:rPr>
          <w:rFonts w:eastAsiaTheme="minorEastAsia"/>
          <w:b/>
          <w:lang w:val="en-US"/>
        </w:rPr>
        <w:t>erosion surface</w:t>
      </w:r>
    </w:p>
    <w:p w14:paraId="3BF6409A" w14:textId="3E582A7F" w:rsidR="00D522BC" w:rsidRDefault="00D522BC" w:rsidP="00D522BC">
      <w:pPr>
        <w:rPr>
          <w:rFonts w:eastAsiaTheme="minorEastAsia"/>
          <w:lang w:val="en-US"/>
        </w:rPr>
      </w:pPr>
      <w:r>
        <w:rPr>
          <w:rFonts w:eastAsiaTheme="minorEastAsia"/>
          <w:lang w:val="en-US"/>
        </w:rPr>
        <w:t>The widespread erosion surface recorded in all cores in the Agadir Canyon is interpreted to have been generated by the Bed 5 Event.</w:t>
      </w:r>
      <w:r w:rsidR="00A55CFD">
        <w:rPr>
          <w:rFonts w:eastAsiaTheme="minorEastAsia"/>
          <w:lang w:val="en-US"/>
        </w:rPr>
        <w:t xml:space="preserve"> </w:t>
      </w:r>
      <w:r>
        <w:rPr>
          <w:rFonts w:eastAsiaTheme="minorEastAsia"/>
          <w:lang w:val="en-US"/>
        </w:rPr>
        <w:t xml:space="preserve">Two lines of evidence support this interpretation. First, Bed 5 is the only large-volume event to record significant erosion in the Lower Agadir Canyon and Agadir Basin over the past 200 </w:t>
      </w:r>
      <w:r w:rsidR="00CC0D54">
        <w:rPr>
          <w:rFonts w:eastAsiaTheme="minorEastAsia"/>
          <w:lang w:val="en-US"/>
        </w:rPr>
        <w:t>kyr</w:t>
      </w:r>
      <w:r>
        <w:rPr>
          <w:rFonts w:eastAsiaTheme="minorEastAsia"/>
          <w:lang w:val="en-US"/>
        </w:rPr>
        <w:t xml:space="preserve"> (Fig. 3B; </w:t>
      </w:r>
      <w:r w:rsidRPr="007E7726">
        <w:rPr>
          <w:rFonts w:eastAsiaTheme="minorEastAsia"/>
          <w:color w:val="0070C0"/>
          <w:lang w:val="en-US"/>
        </w:rPr>
        <w:t>Talling et al., 2007; Hunt, 2017</w:t>
      </w:r>
      <w:r>
        <w:rPr>
          <w:rFonts w:eastAsiaTheme="minorEastAsia"/>
          <w:lang w:val="en-US"/>
        </w:rPr>
        <w:t>).</w:t>
      </w:r>
      <w:r w:rsidRPr="008E2369">
        <w:rPr>
          <w:rFonts w:eastAsiaTheme="minorEastAsia"/>
          <w:lang w:val="en-US"/>
        </w:rPr>
        <w:t xml:space="preserve"> </w:t>
      </w:r>
      <w:r>
        <w:rPr>
          <w:rFonts w:eastAsiaTheme="minorEastAsia"/>
          <w:lang w:val="en-US"/>
        </w:rPr>
        <w:t xml:space="preserve"> Second, the erosion surface throughout the canyon is always draped by Bed 5 deposits (identified by age, composition and coccolith assemblages), even in cores elevated above the canyon floor (Fig. 3B; Core 55). This indicates a close temporal relationship and likely genetic link between the canyon erosion and subsequent emplacement of Bed 5 ~60 ka.</w:t>
      </w:r>
    </w:p>
    <w:p w14:paraId="71192012" w14:textId="77777777" w:rsidR="00D522BC" w:rsidRDefault="00D522BC" w:rsidP="00D522BC">
      <w:pPr>
        <w:rPr>
          <w:rFonts w:eastAsiaTheme="minorEastAsia"/>
          <w:lang w:val="en-US"/>
        </w:rPr>
      </w:pPr>
      <w:r>
        <w:rPr>
          <w:rFonts w:eastAsiaTheme="minorEastAsia"/>
          <w:lang w:val="en-US"/>
        </w:rPr>
        <w:t xml:space="preserve">An alternative interpretation is that Bed 5 passively drapes an older erosion surface, hence is not genetically related to the incision. If this were the case, we would expect to record a variety of stratigraphy &gt;60 ka between the erosion surface and Bed 5, particularly in cores on the canyon margins that are more likely to preserve hemipelagic sediments between event beds (e.g. Core 55). However, Bed 5 always immediately overlies the erosion surface in any position within the canyon (see also </w:t>
      </w:r>
      <w:r w:rsidRPr="007E7726">
        <w:rPr>
          <w:rFonts w:eastAsiaTheme="minorEastAsia"/>
          <w:color w:val="0070C0"/>
          <w:lang w:val="en-US"/>
        </w:rPr>
        <w:t xml:space="preserve">Talling et al., 2007 </w:t>
      </w:r>
      <w:r>
        <w:rPr>
          <w:rFonts w:eastAsiaTheme="minorEastAsia"/>
          <w:lang w:val="en-US"/>
        </w:rPr>
        <w:t>for canyon margin cores across the lower canyon). Hence, we interpret the erosion surface as being generated by the Bed 5 Event.</w:t>
      </w:r>
    </w:p>
    <w:p w14:paraId="159CE5E5" w14:textId="77777777" w:rsidR="00A92581" w:rsidRDefault="00A92581" w:rsidP="00DD22AF">
      <w:pPr>
        <w:rPr>
          <w:b/>
        </w:rPr>
      </w:pPr>
    </w:p>
    <w:p w14:paraId="11FA4CB3" w14:textId="3F2C3A03" w:rsidR="005C1CB3" w:rsidRDefault="000719F7" w:rsidP="00DD22AF">
      <w:pPr>
        <w:rPr>
          <w:b/>
        </w:rPr>
      </w:pPr>
      <w:r w:rsidRPr="000719F7">
        <w:rPr>
          <w:b/>
        </w:rPr>
        <w:t>Initial failure volume estimates</w:t>
      </w:r>
    </w:p>
    <w:p w14:paraId="34AA76AB" w14:textId="0C976B09" w:rsidR="001B3097" w:rsidRDefault="00A92581" w:rsidP="00DD22AF">
      <w:r>
        <w:t xml:space="preserve">Bathymetry across the Southern Tributary catchment shows no significant landslide scars of appropriate age to be the source of the Bed 5 event. Hence, the only area it could have originated was from the tributary thalweg itself. We use the contemporary Kaikoura Canyon as an analogue (after </w:t>
      </w:r>
      <w:r w:rsidRPr="007E7726">
        <w:rPr>
          <w:color w:val="0070C0"/>
        </w:rPr>
        <w:t>Mountjoy et al., 2018</w:t>
      </w:r>
      <w:r>
        <w:t xml:space="preserve">), </w:t>
      </w:r>
      <w:r w:rsidR="001B3097">
        <w:t>where an earthquake triggered widespread canyon thalweg failure with an average of 15-25 m thickness sediments failing along ~15 km of the canyon floor.</w:t>
      </w:r>
      <w:r w:rsidR="0063193F">
        <w:t xml:space="preserve"> </w:t>
      </w:r>
      <w:r w:rsidR="001B3097">
        <w:t>We do not have constraints on either the length of thalweg affected by failure or the average failure thickness. The length of the thalweg is assumed to be similar to that documented for the Kaikoura Canyon (</w:t>
      </w:r>
      <w:r w:rsidR="001B3097" w:rsidRPr="007E7726">
        <w:rPr>
          <w:color w:val="0070C0"/>
        </w:rPr>
        <w:t>Mountjoy et al., 2018</w:t>
      </w:r>
      <w:r w:rsidR="001B3097">
        <w:t>). There are no other documented cases to validate this assumption further.</w:t>
      </w:r>
      <w:r w:rsidR="0063193F">
        <w:t xml:space="preserve"> The average thickness of the thalweg failure is calculated using values between 10 and 100 m as the extreme end members, with 30 m assumed to be a reasonable estimate given the failure thicknesses (</w:t>
      </w:r>
      <w:r w:rsidR="00454848">
        <w:t>erosional scouring)</w:t>
      </w:r>
      <w:r w:rsidR="0063193F">
        <w:t xml:space="preserve"> documented in other canyons around the world (</w:t>
      </w:r>
      <w:r w:rsidR="00EA781D">
        <w:t>e.g.,</w:t>
      </w:r>
      <w:r w:rsidR="00EA781D" w:rsidRPr="00EA781D">
        <w:rPr>
          <w:color w:val="0070C0"/>
        </w:rPr>
        <w:t xml:space="preserve"> </w:t>
      </w:r>
      <w:r w:rsidR="00EA781D" w:rsidRPr="007E7726">
        <w:rPr>
          <w:color w:val="0070C0"/>
        </w:rPr>
        <w:t>Hughes-Clarke et al., 19</w:t>
      </w:r>
      <w:r w:rsidR="00616C58">
        <w:rPr>
          <w:color w:val="0070C0"/>
        </w:rPr>
        <w:t>90</w:t>
      </w:r>
      <w:r w:rsidR="00EA781D">
        <w:rPr>
          <w:color w:val="0070C0"/>
        </w:rPr>
        <w:t xml:space="preserve">; </w:t>
      </w:r>
      <w:r w:rsidR="0063193F" w:rsidRPr="007E7726">
        <w:rPr>
          <w:color w:val="0070C0"/>
        </w:rPr>
        <w:t>Mountjoy et al., 2018;</w:t>
      </w:r>
      <w:r w:rsidR="0063193F">
        <w:t>). Critically, the range in volume estimates from thin skinned (0.2 km</w:t>
      </w:r>
      <w:r w:rsidR="0063193F" w:rsidRPr="0063193F">
        <w:rPr>
          <w:vertAlign w:val="superscript"/>
        </w:rPr>
        <w:t>3</w:t>
      </w:r>
      <w:r w:rsidR="0063193F">
        <w:t>) to thick skinned (3.6 km</w:t>
      </w:r>
      <w:r w:rsidR="0063193F" w:rsidRPr="0063193F">
        <w:rPr>
          <w:vertAlign w:val="superscript"/>
        </w:rPr>
        <w:t>3</w:t>
      </w:r>
      <w:r w:rsidR="0063193F">
        <w:t>) failure scenarios are all relatively small compared to the total deposit volume of Bed 5.</w:t>
      </w:r>
    </w:p>
    <w:p w14:paraId="040C4D7F" w14:textId="77777777" w:rsidR="00A92581" w:rsidRPr="00A92581" w:rsidRDefault="00A92581" w:rsidP="00DD22AF"/>
    <w:p w14:paraId="0257F0C5" w14:textId="3F5854E8" w:rsidR="000719F7" w:rsidRDefault="000719F7" w:rsidP="00DD22AF">
      <w:r>
        <w:rPr>
          <w:noProof/>
          <w:lang w:val="en-US"/>
        </w:rPr>
        <w:lastRenderedPageBreak/>
        <w:drawing>
          <wp:inline distT="0" distB="0" distL="0" distR="0" wp14:anchorId="1C9929E1" wp14:editId="5963E32E">
            <wp:extent cx="4152900" cy="3276777"/>
            <wp:effectExtent l="0" t="0" r="0" b="0"/>
            <wp:docPr id="4" name="Picture 4" descr="cid:image005.png@01DA0E68.C024D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png@01DA0E68.C024DD4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171457" cy="3291419"/>
                    </a:xfrm>
                    <a:prstGeom prst="rect">
                      <a:avLst/>
                    </a:prstGeom>
                    <a:noFill/>
                    <a:ln>
                      <a:noFill/>
                    </a:ln>
                  </pic:spPr>
                </pic:pic>
              </a:graphicData>
            </a:graphic>
          </wp:inline>
        </w:drawing>
      </w:r>
    </w:p>
    <w:p w14:paraId="13A0939B" w14:textId="7BE699C9" w:rsidR="000719F7" w:rsidRDefault="000719F7" w:rsidP="00261A6D">
      <w:pPr>
        <w:pStyle w:val="Caption"/>
        <w:rPr>
          <w:lang w:val="en-US"/>
        </w:rPr>
      </w:pPr>
      <w:r>
        <w:rPr>
          <w:lang w:val="en-US"/>
        </w:rPr>
        <w:t>Figure</w:t>
      </w:r>
      <w:r w:rsidR="00F65BB8">
        <w:rPr>
          <w:lang w:val="en-US"/>
        </w:rPr>
        <w:t xml:space="preserve"> </w:t>
      </w:r>
      <w:r w:rsidR="00BB1B3B">
        <w:rPr>
          <w:lang w:val="en-US"/>
        </w:rPr>
        <w:t>S</w:t>
      </w:r>
      <w:r w:rsidR="00727699">
        <w:rPr>
          <w:lang w:val="en-US"/>
        </w:rPr>
        <w:t>6</w:t>
      </w:r>
      <w:r>
        <w:rPr>
          <w:lang w:val="en-US"/>
        </w:rPr>
        <w:t>. Plot showing</w:t>
      </w:r>
      <w:r w:rsidR="00A92581">
        <w:rPr>
          <w:lang w:val="en-US"/>
        </w:rPr>
        <w:t xml:space="preserve"> the relationship between thickness of the initial </w:t>
      </w:r>
      <w:r w:rsidR="00F65BB8">
        <w:rPr>
          <w:lang w:val="en-US"/>
        </w:rPr>
        <w:t xml:space="preserve">thalweg </w:t>
      </w:r>
      <w:r w:rsidR="00A92581">
        <w:rPr>
          <w:lang w:val="en-US"/>
        </w:rPr>
        <w:t xml:space="preserve">failure and the </w:t>
      </w:r>
      <w:r w:rsidR="00F65BB8">
        <w:rPr>
          <w:lang w:val="en-US"/>
        </w:rPr>
        <w:t xml:space="preserve">resultant </w:t>
      </w:r>
      <w:r w:rsidR="00A92581">
        <w:rPr>
          <w:lang w:val="en-US"/>
        </w:rPr>
        <w:t>volume generated by the failure</w:t>
      </w:r>
      <w:r w:rsidR="00F65BB8">
        <w:rPr>
          <w:lang w:val="en-US"/>
        </w:rPr>
        <w:t xml:space="preserve"> (Fig. 5B for area)</w:t>
      </w:r>
      <w:r w:rsidR="00A92581">
        <w:rPr>
          <w:lang w:val="en-US"/>
        </w:rPr>
        <w:t xml:space="preserve">. Table </w:t>
      </w:r>
      <w:r w:rsidR="00BB1B3B">
        <w:rPr>
          <w:lang w:val="en-US"/>
        </w:rPr>
        <w:t>SX</w:t>
      </w:r>
      <w:r w:rsidR="00A92581">
        <w:rPr>
          <w:lang w:val="en-US"/>
        </w:rPr>
        <w:t xml:space="preserve"> below provides some scenarios.</w:t>
      </w:r>
    </w:p>
    <w:p w14:paraId="15FA3911" w14:textId="77777777" w:rsidR="00A92581" w:rsidRDefault="00A92581" w:rsidP="000719F7">
      <w:pPr>
        <w:rPr>
          <w:lang w:val="en-US"/>
        </w:rPr>
      </w:pPr>
    </w:p>
    <w:tbl>
      <w:tblPr>
        <w:tblStyle w:val="TableGrid"/>
        <w:tblW w:w="0" w:type="auto"/>
        <w:tblLook w:val="04A0" w:firstRow="1" w:lastRow="0" w:firstColumn="1" w:lastColumn="0" w:noHBand="0" w:noVBand="1"/>
      </w:tblPr>
      <w:tblGrid>
        <w:gridCol w:w="2785"/>
        <w:gridCol w:w="2610"/>
        <w:gridCol w:w="3428"/>
      </w:tblGrid>
      <w:tr w:rsidR="000719F7" w14:paraId="6A38B636" w14:textId="77777777" w:rsidTr="004C40C4">
        <w:trPr>
          <w:trHeight w:val="784"/>
        </w:trPr>
        <w:tc>
          <w:tcPr>
            <w:tcW w:w="2785" w:type="dxa"/>
          </w:tcPr>
          <w:p w14:paraId="54594E85" w14:textId="2F4913B9" w:rsidR="000719F7" w:rsidRDefault="000719F7" w:rsidP="00DD22AF">
            <w:r>
              <w:t>Average thickness of failure (m)</w:t>
            </w:r>
          </w:p>
        </w:tc>
        <w:tc>
          <w:tcPr>
            <w:tcW w:w="2610" w:type="dxa"/>
          </w:tcPr>
          <w:p w14:paraId="2FB8A6AF" w14:textId="7807E473" w:rsidR="000719F7" w:rsidRDefault="000719F7" w:rsidP="00DD22AF">
            <w:r>
              <w:t>Volume of sediment failed (km</w:t>
            </w:r>
            <w:r w:rsidRPr="000719F7">
              <w:rPr>
                <w:vertAlign w:val="superscript"/>
              </w:rPr>
              <w:t>3</w:t>
            </w:r>
            <w:r>
              <w:t>)</w:t>
            </w:r>
          </w:p>
        </w:tc>
        <w:tc>
          <w:tcPr>
            <w:tcW w:w="3428" w:type="dxa"/>
          </w:tcPr>
          <w:p w14:paraId="39529B0E" w14:textId="77777777" w:rsidR="004C40C4" w:rsidRDefault="000719F7" w:rsidP="00DD22AF">
            <w:r>
              <w:t xml:space="preserve">Ignition factor </w:t>
            </w:r>
          </w:p>
          <w:p w14:paraId="59DF6529" w14:textId="1614DC42" w:rsidR="000719F7" w:rsidRDefault="000719F7" w:rsidP="00DD22AF">
            <w:r>
              <w:t>(162 km</w:t>
            </w:r>
            <w:r w:rsidRPr="000719F7">
              <w:rPr>
                <w:vertAlign w:val="superscript"/>
              </w:rPr>
              <w:t>3</w:t>
            </w:r>
            <w:r>
              <w:t>/initial failure volume)</w:t>
            </w:r>
          </w:p>
        </w:tc>
      </w:tr>
      <w:tr w:rsidR="000719F7" w14:paraId="75E9E5C6" w14:textId="77777777" w:rsidTr="004C40C4">
        <w:trPr>
          <w:trHeight w:val="391"/>
        </w:trPr>
        <w:tc>
          <w:tcPr>
            <w:tcW w:w="2785" w:type="dxa"/>
          </w:tcPr>
          <w:p w14:paraId="1CB335BF" w14:textId="74A431F3" w:rsidR="000719F7" w:rsidRDefault="000719F7" w:rsidP="00DD22AF">
            <w:r>
              <w:t>10</w:t>
            </w:r>
          </w:p>
        </w:tc>
        <w:tc>
          <w:tcPr>
            <w:tcW w:w="2610" w:type="dxa"/>
          </w:tcPr>
          <w:p w14:paraId="00AD6EDF" w14:textId="026DA158" w:rsidR="000719F7" w:rsidRDefault="000719F7" w:rsidP="00DD22AF">
            <w:r>
              <w:t>0.2283</w:t>
            </w:r>
          </w:p>
        </w:tc>
        <w:tc>
          <w:tcPr>
            <w:tcW w:w="3428" w:type="dxa"/>
          </w:tcPr>
          <w:p w14:paraId="18830880" w14:textId="6CAB5BC2" w:rsidR="000719F7" w:rsidRDefault="000719F7" w:rsidP="00DD22AF">
            <w:r>
              <w:t>710</w:t>
            </w:r>
          </w:p>
        </w:tc>
      </w:tr>
      <w:tr w:rsidR="000719F7" w14:paraId="23A21B30" w14:textId="77777777" w:rsidTr="004C40C4">
        <w:trPr>
          <w:trHeight w:val="380"/>
        </w:trPr>
        <w:tc>
          <w:tcPr>
            <w:tcW w:w="2785" w:type="dxa"/>
          </w:tcPr>
          <w:p w14:paraId="2920C904" w14:textId="2EF74F38" w:rsidR="000719F7" w:rsidRDefault="000719F7" w:rsidP="00DD22AF">
            <w:r>
              <w:t>20</w:t>
            </w:r>
          </w:p>
        </w:tc>
        <w:tc>
          <w:tcPr>
            <w:tcW w:w="2610" w:type="dxa"/>
          </w:tcPr>
          <w:p w14:paraId="616C86BB" w14:textId="6BF8682A" w:rsidR="000719F7" w:rsidRDefault="000719F7" w:rsidP="00DD22AF">
            <w:r>
              <w:t>0.4664</w:t>
            </w:r>
          </w:p>
        </w:tc>
        <w:tc>
          <w:tcPr>
            <w:tcW w:w="3428" w:type="dxa"/>
          </w:tcPr>
          <w:p w14:paraId="1B799DA9" w14:textId="71C785FF" w:rsidR="000719F7" w:rsidRDefault="000719F7" w:rsidP="00DD22AF">
            <w:r>
              <w:t>347</w:t>
            </w:r>
          </w:p>
        </w:tc>
      </w:tr>
      <w:tr w:rsidR="000719F7" w14:paraId="7AEFE153" w14:textId="77777777" w:rsidTr="004C40C4">
        <w:trPr>
          <w:trHeight w:val="391"/>
        </w:trPr>
        <w:tc>
          <w:tcPr>
            <w:tcW w:w="2785" w:type="dxa"/>
          </w:tcPr>
          <w:p w14:paraId="1CF9BC28" w14:textId="0057000D" w:rsidR="000719F7" w:rsidRDefault="000719F7" w:rsidP="00DD22AF">
            <w:r>
              <w:t>30</w:t>
            </w:r>
          </w:p>
        </w:tc>
        <w:tc>
          <w:tcPr>
            <w:tcW w:w="2610" w:type="dxa"/>
          </w:tcPr>
          <w:p w14:paraId="1F8E1193" w14:textId="292DD0A1" w:rsidR="000719F7" w:rsidRDefault="000719F7" w:rsidP="00DD22AF">
            <w:r>
              <w:t>0.7510</w:t>
            </w:r>
          </w:p>
        </w:tc>
        <w:tc>
          <w:tcPr>
            <w:tcW w:w="3428" w:type="dxa"/>
          </w:tcPr>
          <w:p w14:paraId="2845057A" w14:textId="75A46DDB" w:rsidR="000719F7" w:rsidRDefault="000719F7" w:rsidP="00DD22AF">
            <w:r>
              <w:t>216</w:t>
            </w:r>
          </w:p>
        </w:tc>
      </w:tr>
      <w:tr w:rsidR="000719F7" w14:paraId="43DDFA4E" w14:textId="77777777" w:rsidTr="004C40C4">
        <w:trPr>
          <w:trHeight w:val="391"/>
        </w:trPr>
        <w:tc>
          <w:tcPr>
            <w:tcW w:w="2785" w:type="dxa"/>
          </w:tcPr>
          <w:p w14:paraId="5FA41C58" w14:textId="20353A60" w:rsidR="000719F7" w:rsidRDefault="000719F7" w:rsidP="00DD22AF">
            <w:r>
              <w:t>50</w:t>
            </w:r>
          </w:p>
        </w:tc>
        <w:tc>
          <w:tcPr>
            <w:tcW w:w="2610" w:type="dxa"/>
          </w:tcPr>
          <w:p w14:paraId="78AD7324" w14:textId="18409037" w:rsidR="000719F7" w:rsidRDefault="000719F7" w:rsidP="00DD22AF">
            <w:r>
              <w:t>1.4252</w:t>
            </w:r>
          </w:p>
        </w:tc>
        <w:tc>
          <w:tcPr>
            <w:tcW w:w="3428" w:type="dxa"/>
          </w:tcPr>
          <w:p w14:paraId="3127185A" w14:textId="086CD529" w:rsidR="000719F7" w:rsidRDefault="000719F7" w:rsidP="00DD22AF">
            <w:r>
              <w:t>114</w:t>
            </w:r>
          </w:p>
        </w:tc>
      </w:tr>
      <w:tr w:rsidR="000719F7" w14:paraId="12DF751A" w14:textId="77777777" w:rsidTr="004C40C4">
        <w:trPr>
          <w:trHeight w:val="391"/>
        </w:trPr>
        <w:tc>
          <w:tcPr>
            <w:tcW w:w="2785" w:type="dxa"/>
          </w:tcPr>
          <w:p w14:paraId="35D8525C" w14:textId="31EAACF4" w:rsidR="000719F7" w:rsidRDefault="000719F7" w:rsidP="00DD22AF">
            <w:r>
              <w:t>100</w:t>
            </w:r>
          </w:p>
        </w:tc>
        <w:tc>
          <w:tcPr>
            <w:tcW w:w="2610" w:type="dxa"/>
          </w:tcPr>
          <w:p w14:paraId="114CF588" w14:textId="60327C11" w:rsidR="000719F7" w:rsidRDefault="000719F7" w:rsidP="00DD22AF">
            <w:r>
              <w:t>3.5546</w:t>
            </w:r>
          </w:p>
        </w:tc>
        <w:tc>
          <w:tcPr>
            <w:tcW w:w="3428" w:type="dxa"/>
          </w:tcPr>
          <w:p w14:paraId="507425EA" w14:textId="1C679DD4" w:rsidR="000719F7" w:rsidRDefault="000719F7" w:rsidP="00DD22AF">
            <w:r>
              <w:t>46</w:t>
            </w:r>
          </w:p>
        </w:tc>
      </w:tr>
    </w:tbl>
    <w:p w14:paraId="52452BED" w14:textId="207ECD24" w:rsidR="00AE2AF5" w:rsidRDefault="00A92581" w:rsidP="00AE2AF5">
      <w:pPr>
        <w:pStyle w:val="Caption"/>
      </w:pPr>
      <w:r>
        <w:t xml:space="preserve">Table </w:t>
      </w:r>
      <w:r w:rsidR="00BB1B3B">
        <w:t>S</w:t>
      </w:r>
      <w:r w:rsidR="00727699">
        <w:t>2</w:t>
      </w:r>
      <w:r>
        <w:t>. Showing a range in the average thickness of thalweg failure in the Southern Tributary, and how this corresponds to variations in the estimated initial failure volume.</w:t>
      </w:r>
      <w:r w:rsidR="00F65BB8">
        <w:t xml:space="preserve"> Note that the range in estimated volumes (1-3 km</w:t>
      </w:r>
      <w:r w:rsidR="00F65BB8" w:rsidRPr="00F65BB8">
        <w:rPr>
          <w:vertAlign w:val="superscript"/>
        </w:rPr>
        <w:t>3</w:t>
      </w:r>
      <w:r w:rsidR="00F65BB8">
        <w:t>) is relatively minor compared to the total deposit volume down slope of 162 km</w:t>
      </w:r>
      <w:r w:rsidR="00F65BB8" w:rsidRPr="00F65BB8">
        <w:rPr>
          <w:vertAlign w:val="superscript"/>
        </w:rPr>
        <w:t>3</w:t>
      </w:r>
      <w:r w:rsidR="00F65BB8">
        <w:t>.</w:t>
      </w:r>
    </w:p>
    <w:p w14:paraId="576490AB" w14:textId="77777777" w:rsidR="00AE2AF5" w:rsidRDefault="00AE2AF5">
      <w:pPr>
        <w:spacing w:line="259" w:lineRule="auto"/>
        <w:jc w:val="left"/>
        <w:rPr>
          <w:i/>
          <w:iCs/>
          <w:sz w:val="20"/>
          <w:szCs w:val="18"/>
        </w:rPr>
      </w:pPr>
      <w:r>
        <w:br w:type="page"/>
      </w:r>
    </w:p>
    <w:p w14:paraId="231D69D5" w14:textId="77777777" w:rsidR="00EA781D" w:rsidRDefault="00EA781D" w:rsidP="00EA781D">
      <w:pPr>
        <w:rPr>
          <w:lang w:val="en-US"/>
        </w:rPr>
      </w:pPr>
    </w:p>
    <w:p w14:paraId="3EAEFDF7" w14:textId="58F926AF" w:rsidR="00EA781D" w:rsidRDefault="00EA781D" w:rsidP="00EA781D">
      <w:pPr>
        <w:rPr>
          <w:b/>
        </w:rPr>
      </w:pPr>
      <w:r w:rsidRPr="00EA781D">
        <w:rPr>
          <w:b/>
        </w:rPr>
        <w:t>Supplementary References</w:t>
      </w:r>
    </w:p>
    <w:p w14:paraId="29F5440C" w14:textId="77777777" w:rsidR="00EA781D" w:rsidRPr="00EA781D" w:rsidRDefault="00EA781D" w:rsidP="00EA781D">
      <w:pPr>
        <w:pStyle w:val="Reference"/>
      </w:pPr>
      <w:r w:rsidRPr="00EA781D">
        <w:t>Hughes-Clarke, J. E., Shor, A. N., Piper, D. J., &amp; Mayer, L. A. (1990). Large‐scale current‐induced erosion and deposition in the path of the 1929 Grand Banks turbidity current. Sedimentology, 37(4), 613-629.</w:t>
      </w:r>
    </w:p>
    <w:p w14:paraId="41404A8A" w14:textId="77777777" w:rsidR="00EA781D" w:rsidRPr="00213CEA" w:rsidRDefault="00EA781D" w:rsidP="00EA781D">
      <w:pPr>
        <w:pStyle w:val="Reference"/>
        <w:rPr>
          <w:lang w:val="de-DE"/>
        </w:rPr>
      </w:pPr>
      <w:r w:rsidRPr="00EA781D">
        <w:t xml:space="preserve">Hunt, J. E. (2017). Identifying and quantifying erosion beneath the deposits of long-runout turbidity currents along their pathway. </w:t>
      </w:r>
      <w:r w:rsidRPr="00213CEA">
        <w:rPr>
          <w:lang w:val="de-DE"/>
        </w:rPr>
        <w:t xml:space="preserve">Marine </w:t>
      </w:r>
      <w:proofErr w:type="spellStart"/>
      <w:r w:rsidRPr="00213CEA">
        <w:rPr>
          <w:lang w:val="de-DE"/>
        </w:rPr>
        <w:t>Geology</w:t>
      </w:r>
      <w:proofErr w:type="spellEnd"/>
      <w:r w:rsidRPr="00213CEA">
        <w:rPr>
          <w:lang w:val="de-DE"/>
        </w:rPr>
        <w:t>, 389, 32-51.</w:t>
      </w:r>
    </w:p>
    <w:p w14:paraId="5A78633A" w14:textId="77777777" w:rsidR="00EA781D" w:rsidRPr="00EA781D" w:rsidRDefault="00EA781D" w:rsidP="00EA781D">
      <w:pPr>
        <w:pStyle w:val="Reference"/>
      </w:pPr>
      <w:r w:rsidRPr="00EA781D">
        <w:rPr>
          <w:lang w:val="de-DE"/>
        </w:rPr>
        <w:t xml:space="preserve">Kuhlmann, H., </w:t>
      </w:r>
      <w:proofErr w:type="spellStart"/>
      <w:r w:rsidRPr="00EA781D">
        <w:rPr>
          <w:lang w:val="de-DE"/>
        </w:rPr>
        <w:t>Meggers</w:t>
      </w:r>
      <w:proofErr w:type="spellEnd"/>
      <w:r w:rsidRPr="00EA781D">
        <w:rPr>
          <w:lang w:val="de-DE"/>
        </w:rPr>
        <w:t xml:space="preserve">, H., Freudenthal, T., &amp; </w:t>
      </w:r>
      <w:proofErr w:type="spellStart"/>
      <w:r w:rsidRPr="00EA781D">
        <w:rPr>
          <w:lang w:val="de-DE"/>
        </w:rPr>
        <w:t>Wefer</w:t>
      </w:r>
      <w:proofErr w:type="spellEnd"/>
      <w:r w:rsidRPr="00EA781D">
        <w:rPr>
          <w:lang w:val="de-DE"/>
        </w:rPr>
        <w:t xml:space="preserve">, G. (2004). </w:t>
      </w:r>
      <w:r w:rsidRPr="00EA781D">
        <w:t>The transition of the monsoonal and the N Atlantic climate system off NW Africa during the Holocene. Geophysical Research Letters, 31(22).</w:t>
      </w:r>
    </w:p>
    <w:p w14:paraId="578392C4" w14:textId="77777777" w:rsidR="00EA781D" w:rsidRPr="00EA781D" w:rsidRDefault="00EA781D" w:rsidP="00EA781D">
      <w:pPr>
        <w:pStyle w:val="Reference"/>
      </w:pPr>
      <w:r w:rsidRPr="00EA781D">
        <w:t>Mountjoy, J. J., Howarth, J. D., Orpin, A. R., Barnes, P. M., Bowden, D. A., Rowden, A. A., ... &amp; Kane, T. (2018). Earthquakes drive large-scale submarine canyon development and sediment supply to deep-ocean basins. Science advances, 4(3), eaar3748.</w:t>
      </w:r>
    </w:p>
    <w:p w14:paraId="6DA25C37" w14:textId="77777777" w:rsidR="00EA781D" w:rsidRPr="00EA781D" w:rsidRDefault="00EA781D" w:rsidP="00EA781D">
      <w:pPr>
        <w:pStyle w:val="Reference"/>
      </w:pPr>
      <w:r w:rsidRPr="00EA781D">
        <w:t xml:space="preserve">Peakall, J., Best, J., Baas, J. H., Hodgson, D. M., Clare, M. A., Talling, P. J., ... &amp; Lee, D. R. (2020). An integrated process‐based model of flutes and tool marks in deep‐water environments: Implications for </w:t>
      </w:r>
      <w:proofErr w:type="spellStart"/>
      <w:r w:rsidRPr="00EA781D">
        <w:t>palaeohydraulics</w:t>
      </w:r>
      <w:proofErr w:type="spellEnd"/>
      <w:r w:rsidRPr="00EA781D">
        <w:t>, the Bouma sequence and hybrid event beds. Sedimentology, 67(4), 1601-1666.</w:t>
      </w:r>
    </w:p>
    <w:p w14:paraId="08B8A338" w14:textId="77777777" w:rsidR="00EA781D" w:rsidRPr="00EA781D" w:rsidRDefault="00EA781D" w:rsidP="00EA781D">
      <w:pPr>
        <w:pStyle w:val="Reference"/>
      </w:pPr>
      <w:r w:rsidRPr="00EA781D">
        <w:t xml:space="preserve">Talling, P. J., Wynn, R. B., Masson, D. G., Frenz, M., Cronin, B. T., </w:t>
      </w:r>
      <w:proofErr w:type="spellStart"/>
      <w:r w:rsidRPr="00EA781D">
        <w:t>Schiebel</w:t>
      </w:r>
      <w:proofErr w:type="spellEnd"/>
      <w:r w:rsidRPr="00EA781D">
        <w:t>, R., ... &amp; Amy, L. A. (2007). Onset of submarine debris flow deposition far from original giant landslide. Nature, 450(7169), 541-544.</w:t>
      </w:r>
    </w:p>
    <w:p w14:paraId="74DFA6FE" w14:textId="77777777" w:rsidR="00EA781D" w:rsidRDefault="00EA781D" w:rsidP="00993B59">
      <w:pPr>
        <w:rPr>
          <w:rFonts w:eastAsiaTheme="minorEastAsia"/>
          <w:color w:val="0070C0"/>
          <w:lang w:val="en-US"/>
        </w:rPr>
      </w:pPr>
    </w:p>
    <w:sectPr w:rsidR="00EA781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C1E46" w14:textId="77777777" w:rsidR="008760FA" w:rsidRDefault="008760FA" w:rsidP="006B40AA">
      <w:pPr>
        <w:spacing w:after="0" w:line="240" w:lineRule="auto"/>
      </w:pPr>
      <w:r>
        <w:separator/>
      </w:r>
    </w:p>
  </w:endnote>
  <w:endnote w:type="continuationSeparator" w:id="0">
    <w:p w14:paraId="6FB1627A" w14:textId="77777777" w:rsidR="008760FA" w:rsidRDefault="008760FA" w:rsidP="006B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784605"/>
      <w:docPartObj>
        <w:docPartGallery w:val="Page Numbers (Bottom of Page)"/>
        <w:docPartUnique/>
      </w:docPartObj>
    </w:sdtPr>
    <w:sdtEndPr>
      <w:rPr>
        <w:noProof/>
      </w:rPr>
    </w:sdtEndPr>
    <w:sdtContent>
      <w:p w14:paraId="76D6BD49" w14:textId="3006D4A5" w:rsidR="006B40AA" w:rsidRDefault="006B40AA">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Pr>
            <w:noProof/>
          </w:rPr>
          <w:fldChar w:fldCharType="begin"/>
        </w:r>
        <w:r>
          <w:rPr>
            <w:noProof/>
          </w:rPr>
          <w:instrText xml:space="preserve"> NUMPAGES  \* Arabic  \* MERGEFORMAT </w:instrText>
        </w:r>
        <w:r>
          <w:rPr>
            <w:noProof/>
          </w:rPr>
          <w:fldChar w:fldCharType="separate"/>
        </w:r>
        <w:r>
          <w:rPr>
            <w:noProof/>
          </w:rPr>
          <w:t>6</w:t>
        </w:r>
        <w:r>
          <w:rPr>
            <w:noProof/>
          </w:rPr>
          <w:fldChar w:fldCharType="end"/>
        </w:r>
      </w:p>
    </w:sdtContent>
  </w:sdt>
  <w:p w14:paraId="70B77152" w14:textId="77777777" w:rsidR="006B40AA" w:rsidRDefault="006B4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C5004" w14:textId="77777777" w:rsidR="008760FA" w:rsidRDefault="008760FA" w:rsidP="006B40AA">
      <w:pPr>
        <w:spacing w:after="0" w:line="240" w:lineRule="auto"/>
      </w:pPr>
      <w:r>
        <w:separator/>
      </w:r>
    </w:p>
  </w:footnote>
  <w:footnote w:type="continuationSeparator" w:id="0">
    <w:p w14:paraId="48B4A6D7" w14:textId="77777777" w:rsidR="008760FA" w:rsidRDefault="008760FA" w:rsidP="006B4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E673" w14:textId="23E82F24" w:rsidR="006B40AA" w:rsidRPr="00EB3F99" w:rsidRDefault="006B40AA" w:rsidP="00EB3F99">
    <w:pPr>
      <w:pStyle w:val="Header"/>
      <w:jc w:val="center"/>
      <w:rPr>
        <w:i/>
        <w:iCs/>
        <w:lang w:val="da-DK"/>
      </w:rPr>
    </w:pPr>
    <w:r w:rsidRPr="00EB3F99">
      <w:rPr>
        <w:i/>
        <w:iCs/>
        <w:lang w:val="da-DK"/>
      </w:rPr>
      <w:t xml:space="preserve">Böttner &amp; Stevenson et al. </w:t>
    </w:r>
    <w:r w:rsidR="00EB3F99" w:rsidRPr="00EB3F99">
      <w:rPr>
        <w:i/>
        <w:iCs/>
        <w:lang w:val="da-DK"/>
      </w:rPr>
      <w:t xml:space="preserve">– </w:t>
    </w:r>
    <w:r w:rsidR="00EB3F99" w:rsidRPr="00EB3F99">
      <w:rPr>
        <w:i/>
        <w:iCs/>
        <w:lang w:val="en-US"/>
      </w:rPr>
      <w:t>Supplementary</w:t>
    </w:r>
    <w:r w:rsidR="00EB3F99" w:rsidRPr="00EB3F99">
      <w:rPr>
        <w:i/>
        <w:iCs/>
        <w:lang w:val="da-DK"/>
      </w:rPr>
      <w:t xml:space="preserve"> </w:t>
    </w:r>
    <w:r w:rsidR="00EB3F99" w:rsidRPr="00EB3F99">
      <w:rPr>
        <w:i/>
        <w:iCs/>
        <w:lang w:val="en-US"/>
      </w:rPr>
      <w:t>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EC3"/>
    <w:rsid w:val="000257E3"/>
    <w:rsid w:val="00032EE1"/>
    <w:rsid w:val="00037E45"/>
    <w:rsid w:val="000719F7"/>
    <w:rsid w:val="00072A3B"/>
    <w:rsid w:val="000C0FA6"/>
    <w:rsid w:val="000D2947"/>
    <w:rsid w:val="001258FF"/>
    <w:rsid w:val="001363CB"/>
    <w:rsid w:val="001966BF"/>
    <w:rsid w:val="001B3097"/>
    <w:rsid w:val="001C0178"/>
    <w:rsid w:val="001C7B9F"/>
    <w:rsid w:val="001D65B0"/>
    <w:rsid w:val="002123E7"/>
    <w:rsid w:val="00213CEA"/>
    <w:rsid w:val="00217842"/>
    <w:rsid w:val="00237068"/>
    <w:rsid w:val="00261A6D"/>
    <w:rsid w:val="002D3812"/>
    <w:rsid w:val="00323754"/>
    <w:rsid w:val="003268E6"/>
    <w:rsid w:val="0034188C"/>
    <w:rsid w:val="003578BF"/>
    <w:rsid w:val="00370851"/>
    <w:rsid w:val="003C316D"/>
    <w:rsid w:val="003D1DF3"/>
    <w:rsid w:val="003E30F2"/>
    <w:rsid w:val="0042754A"/>
    <w:rsid w:val="00433E2C"/>
    <w:rsid w:val="00443128"/>
    <w:rsid w:val="0045147C"/>
    <w:rsid w:val="00454848"/>
    <w:rsid w:val="004A2ED6"/>
    <w:rsid w:val="004C40C4"/>
    <w:rsid w:val="004D5E15"/>
    <w:rsid w:val="00567D86"/>
    <w:rsid w:val="00577F50"/>
    <w:rsid w:val="005904F3"/>
    <w:rsid w:val="005A108E"/>
    <w:rsid w:val="005C11C8"/>
    <w:rsid w:val="005C1CB3"/>
    <w:rsid w:val="005C639B"/>
    <w:rsid w:val="005E41E7"/>
    <w:rsid w:val="005E7CC8"/>
    <w:rsid w:val="00602AB4"/>
    <w:rsid w:val="00613665"/>
    <w:rsid w:val="00616C58"/>
    <w:rsid w:val="006200D7"/>
    <w:rsid w:val="0063193F"/>
    <w:rsid w:val="00647246"/>
    <w:rsid w:val="00690C95"/>
    <w:rsid w:val="006A02E8"/>
    <w:rsid w:val="006B40AA"/>
    <w:rsid w:val="006B47C7"/>
    <w:rsid w:val="00727699"/>
    <w:rsid w:val="0074105F"/>
    <w:rsid w:val="00741D9D"/>
    <w:rsid w:val="00750EF4"/>
    <w:rsid w:val="00753EA6"/>
    <w:rsid w:val="00762256"/>
    <w:rsid w:val="007D7DB7"/>
    <w:rsid w:val="007E7726"/>
    <w:rsid w:val="007E79D8"/>
    <w:rsid w:val="00822938"/>
    <w:rsid w:val="00824354"/>
    <w:rsid w:val="00845334"/>
    <w:rsid w:val="00847278"/>
    <w:rsid w:val="00865A3A"/>
    <w:rsid w:val="008760FA"/>
    <w:rsid w:val="00882277"/>
    <w:rsid w:val="008F7EB3"/>
    <w:rsid w:val="00913436"/>
    <w:rsid w:val="00981219"/>
    <w:rsid w:val="00993B59"/>
    <w:rsid w:val="009C3543"/>
    <w:rsid w:val="00A11EE2"/>
    <w:rsid w:val="00A23F05"/>
    <w:rsid w:val="00A27265"/>
    <w:rsid w:val="00A36757"/>
    <w:rsid w:val="00A401F3"/>
    <w:rsid w:val="00A54CC3"/>
    <w:rsid w:val="00A55CFD"/>
    <w:rsid w:val="00A70292"/>
    <w:rsid w:val="00A74378"/>
    <w:rsid w:val="00A92581"/>
    <w:rsid w:val="00A935FE"/>
    <w:rsid w:val="00AA7EC3"/>
    <w:rsid w:val="00AB1406"/>
    <w:rsid w:val="00AE2AF5"/>
    <w:rsid w:val="00B0072B"/>
    <w:rsid w:val="00BB1B3B"/>
    <w:rsid w:val="00BE52A7"/>
    <w:rsid w:val="00C05F6F"/>
    <w:rsid w:val="00C56DD8"/>
    <w:rsid w:val="00C74E4A"/>
    <w:rsid w:val="00CC0D54"/>
    <w:rsid w:val="00CD6C05"/>
    <w:rsid w:val="00CE75F8"/>
    <w:rsid w:val="00CF63A2"/>
    <w:rsid w:val="00D23695"/>
    <w:rsid w:val="00D26A02"/>
    <w:rsid w:val="00D522BC"/>
    <w:rsid w:val="00D53607"/>
    <w:rsid w:val="00D83B53"/>
    <w:rsid w:val="00D90C8D"/>
    <w:rsid w:val="00DD22AF"/>
    <w:rsid w:val="00DE5394"/>
    <w:rsid w:val="00DF4B70"/>
    <w:rsid w:val="00E03E4D"/>
    <w:rsid w:val="00E04605"/>
    <w:rsid w:val="00E1345D"/>
    <w:rsid w:val="00E16733"/>
    <w:rsid w:val="00E70C20"/>
    <w:rsid w:val="00E7781D"/>
    <w:rsid w:val="00E80BBB"/>
    <w:rsid w:val="00EA3174"/>
    <w:rsid w:val="00EA3DBF"/>
    <w:rsid w:val="00EA781D"/>
    <w:rsid w:val="00EB3F99"/>
    <w:rsid w:val="00F07CAD"/>
    <w:rsid w:val="00F33433"/>
    <w:rsid w:val="00F50525"/>
    <w:rsid w:val="00F65BB8"/>
    <w:rsid w:val="00F87230"/>
    <w:rsid w:val="00FA00DC"/>
    <w:rsid w:val="00FB5E35"/>
    <w:rsid w:val="00FB6F1B"/>
    <w:rsid w:val="00FE54D8"/>
    <w:rsid w:val="00FE5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E0420"/>
  <w15:chartTrackingRefBased/>
  <w15:docId w15:val="{8BA4AB37-FDE0-4C48-9896-A1052EBAD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F1B"/>
    <w:pPr>
      <w:spacing w:line="360" w:lineRule="auto"/>
      <w:jc w:val="both"/>
    </w:pPr>
    <w:rPr>
      <w:rFonts w:ascii="Times New Roman" w:hAnsi="Times New Roman"/>
    </w:rPr>
  </w:style>
  <w:style w:type="paragraph" w:styleId="Heading1">
    <w:name w:val="heading 1"/>
    <w:basedOn w:val="Normal"/>
    <w:next w:val="Normal"/>
    <w:link w:val="Heading1Char"/>
    <w:uiPriority w:val="9"/>
    <w:qFormat/>
    <w:rsid w:val="00F07CAD"/>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07CAD"/>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23E7"/>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79D8"/>
    <w:rPr>
      <w:sz w:val="16"/>
      <w:szCs w:val="16"/>
    </w:rPr>
  </w:style>
  <w:style w:type="paragraph" w:styleId="CommentText">
    <w:name w:val="annotation text"/>
    <w:basedOn w:val="Normal"/>
    <w:link w:val="CommentTextChar"/>
    <w:uiPriority w:val="99"/>
    <w:unhideWhenUsed/>
    <w:rsid w:val="007E79D8"/>
    <w:pPr>
      <w:spacing w:line="240" w:lineRule="auto"/>
    </w:pPr>
    <w:rPr>
      <w:sz w:val="20"/>
      <w:szCs w:val="20"/>
    </w:rPr>
  </w:style>
  <w:style w:type="character" w:customStyle="1" w:styleId="CommentTextChar">
    <w:name w:val="Comment Text Char"/>
    <w:basedOn w:val="DefaultParagraphFont"/>
    <w:link w:val="CommentText"/>
    <w:uiPriority w:val="99"/>
    <w:rsid w:val="007E79D8"/>
    <w:rPr>
      <w:sz w:val="20"/>
      <w:szCs w:val="20"/>
    </w:rPr>
  </w:style>
  <w:style w:type="paragraph" w:styleId="CommentSubject">
    <w:name w:val="annotation subject"/>
    <w:basedOn w:val="CommentText"/>
    <w:next w:val="CommentText"/>
    <w:link w:val="CommentSubjectChar"/>
    <w:uiPriority w:val="99"/>
    <w:semiHidden/>
    <w:unhideWhenUsed/>
    <w:rsid w:val="007E79D8"/>
    <w:rPr>
      <w:b/>
      <w:bCs/>
    </w:rPr>
  </w:style>
  <w:style w:type="character" w:customStyle="1" w:styleId="CommentSubjectChar">
    <w:name w:val="Comment Subject Char"/>
    <w:basedOn w:val="CommentTextChar"/>
    <w:link w:val="CommentSubject"/>
    <w:uiPriority w:val="99"/>
    <w:semiHidden/>
    <w:rsid w:val="007E79D8"/>
    <w:rPr>
      <w:b/>
      <w:bCs/>
      <w:sz w:val="20"/>
      <w:szCs w:val="20"/>
    </w:rPr>
  </w:style>
  <w:style w:type="paragraph" w:styleId="NoSpacing">
    <w:name w:val="No Spacing"/>
    <w:uiPriority w:val="1"/>
    <w:qFormat/>
    <w:rsid w:val="00F07CAD"/>
    <w:pPr>
      <w:spacing w:after="0" w:line="240" w:lineRule="auto"/>
    </w:pPr>
    <w:rPr>
      <w:rFonts w:ascii="Times New Roman" w:hAnsi="Times New Roman"/>
    </w:rPr>
  </w:style>
  <w:style w:type="character" w:customStyle="1" w:styleId="Heading2Char">
    <w:name w:val="Heading 2 Char"/>
    <w:basedOn w:val="DefaultParagraphFont"/>
    <w:link w:val="Heading2"/>
    <w:uiPriority w:val="9"/>
    <w:rsid w:val="00F07CAD"/>
    <w:rPr>
      <w:rFonts w:ascii="Times New Roman" w:eastAsiaTheme="majorEastAsia" w:hAnsi="Times New Roman" w:cstheme="majorBidi"/>
      <w:b/>
      <w:szCs w:val="26"/>
    </w:rPr>
  </w:style>
  <w:style w:type="paragraph" w:styleId="Caption">
    <w:name w:val="caption"/>
    <w:basedOn w:val="Normal"/>
    <w:next w:val="Normal"/>
    <w:uiPriority w:val="35"/>
    <w:unhideWhenUsed/>
    <w:qFormat/>
    <w:rsid w:val="00213CEA"/>
    <w:pPr>
      <w:spacing w:after="200" w:line="240" w:lineRule="auto"/>
    </w:pPr>
    <w:rPr>
      <w:i/>
      <w:iCs/>
      <w:szCs w:val="18"/>
    </w:rPr>
  </w:style>
  <w:style w:type="character" w:customStyle="1" w:styleId="Heading1Char">
    <w:name w:val="Heading 1 Char"/>
    <w:basedOn w:val="DefaultParagraphFont"/>
    <w:link w:val="Heading1"/>
    <w:uiPriority w:val="9"/>
    <w:rsid w:val="00F07CAD"/>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2123E7"/>
    <w:rPr>
      <w:rFonts w:ascii="Times New Roman" w:eastAsiaTheme="majorEastAsia" w:hAnsi="Times New Roman" w:cstheme="majorBidi"/>
      <w:b/>
      <w:i/>
      <w:szCs w:val="24"/>
    </w:rPr>
  </w:style>
  <w:style w:type="paragraph" w:styleId="BalloonText">
    <w:name w:val="Balloon Text"/>
    <w:basedOn w:val="Normal"/>
    <w:link w:val="BalloonTextChar"/>
    <w:uiPriority w:val="99"/>
    <w:semiHidden/>
    <w:unhideWhenUsed/>
    <w:rsid w:val="009C35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543"/>
    <w:rPr>
      <w:rFonts w:ascii="Segoe UI" w:hAnsi="Segoe UI" w:cs="Segoe UI"/>
      <w:sz w:val="18"/>
      <w:szCs w:val="18"/>
    </w:rPr>
  </w:style>
  <w:style w:type="table" w:styleId="TableGrid">
    <w:name w:val="Table Grid"/>
    <w:basedOn w:val="TableNormal"/>
    <w:uiPriority w:val="39"/>
    <w:rsid w:val="00071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4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0AA"/>
    <w:rPr>
      <w:rFonts w:ascii="Times New Roman" w:hAnsi="Times New Roman"/>
    </w:rPr>
  </w:style>
  <w:style w:type="paragraph" w:styleId="Footer">
    <w:name w:val="footer"/>
    <w:basedOn w:val="Normal"/>
    <w:link w:val="FooterChar"/>
    <w:uiPriority w:val="99"/>
    <w:unhideWhenUsed/>
    <w:rsid w:val="006B4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0AA"/>
    <w:rPr>
      <w:rFonts w:ascii="Times New Roman" w:hAnsi="Times New Roman"/>
    </w:rPr>
  </w:style>
  <w:style w:type="paragraph" w:customStyle="1" w:styleId="Reference">
    <w:name w:val="Reference"/>
    <w:basedOn w:val="NoSpacing"/>
    <w:link w:val="ReferenceChar"/>
    <w:qFormat/>
    <w:rsid w:val="00EA781D"/>
    <w:pPr>
      <w:ind w:left="284" w:hanging="284"/>
      <w:jc w:val="both"/>
    </w:pPr>
    <w:rPr>
      <w:lang w:val="en-US"/>
    </w:rPr>
  </w:style>
  <w:style w:type="character" w:customStyle="1" w:styleId="ReferenceChar">
    <w:name w:val="Reference Char"/>
    <w:basedOn w:val="DefaultParagraphFont"/>
    <w:link w:val="Reference"/>
    <w:rsid w:val="00EA781D"/>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29738">
      <w:bodyDiv w:val="1"/>
      <w:marLeft w:val="0"/>
      <w:marRight w:val="0"/>
      <w:marTop w:val="0"/>
      <w:marBottom w:val="0"/>
      <w:divBdr>
        <w:top w:val="none" w:sz="0" w:space="0" w:color="auto"/>
        <w:left w:val="none" w:sz="0" w:space="0" w:color="auto"/>
        <w:bottom w:val="none" w:sz="0" w:space="0" w:color="auto"/>
        <w:right w:val="none" w:sz="0" w:space="0" w:color="auto"/>
      </w:divBdr>
    </w:div>
    <w:div w:id="1266840889">
      <w:bodyDiv w:val="1"/>
      <w:marLeft w:val="0"/>
      <w:marRight w:val="0"/>
      <w:marTop w:val="0"/>
      <w:marBottom w:val="0"/>
      <w:divBdr>
        <w:top w:val="none" w:sz="0" w:space="0" w:color="auto"/>
        <w:left w:val="none" w:sz="0" w:space="0" w:color="auto"/>
        <w:bottom w:val="none" w:sz="0" w:space="0" w:color="auto"/>
        <w:right w:val="none" w:sz="0" w:space="0" w:color="auto"/>
      </w:divBdr>
      <w:divsChild>
        <w:div w:id="1243299870">
          <w:marLeft w:val="0"/>
          <w:marRight w:val="0"/>
          <w:marTop w:val="0"/>
          <w:marBottom w:val="0"/>
          <w:divBdr>
            <w:top w:val="none" w:sz="0" w:space="0" w:color="auto"/>
            <w:left w:val="none" w:sz="0" w:space="0" w:color="auto"/>
            <w:bottom w:val="none" w:sz="0" w:space="0" w:color="auto"/>
            <w:right w:val="none" w:sz="0" w:space="0" w:color="auto"/>
          </w:divBdr>
        </w:div>
      </w:divsChild>
    </w:div>
    <w:div w:id="1278097304">
      <w:bodyDiv w:val="1"/>
      <w:marLeft w:val="0"/>
      <w:marRight w:val="0"/>
      <w:marTop w:val="0"/>
      <w:marBottom w:val="0"/>
      <w:divBdr>
        <w:top w:val="none" w:sz="0" w:space="0" w:color="auto"/>
        <w:left w:val="none" w:sz="0" w:space="0" w:color="auto"/>
        <w:bottom w:val="none" w:sz="0" w:space="0" w:color="auto"/>
        <w:right w:val="none" w:sz="0" w:space="0" w:color="auto"/>
      </w:divBdr>
    </w:div>
    <w:div w:id="1381368925">
      <w:bodyDiv w:val="1"/>
      <w:marLeft w:val="0"/>
      <w:marRight w:val="0"/>
      <w:marTop w:val="0"/>
      <w:marBottom w:val="0"/>
      <w:divBdr>
        <w:top w:val="none" w:sz="0" w:space="0" w:color="auto"/>
        <w:left w:val="none" w:sz="0" w:space="0" w:color="auto"/>
        <w:bottom w:val="none" w:sz="0" w:space="0" w:color="auto"/>
        <w:right w:val="none" w:sz="0" w:space="0" w:color="auto"/>
      </w:divBdr>
      <w:divsChild>
        <w:div w:id="1526477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cid:image005.png@01DA0E68.C024DD4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Stevenson, Christopher</dc:creator>
  <cp:keywords/>
  <dc:description/>
  <cp:lastModifiedBy>Christoph Böttner</cp:lastModifiedBy>
  <cp:revision>4</cp:revision>
  <dcterms:created xsi:type="dcterms:W3CDTF">2023-12-01T08:11:00Z</dcterms:created>
  <dcterms:modified xsi:type="dcterms:W3CDTF">2023-12-01T08:57:00Z</dcterms:modified>
</cp:coreProperties>
</file>