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57BF8" w14:textId="03A64315" w:rsidR="004B35A6" w:rsidRDefault="000F7841">
      <w:pPr>
        <w:spacing w:line="276" w:lineRule="auto"/>
        <w:rPr>
          <w:b/>
          <w:bCs/>
          <w:sz w:val="36"/>
          <w:szCs w:val="36"/>
        </w:rPr>
      </w:pPr>
      <w:r>
        <w:rPr>
          <w:b/>
          <w:bCs/>
          <w:sz w:val="36"/>
          <w:szCs w:val="36"/>
        </w:rPr>
        <w:t>Supplementary Information</w:t>
      </w:r>
    </w:p>
    <w:p w14:paraId="645AC9DB" w14:textId="77777777" w:rsidR="004B35A6" w:rsidRDefault="004B35A6">
      <w:pPr>
        <w:spacing w:line="276" w:lineRule="auto"/>
      </w:pPr>
    </w:p>
    <w:sdt>
      <w:sdtPr>
        <w:rPr>
          <w:rFonts w:asciiTheme="minorHAnsi" w:eastAsiaTheme="minorHAnsi" w:hAnsiTheme="minorHAnsi" w:cstheme="minorBidi"/>
          <w:b w:val="0"/>
          <w:bCs w:val="0"/>
          <w:color w:val="auto"/>
          <w:sz w:val="24"/>
          <w:szCs w:val="24"/>
        </w:rPr>
        <w:id w:val="1755085373"/>
        <w:docPartObj>
          <w:docPartGallery w:val="Table of Contents"/>
          <w:docPartUnique/>
        </w:docPartObj>
      </w:sdtPr>
      <w:sdtEndPr>
        <w:rPr>
          <w:noProof/>
        </w:rPr>
      </w:sdtEndPr>
      <w:sdtContent>
        <w:p w14:paraId="1147E6B9" w14:textId="1A8325D0" w:rsidR="00317EE8" w:rsidRDefault="00317EE8">
          <w:pPr>
            <w:pStyle w:val="TOCHeading"/>
          </w:pPr>
          <w:r>
            <w:t>Table of Contents</w:t>
          </w:r>
        </w:p>
        <w:p w14:paraId="1F208DC3" w14:textId="0FC593EE" w:rsidR="00DD4DCD" w:rsidRDefault="00317EE8">
          <w:pPr>
            <w:pStyle w:val="TOC1"/>
            <w:tabs>
              <w:tab w:val="right" w:leader="dot" w:pos="9350"/>
            </w:tabs>
            <w:rPr>
              <w:rFonts w:eastAsiaTheme="minorEastAsia" w:cstheme="minorBidi"/>
              <w:b w:val="0"/>
              <w:bCs w:val="0"/>
              <w:caps w:val="0"/>
              <w:noProof/>
              <w:kern w:val="2"/>
              <w:sz w:val="24"/>
              <w:szCs w:val="24"/>
              <w:u w:val="none"/>
              <w14:ligatures w14:val="standardContextual"/>
            </w:rPr>
          </w:pPr>
          <w:r>
            <w:rPr>
              <w:b w:val="0"/>
              <w:bCs w:val="0"/>
            </w:rPr>
            <w:fldChar w:fldCharType="begin"/>
          </w:r>
          <w:r>
            <w:instrText xml:space="preserve"> TOC \o "1-3" \h \z \u </w:instrText>
          </w:r>
          <w:r>
            <w:rPr>
              <w:b w:val="0"/>
              <w:bCs w:val="0"/>
            </w:rPr>
            <w:fldChar w:fldCharType="separate"/>
          </w:r>
          <w:hyperlink w:anchor="_Toc152315414" w:history="1">
            <w:r w:rsidR="00DD4DCD" w:rsidRPr="00A14C6F">
              <w:rPr>
                <w:rStyle w:val="Hyperlink"/>
                <w:noProof/>
              </w:rPr>
              <w:t>Supplementary Table 1 | Atopic dermatitis demographic and clinical characteristics of the patient population at baseline</w:t>
            </w:r>
            <w:r w:rsidR="00DD4DCD">
              <w:rPr>
                <w:noProof/>
                <w:webHidden/>
              </w:rPr>
              <w:tab/>
            </w:r>
            <w:r w:rsidR="00DD4DCD">
              <w:rPr>
                <w:noProof/>
                <w:webHidden/>
              </w:rPr>
              <w:fldChar w:fldCharType="begin"/>
            </w:r>
            <w:r w:rsidR="00DD4DCD">
              <w:rPr>
                <w:noProof/>
                <w:webHidden/>
              </w:rPr>
              <w:instrText xml:space="preserve"> PAGEREF _Toc152315414 \h </w:instrText>
            </w:r>
            <w:r w:rsidR="00DD4DCD">
              <w:rPr>
                <w:noProof/>
                <w:webHidden/>
              </w:rPr>
            </w:r>
            <w:r w:rsidR="00DD4DCD">
              <w:rPr>
                <w:noProof/>
                <w:webHidden/>
              </w:rPr>
              <w:fldChar w:fldCharType="separate"/>
            </w:r>
            <w:r w:rsidR="00DD4DCD">
              <w:rPr>
                <w:noProof/>
                <w:webHidden/>
              </w:rPr>
              <w:t>2</w:t>
            </w:r>
            <w:r w:rsidR="00DD4DCD">
              <w:rPr>
                <w:noProof/>
                <w:webHidden/>
              </w:rPr>
              <w:fldChar w:fldCharType="end"/>
            </w:r>
          </w:hyperlink>
        </w:p>
        <w:p w14:paraId="3EEB4383" w14:textId="33C1C97E" w:rsidR="00DD4DCD" w:rsidRDefault="00DD4DCD">
          <w:pPr>
            <w:pStyle w:val="TOC1"/>
            <w:tabs>
              <w:tab w:val="right" w:leader="dot" w:pos="9350"/>
            </w:tabs>
            <w:rPr>
              <w:rFonts w:eastAsiaTheme="minorEastAsia" w:cstheme="minorBidi"/>
              <w:b w:val="0"/>
              <w:bCs w:val="0"/>
              <w:caps w:val="0"/>
              <w:noProof/>
              <w:kern w:val="2"/>
              <w:sz w:val="24"/>
              <w:szCs w:val="24"/>
              <w:u w:val="none"/>
              <w14:ligatures w14:val="standardContextual"/>
            </w:rPr>
          </w:pPr>
          <w:hyperlink w:anchor="_Toc152315415" w:history="1">
            <w:r w:rsidRPr="00A14C6F">
              <w:rPr>
                <w:rStyle w:val="Hyperlink"/>
                <w:noProof/>
              </w:rPr>
              <w:t>Supplementary Table 2 | Efficacy durability in REZPEG 24 μg/kg cohort</w:t>
            </w:r>
            <w:r>
              <w:rPr>
                <w:noProof/>
                <w:webHidden/>
              </w:rPr>
              <w:tab/>
            </w:r>
            <w:r>
              <w:rPr>
                <w:noProof/>
                <w:webHidden/>
              </w:rPr>
              <w:fldChar w:fldCharType="begin"/>
            </w:r>
            <w:r>
              <w:rPr>
                <w:noProof/>
                <w:webHidden/>
              </w:rPr>
              <w:instrText xml:space="preserve"> PAGEREF _Toc152315415 \h </w:instrText>
            </w:r>
            <w:r>
              <w:rPr>
                <w:noProof/>
                <w:webHidden/>
              </w:rPr>
            </w:r>
            <w:r>
              <w:rPr>
                <w:noProof/>
                <w:webHidden/>
              </w:rPr>
              <w:fldChar w:fldCharType="separate"/>
            </w:r>
            <w:r>
              <w:rPr>
                <w:noProof/>
                <w:webHidden/>
              </w:rPr>
              <w:t>3</w:t>
            </w:r>
            <w:r>
              <w:rPr>
                <w:noProof/>
                <w:webHidden/>
              </w:rPr>
              <w:fldChar w:fldCharType="end"/>
            </w:r>
          </w:hyperlink>
        </w:p>
        <w:p w14:paraId="6289D1FA" w14:textId="611720F1" w:rsidR="00DD4DCD" w:rsidRDefault="00DD4DCD">
          <w:pPr>
            <w:pStyle w:val="TOC1"/>
            <w:tabs>
              <w:tab w:val="right" w:leader="dot" w:pos="9350"/>
            </w:tabs>
            <w:rPr>
              <w:rFonts w:eastAsiaTheme="minorEastAsia" w:cstheme="minorBidi"/>
              <w:b w:val="0"/>
              <w:bCs w:val="0"/>
              <w:caps w:val="0"/>
              <w:noProof/>
              <w:kern w:val="2"/>
              <w:sz w:val="24"/>
              <w:szCs w:val="24"/>
              <w:u w:val="none"/>
              <w14:ligatures w14:val="standardContextual"/>
            </w:rPr>
          </w:pPr>
          <w:hyperlink w:anchor="_Toc152315416" w:history="1">
            <w:r w:rsidRPr="00A14C6F">
              <w:rPr>
                <w:rStyle w:val="Hyperlink"/>
                <w:noProof/>
              </w:rPr>
              <w:t>Supplementary Table 3 | Rescue medications for the indication of Atopic Dermatitis</w:t>
            </w:r>
            <w:r>
              <w:rPr>
                <w:noProof/>
                <w:webHidden/>
              </w:rPr>
              <w:tab/>
            </w:r>
            <w:r>
              <w:rPr>
                <w:noProof/>
                <w:webHidden/>
              </w:rPr>
              <w:fldChar w:fldCharType="begin"/>
            </w:r>
            <w:r>
              <w:rPr>
                <w:noProof/>
                <w:webHidden/>
              </w:rPr>
              <w:instrText xml:space="preserve"> PAGEREF _Toc152315416 \h </w:instrText>
            </w:r>
            <w:r>
              <w:rPr>
                <w:noProof/>
                <w:webHidden/>
              </w:rPr>
            </w:r>
            <w:r>
              <w:rPr>
                <w:noProof/>
                <w:webHidden/>
              </w:rPr>
              <w:fldChar w:fldCharType="separate"/>
            </w:r>
            <w:r>
              <w:rPr>
                <w:noProof/>
                <w:webHidden/>
              </w:rPr>
              <w:t>3</w:t>
            </w:r>
            <w:r>
              <w:rPr>
                <w:noProof/>
                <w:webHidden/>
              </w:rPr>
              <w:fldChar w:fldCharType="end"/>
            </w:r>
          </w:hyperlink>
        </w:p>
        <w:p w14:paraId="5C495868" w14:textId="260F7069" w:rsidR="00DD4DCD" w:rsidRDefault="00DD4DCD">
          <w:pPr>
            <w:pStyle w:val="TOC1"/>
            <w:tabs>
              <w:tab w:val="right" w:leader="dot" w:pos="9350"/>
            </w:tabs>
            <w:rPr>
              <w:rFonts w:eastAsiaTheme="minorEastAsia" w:cstheme="minorBidi"/>
              <w:b w:val="0"/>
              <w:bCs w:val="0"/>
              <w:caps w:val="0"/>
              <w:noProof/>
              <w:kern w:val="2"/>
              <w:sz w:val="24"/>
              <w:szCs w:val="24"/>
              <w:u w:val="none"/>
              <w14:ligatures w14:val="standardContextual"/>
            </w:rPr>
          </w:pPr>
          <w:hyperlink w:anchor="_Toc152315417" w:history="1">
            <w:r w:rsidRPr="00A14C6F">
              <w:rPr>
                <w:rStyle w:val="Hyperlink"/>
                <w:noProof/>
              </w:rPr>
              <w:t>Supplementary Table 4 | Psoriasis patient numbers at continuous endpoints</w:t>
            </w:r>
            <w:r>
              <w:rPr>
                <w:noProof/>
                <w:webHidden/>
              </w:rPr>
              <w:tab/>
            </w:r>
            <w:r>
              <w:rPr>
                <w:noProof/>
                <w:webHidden/>
              </w:rPr>
              <w:fldChar w:fldCharType="begin"/>
            </w:r>
            <w:r>
              <w:rPr>
                <w:noProof/>
                <w:webHidden/>
              </w:rPr>
              <w:instrText xml:space="preserve"> PAGEREF _Toc152315417 \h </w:instrText>
            </w:r>
            <w:r>
              <w:rPr>
                <w:noProof/>
                <w:webHidden/>
              </w:rPr>
            </w:r>
            <w:r>
              <w:rPr>
                <w:noProof/>
                <w:webHidden/>
              </w:rPr>
              <w:fldChar w:fldCharType="separate"/>
            </w:r>
            <w:r>
              <w:rPr>
                <w:noProof/>
                <w:webHidden/>
              </w:rPr>
              <w:t>3</w:t>
            </w:r>
            <w:r>
              <w:rPr>
                <w:noProof/>
                <w:webHidden/>
              </w:rPr>
              <w:fldChar w:fldCharType="end"/>
            </w:r>
          </w:hyperlink>
        </w:p>
        <w:p w14:paraId="04D17FE7" w14:textId="13C1A0C2" w:rsidR="00DD4DCD" w:rsidRDefault="00DD4DCD">
          <w:pPr>
            <w:pStyle w:val="TOC1"/>
            <w:tabs>
              <w:tab w:val="right" w:leader="dot" w:pos="9350"/>
            </w:tabs>
            <w:rPr>
              <w:rFonts w:eastAsiaTheme="minorEastAsia" w:cstheme="minorBidi"/>
              <w:b w:val="0"/>
              <w:bCs w:val="0"/>
              <w:caps w:val="0"/>
              <w:noProof/>
              <w:kern w:val="2"/>
              <w:sz w:val="24"/>
              <w:szCs w:val="24"/>
              <w:u w:val="none"/>
              <w14:ligatures w14:val="standardContextual"/>
            </w:rPr>
          </w:pPr>
          <w:hyperlink w:anchor="_Toc152315418" w:history="1">
            <w:r w:rsidRPr="00A14C6F">
              <w:rPr>
                <w:rStyle w:val="Hyperlink"/>
                <w:noProof/>
              </w:rPr>
              <w:t>Supplementary Table 5 | Atopic dermatitis patient numbers at continuous endpoints</w:t>
            </w:r>
            <w:r>
              <w:rPr>
                <w:noProof/>
                <w:webHidden/>
              </w:rPr>
              <w:tab/>
            </w:r>
            <w:r>
              <w:rPr>
                <w:noProof/>
                <w:webHidden/>
              </w:rPr>
              <w:fldChar w:fldCharType="begin"/>
            </w:r>
            <w:r>
              <w:rPr>
                <w:noProof/>
                <w:webHidden/>
              </w:rPr>
              <w:instrText xml:space="preserve"> PAGEREF _Toc152315418 \h </w:instrText>
            </w:r>
            <w:r>
              <w:rPr>
                <w:noProof/>
                <w:webHidden/>
              </w:rPr>
            </w:r>
            <w:r>
              <w:rPr>
                <w:noProof/>
                <w:webHidden/>
              </w:rPr>
              <w:fldChar w:fldCharType="separate"/>
            </w:r>
            <w:r>
              <w:rPr>
                <w:noProof/>
                <w:webHidden/>
              </w:rPr>
              <w:t>4</w:t>
            </w:r>
            <w:r>
              <w:rPr>
                <w:noProof/>
                <w:webHidden/>
              </w:rPr>
              <w:fldChar w:fldCharType="end"/>
            </w:r>
          </w:hyperlink>
        </w:p>
        <w:p w14:paraId="74246687" w14:textId="6C1EE18E" w:rsidR="00DD4DCD" w:rsidRDefault="00DD4DCD">
          <w:pPr>
            <w:pStyle w:val="TOC1"/>
            <w:tabs>
              <w:tab w:val="right" w:leader="dot" w:pos="9350"/>
            </w:tabs>
            <w:rPr>
              <w:rFonts w:eastAsiaTheme="minorEastAsia" w:cstheme="minorBidi"/>
              <w:b w:val="0"/>
              <w:bCs w:val="0"/>
              <w:caps w:val="0"/>
              <w:noProof/>
              <w:kern w:val="2"/>
              <w:sz w:val="24"/>
              <w:szCs w:val="24"/>
              <w:u w:val="none"/>
              <w14:ligatures w14:val="standardContextual"/>
            </w:rPr>
          </w:pPr>
          <w:hyperlink w:anchor="_Toc152315419" w:history="1">
            <w:r w:rsidRPr="00A14C6F">
              <w:rPr>
                <w:rStyle w:val="Hyperlink"/>
                <w:noProof/>
              </w:rPr>
              <w:t>Supplementary Table 6 | Table of statistically significant and list of non-significant serum proteomic biomarkers</w:t>
            </w:r>
            <w:r>
              <w:rPr>
                <w:noProof/>
                <w:webHidden/>
              </w:rPr>
              <w:tab/>
            </w:r>
            <w:r>
              <w:rPr>
                <w:noProof/>
                <w:webHidden/>
              </w:rPr>
              <w:fldChar w:fldCharType="begin"/>
            </w:r>
            <w:r>
              <w:rPr>
                <w:noProof/>
                <w:webHidden/>
              </w:rPr>
              <w:instrText xml:space="preserve"> PAGEREF _Toc152315419 \h </w:instrText>
            </w:r>
            <w:r>
              <w:rPr>
                <w:noProof/>
                <w:webHidden/>
              </w:rPr>
            </w:r>
            <w:r>
              <w:rPr>
                <w:noProof/>
                <w:webHidden/>
              </w:rPr>
              <w:fldChar w:fldCharType="separate"/>
            </w:r>
            <w:r>
              <w:rPr>
                <w:noProof/>
                <w:webHidden/>
              </w:rPr>
              <w:t>5</w:t>
            </w:r>
            <w:r>
              <w:rPr>
                <w:noProof/>
                <w:webHidden/>
              </w:rPr>
              <w:fldChar w:fldCharType="end"/>
            </w:r>
          </w:hyperlink>
        </w:p>
        <w:p w14:paraId="337E504A" w14:textId="16581D41" w:rsidR="00DD4DCD" w:rsidRDefault="00DD4DCD">
          <w:pPr>
            <w:pStyle w:val="TOC1"/>
            <w:tabs>
              <w:tab w:val="right" w:leader="dot" w:pos="9350"/>
            </w:tabs>
            <w:rPr>
              <w:rFonts w:eastAsiaTheme="minorEastAsia" w:cstheme="minorBidi"/>
              <w:b w:val="0"/>
              <w:bCs w:val="0"/>
              <w:caps w:val="0"/>
              <w:noProof/>
              <w:kern w:val="2"/>
              <w:sz w:val="24"/>
              <w:szCs w:val="24"/>
              <w:u w:val="none"/>
              <w14:ligatures w14:val="standardContextual"/>
            </w:rPr>
          </w:pPr>
          <w:hyperlink w:anchor="_Toc152315420" w:history="1">
            <w:r w:rsidRPr="00A14C6F">
              <w:rPr>
                <w:rStyle w:val="Hyperlink"/>
                <w:noProof/>
              </w:rPr>
              <w:t>Supplementary Table 7 | Table of statistically significant REZPEG-modulated proteins grouped by pathway</w:t>
            </w:r>
            <w:r>
              <w:rPr>
                <w:noProof/>
                <w:webHidden/>
              </w:rPr>
              <w:tab/>
            </w:r>
            <w:r>
              <w:rPr>
                <w:noProof/>
                <w:webHidden/>
              </w:rPr>
              <w:fldChar w:fldCharType="begin"/>
            </w:r>
            <w:r>
              <w:rPr>
                <w:noProof/>
                <w:webHidden/>
              </w:rPr>
              <w:instrText xml:space="preserve"> PAGEREF _Toc152315420 \h </w:instrText>
            </w:r>
            <w:r>
              <w:rPr>
                <w:noProof/>
                <w:webHidden/>
              </w:rPr>
            </w:r>
            <w:r>
              <w:rPr>
                <w:noProof/>
                <w:webHidden/>
              </w:rPr>
              <w:fldChar w:fldCharType="separate"/>
            </w:r>
            <w:r>
              <w:rPr>
                <w:noProof/>
                <w:webHidden/>
              </w:rPr>
              <w:t>8</w:t>
            </w:r>
            <w:r>
              <w:rPr>
                <w:noProof/>
                <w:webHidden/>
              </w:rPr>
              <w:fldChar w:fldCharType="end"/>
            </w:r>
          </w:hyperlink>
        </w:p>
        <w:p w14:paraId="0FDAFB7B" w14:textId="4F527E9E" w:rsidR="00DD4DCD" w:rsidRDefault="00DD4DCD">
          <w:pPr>
            <w:pStyle w:val="TOC1"/>
            <w:tabs>
              <w:tab w:val="right" w:leader="dot" w:pos="9350"/>
            </w:tabs>
            <w:rPr>
              <w:rFonts w:eastAsiaTheme="minorEastAsia" w:cstheme="minorBidi"/>
              <w:b w:val="0"/>
              <w:bCs w:val="0"/>
              <w:caps w:val="0"/>
              <w:noProof/>
              <w:kern w:val="2"/>
              <w:sz w:val="24"/>
              <w:szCs w:val="24"/>
              <w:u w:val="none"/>
              <w14:ligatures w14:val="standardContextual"/>
            </w:rPr>
          </w:pPr>
          <w:hyperlink w:anchor="_Toc152315421" w:history="1">
            <w:r w:rsidRPr="00A14C6F">
              <w:rPr>
                <w:rStyle w:val="Hyperlink"/>
                <w:noProof/>
              </w:rPr>
              <w:t>List of Investigators – Psoriasis</w:t>
            </w:r>
            <w:r>
              <w:rPr>
                <w:noProof/>
                <w:webHidden/>
              </w:rPr>
              <w:tab/>
            </w:r>
            <w:r>
              <w:rPr>
                <w:noProof/>
                <w:webHidden/>
              </w:rPr>
              <w:fldChar w:fldCharType="begin"/>
            </w:r>
            <w:r>
              <w:rPr>
                <w:noProof/>
                <w:webHidden/>
              </w:rPr>
              <w:instrText xml:space="preserve"> PAGEREF _Toc152315421 \h </w:instrText>
            </w:r>
            <w:r>
              <w:rPr>
                <w:noProof/>
                <w:webHidden/>
              </w:rPr>
            </w:r>
            <w:r>
              <w:rPr>
                <w:noProof/>
                <w:webHidden/>
              </w:rPr>
              <w:fldChar w:fldCharType="separate"/>
            </w:r>
            <w:r>
              <w:rPr>
                <w:noProof/>
                <w:webHidden/>
              </w:rPr>
              <w:t>9</w:t>
            </w:r>
            <w:r>
              <w:rPr>
                <w:noProof/>
                <w:webHidden/>
              </w:rPr>
              <w:fldChar w:fldCharType="end"/>
            </w:r>
          </w:hyperlink>
        </w:p>
        <w:p w14:paraId="5EEE53EE" w14:textId="5102CB14" w:rsidR="00DD4DCD" w:rsidRDefault="00DD4DCD">
          <w:pPr>
            <w:pStyle w:val="TOC1"/>
            <w:tabs>
              <w:tab w:val="right" w:leader="dot" w:pos="9350"/>
            </w:tabs>
            <w:rPr>
              <w:rFonts w:eastAsiaTheme="minorEastAsia" w:cstheme="minorBidi"/>
              <w:b w:val="0"/>
              <w:bCs w:val="0"/>
              <w:caps w:val="0"/>
              <w:noProof/>
              <w:kern w:val="2"/>
              <w:sz w:val="24"/>
              <w:szCs w:val="24"/>
              <w:u w:val="none"/>
              <w14:ligatures w14:val="standardContextual"/>
            </w:rPr>
          </w:pPr>
          <w:hyperlink w:anchor="_Toc152315422" w:history="1">
            <w:r w:rsidRPr="00A14C6F">
              <w:rPr>
                <w:rStyle w:val="Hyperlink"/>
                <w:noProof/>
              </w:rPr>
              <w:t>List of Investigators – Atopic Dermatitis</w:t>
            </w:r>
            <w:r>
              <w:rPr>
                <w:noProof/>
                <w:webHidden/>
              </w:rPr>
              <w:tab/>
            </w:r>
            <w:r>
              <w:rPr>
                <w:noProof/>
                <w:webHidden/>
              </w:rPr>
              <w:fldChar w:fldCharType="begin"/>
            </w:r>
            <w:r>
              <w:rPr>
                <w:noProof/>
                <w:webHidden/>
              </w:rPr>
              <w:instrText xml:space="preserve"> PAGEREF _Toc152315422 \h </w:instrText>
            </w:r>
            <w:r>
              <w:rPr>
                <w:noProof/>
                <w:webHidden/>
              </w:rPr>
            </w:r>
            <w:r>
              <w:rPr>
                <w:noProof/>
                <w:webHidden/>
              </w:rPr>
              <w:fldChar w:fldCharType="separate"/>
            </w:r>
            <w:r>
              <w:rPr>
                <w:noProof/>
                <w:webHidden/>
              </w:rPr>
              <w:t>9</w:t>
            </w:r>
            <w:r>
              <w:rPr>
                <w:noProof/>
                <w:webHidden/>
              </w:rPr>
              <w:fldChar w:fldCharType="end"/>
            </w:r>
          </w:hyperlink>
        </w:p>
        <w:p w14:paraId="7816BEC7" w14:textId="770665A9" w:rsidR="00DD4DCD" w:rsidRDefault="00DD4DCD">
          <w:pPr>
            <w:pStyle w:val="TOC1"/>
            <w:tabs>
              <w:tab w:val="right" w:leader="dot" w:pos="9350"/>
            </w:tabs>
            <w:rPr>
              <w:rFonts w:eastAsiaTheme="minorEastAsia" w:cstheme="minorBidi"/>
              <w:b w:val="0"/>
              <w:bCs w:val="0"/>
              <w:caps w:val="0"/>
              <w:noProof/>
              <w:kern w:val="2"/>
              <w:sz w:val="24"/>
              <w:szCs w:val="24"/>
              <w:u w:val="none"/>
              <w14:ligatures w14:val="standardContextual"/>
            </w:rPr>
          </w:pPr>
          <w:hyperlink w:anchor="_Toc152315423" w:history="1">
            <w:r w:rsidRPr="00A14C6F">
              <w:rPr>
                <w:rStyle w:val="Hyperlink"/>
                <w:noProof/>
              </w:rPr>
              <w:t>Supplementary Methods</w:t>
            </w:r>
            <w:r>
              <w:rPr>
                <w:noProof/>
                <w:webHidden/>
              </w:rPr>
              <w:tab/>
            </w:r>
            <w:r>
              <w:rPr>
                <w:noProof/>
                <w:webHidden/>
              </w:rPr>
              <w:fldChar w:fldCharType="begin"/>
            </w:r>
            <w:r>
              <w:rPr>
                <w:noProof/>
                <w:webHidden/>
              </w:rPr>
              <w:instrText xml:space="preserve"> PAGEREF _Toc152315423 \h </w:instrText>
            </w:r>
            <w:r>
              <w:rPr>
                <w:noProof/>
                <w:webHidden/>
              </w:rPr>
            </w:r>
            <w:r>
              <w:rPr>
                <w:noProof/>
                <w:webHidden/>
              </w:rPr>
              <w:fldChar w:fldCharType="separate"/>
            </w:r>
            <w:r>
              <w:rPr>
                <w:noProof/>
                <w:webHidden/>
              </w:rPr>
              <w:t>9</w:t>
            </w:r>
            <w:r>
              <w:rPr>
                <w:noProof/>
                <w:webHidden/>
              </w:rPr>
              <w:fldChar w:fldCharType="end"/>
            </w:r>
          </w:hyperlink>
        </w:p>
        <w:p w14:paraId="1BA1D906" w14:textId="2123E75C" w:rsidR="00DD4DCD" w:rsidRDefault="00DD4DCD">
          <w:pPr>
            <w:pStyle w:val="TOC2"/>
            <w:tabs>
              <w:tab w:val="right" w:leader="dot" w:pos="9350"/>
            </w:tabs>
            <w:rPr>
              <w:rFonts w:eastAsiaTheme="minorEastAsia" w:cstheme="minorBidi"/>
              <w:b w:val="0"/>
              <w:bCs w:val="0"/>
              <w:smallCaps w:val="0"/>
              <w:noProof/>
              <w:kern w:val="2"/>
              <w:sz w:val="24"/>
              <w:szCs w:val="24"/>
              <w14:ligatures w14:val="standardContextual"/>
            </w:rPr>
          </w:pPr>
          <w:hyperlink w:anchor="_Toc152315424" w:history="1">
            <w:r w:rsidRPr="00A14C6F">
              <w:rPr>
                <w:rStyle w:val="Hyperlink"/>
                <w:noProof/>
              </w:rPr>
              <w:t>AD full inclusion and exclusion criteria</w:t>
            </w:r>
            <w:r>
              <w:rPr>
                <w:noProof/>
                <w:webHidden/>
              </w:rPr>
              <w:tab/>
            </w:r>
            <w:r>
              <w:rPr>
                <w:noProof/>
                <w:webHidden/>
              </w:rPr>
              <w:fldChar w:fldCharType="begin"/>
            </w:r>
            <w:r>
              <w:rPr>
                <w:noProof/>
                <w:webHidden/>
              </w:rPr>
              <w:instrText xml:space="preserve"> PAGEREF _Toc152315424 \h </w:instrText>
            </w:r>
            <w:r>
              <w:rPr>
                <w:noProof/>
                <w:webHidden/>
              </w:rPr>
            </w:r>
            <w:r>
              <w:rPr>
                <w:noProof/>
                <w:webHidden/>
              </w:rPr>
              <w:fldChar w:fldCharType="separate"/>
            </w:r>
            <w:r>
              <w:rPr>
                <w:noProof/>
                <w:webHidden/>
              </w:rPr>
              <w:t>9</w:t>
            </w:r>
            <w:r>
              <w:rPr>
                <w:noProof/>
                <w:webHidden/>
              </w:rPr>
              <w:fldChar w:fldCharType="end"/>
            </w:r>
          </w:hyperlink>
        </w:p>
        <w:p w14:paraId="2B0F70E8" w14:textId="0C355036" w:rsidR="00DD4DCD" w:rsidRDefault="00DD4DCD">
          <w:pPr>
            <w:pStyle w:val="TOC1"/>
            <w:tabs>
              <w:tab w:val="right" w:leader="dot" w:pos="9350"/>
            </w:tabs>
            <w:rPr>
              <w:rFonts w:eastAsiaTheme="minorEastAsia" w:cstheme="minorBidi"/>
              <w:b w:val="0"/>
              <w:bCs w:val="0"/>
              <w:caps w:val="0"/>
              <w:noProof/>
              <w:kern w:val="2"/>
              <w:sz w:val="24"/>
              <w:szCs w:val="24"/>
              <w:u w:val="none"/>
              <w14:ligatures w14:val="standardContextual"/>
            </w:rPr>
          </w:pPr>
          <w:hyperlink w:anchor="_Toc152315425" w:history="1">
            <w:r w:rsidRPr="00A14C6F">
              <w:rPr>
                <w:rStyle w:val="Hyperlink"/>
                <w:noProof/>
              </w:rPr>
              <w:t>References</w:t>
            </w:r>
            <w:r>
              <w:rPr>
                <w:noProof/>
                <w:webHidden/>
              </w:rPr>
              <w:tab/>
            </w:r>
            <w:r>
              <w:rPr>
                <w:noProof/>
                <w:webHidden/>
              </w:rPr>
              <w:fldChar w:fldCharType="begin"/>
            </w:r>
            <w:r>
              <w:rPr>
                <w:noProof/>
                <w:webHidden/>
              </w:rPr>
              <w:instrText xml:space="preserve"> PAGEREF _Toc152315425 \h </w:instrText>
            </w:r>
            <w:r>
              <w:rPr>
                <w:noProof/>
                <w:webHidden/>
              </w:rPr>
            </w:r>
            <w:r>
              <w:rPr>
                <w:noProof/>
                <w:webHidden/>
              </w:rPr>
              <w:fldChar w:fldCharType="separate"/>
            </w:r>
            <w:r>
              <w:rPr>
                <w:noProof/>
                <w:webHidden/>
              </w:rPr>
              <w:t>14</w:t>
            </w:r>
            <w:r>
              <w:rPr>
                <w:noProof/>
                <w:webHidden/>
              </w:rPr>
              <w:fldChar w:fldCharType="end"/>
            </w:r>
          </w:hyperlink>
        </w:p>
        <w:p w14:paraId="0E6AF059" w14:textId="0A6B30D4" w:rsidR="00317EE8" w:rsidRDefault="00317EE8">
          <w:r>
            <w:rPr>
              <w:b/>
              <w:bCs/>
              <w:noProof/>
            </w:rPr>
            <w:fldChar w:fldCharType="end"/>
          </w:r>
        </w:p>
      </w:sdtContent>
    </w:sdt>
    <w:p w14:paraId="2BC4AF86" w14:textId="77777777" w:rsidR="004B35A6" w:rsidRDefault="004B35A6">
      <w:pPr>
        <w:spacing w:line="276" w:lineRule="auto"/>
      </w:pPr>
    </w:p>
    <w:p w14:paraId="1AFA9A9F" w14:textId="77777777" w:rsidR="004B35A6" w:rsidRDefault="004B35A6">
      <w:pPr>
        <w:spacing w:line="276" w:lineRule="auto"/>
      </w:pPr>
    </w:p>
    <w:p w14:paraId="3BC676A4" w14:textId="77777777" w:rsidR="004B35A6" w:rsidRDefault="004B35A6">
      <w:pPr>
        <w:spacing w:line="276" w:lineRule="auto"/>
      </w:pPr>
    </w:p>
    <w:p w14:paraId="7072F056" w14:textId="77777777" w:rsidR="004B35A6" w:rsidRDefault="004B35A6">
      <w:pPr>
        <w:spacing w:line="276" w:lineRule="auto"/>
      </w:pPr>
    </w:p>
    <w:p w14:paraId="65E5FEC8" w14:textId="77777777" w:rsidR="004B35A6" w:rsidRDefault="004B35A6">
      <w:pPr>
        <w:spacing w:line="276" w:lineRule="auto"/>
      </w:pPr>
    </w:p>
    <w:p w14:paraId="56F01ED6" w14:textId="77777777" w:rsidR="004B35A6" w:rsidRDefault="004B35A6">
      <w:pPr>
        <w:spacing w:line="276" w:lineRule="auto"/>
      </w:pPr>
    </w:p>
    <w:p w14:paraId="35B57C45" w14:textId="5356BAB9" w:rsidR="004B35A6" w:rsidRDefault="000F7841">
      <w:pPr>
        <w:pStyle w:val="Heading1"/>
      </w:pPr>
      <w:bookmarkStart w:id="0" w:name="_Toc152315414"/>
      <w:r>
        <w:lastRenderedPageBreak/>
        <w:t>Supplementary Table 1 | Atopic dermatitis demographic and clinical characteristics of the patient population at baseline</w:t>
      </w:r>
      <w:bookmarkEnd w:id="0"/>
    </w:p>
    <w:p w14:paraId="098C1355" w14:textId="77777777" w:rsidR="004B35A6" w:rsidRDefault="004B35A6">
      <w:pPr>
        <w:spacing w:line="276" w:lineRule="auto"/>
      </w:pPr>
    </w:p>
    <w:p w14:paraId="1D7B46D7" w14:textId="34A5EC94" w:rsidR="004B35A6" w:rsidRDefault="004B35A6">
      <w:pPr>
        <w:spacing w:line="276" w:lineRule="auto"/>
      </w:pPr>
    </w:p>
    <w:p w14:paraId="7A4F2F81" w14:textId="50CF941D" w:rsidR="004B35A6" w:rsidRDefault="00BF0CFD">
      <w:pPr>
        <w:spacing w:line="276" w:lineRule="auto"/>
      </w:pPr>
      <w:r w:rsidRPr="00BF0CFD">
        <w:rPr>
          <w:noProof/>
        </w:rPr>
        <w:drawing>
          <wp:inline distT="0" distB="0" distL="0" distR="0" wp14:anchorId="467208BB" wp14:editId="6AFE78C6">
            <wp:extent cx="5942419" cy="4471416"/>
            <wp:effectExtent l="0" t="0" r="1270" b="0"/>
            <wp:docPr id="1172948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948486" name=""/>
                    <pic:cNvPicPr/>
                  </pic:nvPicPr>
                  <pic:blipFill>
                    <a:blip r:embed="rId11"/>
                    <a:stretch>
                      <a:fillRect/>
                    </a:stretch>
                  </pic:blipFill>
                  <pic:spPr>
                    <a:xfrm>
                      <a:off x="0" y="0"/>
                      <a:ext cx="5942419" cy="4471416"/>
                    </a:xfrm>
                    <a:prstGeom prst="rect">
                      <a:avLst/>
                    </a:prstGeom>
                  </pic:spPr>
                </pic:pic>
              </a:graphicData>
            </a:graphic>
          </wp:inline>
        </w:drawing>
      </w:r>
    </w:p>
    <w:p w14:paraId="06A0E1D8" w14:textId="77777777" w:rsidR="004B35A6" w:rsidRDefault="004B35A6">
      <w:pPr>
        <w:pStyle w:val="Heading1"/>
      </w:pPr>
    </w:p>
    <w:p w14:paraId="3B986CF1" w14:textId="77777777" w:rsidR="004B35A6" w:rsidRDefault="000F7841">
      <w:pPr>
        <w:rPr>
          <w:rFonts w:asciiTheme="majorHAnsi" w:eastAsiaTheme="majorEastAsia" w:hAnsiTheme="majorHAnsi" w:cstheme="majorBidi"/>
          <w:color w:val="2F5496" w:themeColor="accent1" w:themeShade="BF"/>
          <w:sz w:val="32"/>
          <w:szCs w:val="32"/>
        </w:rPr>
      </w:pPr>
      <w:r>
        <w:br w:type="page"/>
      </w:r>
    </w:p>
    <w:p w14:paraId="5FD2C508" w14:textId="41602347" w:rsidR="004B35A6" w:rsidRDefault="000F7841">
      <w:pPr>
        <w:pStyle w:val="Heading1"/>
      </w:pPr>
      <w:bookmarkStart w:id="1" w:name="_Toc152315415"/>
      <w:r>
        <w:lastRenderedPageBreak/>
        <w:t xml:space="preserve">Supplementary Table 2 | Efficacy durability in </w:t>
      </w:r>
      <w:r w:rsidR="005F0811">
        <w:t>REZPEG</w:t>
      </w:r>
      <w:r>
        <w:t xml:space="preserve"> 24 </w:t>
      </w:r>
      <w:proofErr w:type="spellStart"/>
      <w:r>
        <w:t>μg</w:t>
      </w:r>
      <w:proofErr w:type="spellEnd"/>
      <w:r>
        <w:t>/kg cohort</w:t>
      </w:r>
      <w:bookmarkEnd w:id="1"/>
    </w:p>
    <w:p w14:paraId="7AF00562" w14:textId="77777777" w:rsidR="004B35A6" w:rsidRDefault="004B35A6"/>
    <w:p w14:paraId="5BC50E58" w14:textId="7E0A2B4B" w:rsidR="004B35A6" w:rsidRDefault="00E54FE4">
      <w:pPr>
        <w:spacing w:line="276" w:lineRule="auto"/>
      </w:pPr>
      <w:r w:rsidRPr="00E54FE4">
        <w:rPr>
          <w:noProof/>
        </w:rPr>
        <w:drawing>
          <wp:inline distT="0" distB="0" distL="0" distR="0" wp14:anchorId="672BD7F3" wp14:editId="3F6C2244">
            <wp:extent cx="4828032" cy="3310128"/>
            <wp:effectExtent l="0" t="0" r="0" b="5080"/>
            <wp:docPr id="20947981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798174" name=""/>
                    <pic:cNvPicPr/>
                  </pic:nvPicPr>
                  <pic:blipFill>
                    <a:blip r:embed="rId12"/>
                    <a:stretch>
                      <a:fillRect/>
                    </a:stretch>
                  </pic:blipFill>
                  <pic:spPr>
                    <a:xfrm>
                      <a:off x="0" y="0"/>
                      <a:ext cx="4828032" cy="3310128"/>
                    </a:xfrm>
                    <a:prstGeom prst="rect">
                      <a:avLst/>
                    </a:prstGeom>
                  </pic:spPr>
                </pic:pic>
              </a:graphicData>
            </a:graphic>
          </wp:inline>
        </w:drawing>
      </w:r>
    </w:p>
    <w:p w14:paraId="3BE90B60" w14:textId="77777777" w:rsidR="004B35A6" w:rsidRDefault="004B35A6">
      <w:pPr>
        <w:pStyle w:val="Heading1"/>
      </w:pPr>
    </w:p>
    <w:p w14:paraId="648C4B20" w14:textId="29CF381F" w:rsidR="004B35A6" w:rsidRDefault="000F7841">
      <w:pPr>
        <w:pStyle w:val="Heading1"/>
      </w:pPr>
      <w:bookmarkStart w:id="2" w:name="_Toc152315416"/>
      <w:r>
        <w:t>Supplementary Table 3 | Rescue medications for the indication of Atopic Dermatitis</w:t>
      </w:r>
      <w:bookmarkEnd w:id="2"/>
    </w:p>
    <w:p w14:paraId="1D699FA5" w14:textId="77777777" w:rsidR="004B35A6" w:rsidRDefault="004B35A6"/>
    <w:p w14:paraId="7584CA74" w14:textId="5334FAEB" w:rsidR="004B35A6" w:rsidRDefault="000024F7">
      <w:r w:rsidRPr="000024F7">
        <w:rPr>
          <w:noProof/>
        </w:rPr>
        <w:drawing>
          <wp:inline distT="0" distB="0" distL="0" distR="0" wp14:anchorId="328AFA70" wp14:editId="5DA7542C">
            <wp:extent cx="5943600" cy="1026160"/>
            <wp:effectExtent l="0" t="0" r="0" b="2540"/>
            <wp:docPr id="6718849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884954" name=""/>
                    <pic:cNvPicPr/>
                  </pic:nvPicPr>
                  <pic:blipFill>
                    <a:blip r:embed="rId13"/>
                    <a:stretch>
                      <a:fillRect/>
                    </a:stretch>
                  </pic:blipFill>
                  <pic:spPr>
                    <a:xfrm>
                      <a:off x="0" y="0"/>
                      <a:ext cx="5943600" cy="1026160"/>
                    </a:xfrm>
                    <a:prstGeom prst="rect">
                      <a:avLst/>
                    </a:prstGeom>
                  </pic:spPr>
                </pic:pic>
              </a:graphicData>
            </a:graphic>
          </wp:inline>
        </w:drawing>
      </w:r>
    </w:p>
    <w:p w14:paraId="1567F26E" w14:textId="77777777" w:rsidR="004B35A6" w:rsidRDefault="004B35A6">
      <w:pPr>
        <w:spacing w:line="276" w:lineRule="auto"/>
      </w:pPr>
    </w:p>
    <w:p w14:paraId="3C8E517B" w14:textId="77777777" w:rsidR="004B35A6" w:rsidRDefault="004B35A6">
      <w:pPr>
        <w:spacing w:line="276" w:lineRule="auto"/>
      </w:pPr>
    </w:p>
    <w:p w14:paraId="57BD44D8" w14:textId="3681D7CB" w:rsidR="004B35A6" w:rsidRDefault="000F7841">
      <w:pPr>
        <w:pStyle w:val="Heading1"/>
      </w:pPr>
      <w:bookmarkStart w:id="3" w:name="_Toc152315417"/>
      <w:r>
        <w:t>Supplementary Table 4 | Psoriasis patient numbers at continuous endpoints</w:t>
      </w:r>
      <w:bookmarkEnd w:id="3"/>
    </w:p>
    <w:p w14:paraId="07B171A3" w14:textId="77777777" w:rsidR="004B35A6" w:rsidRDefault="004B35A6">
      <w:pPr>
        <w:spacing w:line="276" w:lineRule="auto"/>
      </w:pPr>
    </w:p>
    <w:p w14:paraId="30042A81" w14:textId="7DD459AE" w:rsidR="004B35A6" w:rsidRDefault="00DC543C">
      <w:pPr>
        <w:spacing w:line="276" w:lineRule="auto"/>
      </w:pPr>
      <w:r w:rsidRPr="00DC543C">
        <w:rPr>
          <w:noProof/>
        </w:rPr>
        <w:drawing>
          <wp:inline distT="0" distB="0" distL="0" distR="0" wp14:anchorId="56816D6F" wp14:editId="7C221030">
            <wp:extent cx="3867912" cy="530352"/>
            <wp:effectExtent l="0" t="0" r="0" b="3175"/>
            <wp:docPr id="17424496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449617" name=""/>
                    <pic:cNvPicPr/>
                  </pic:nvPicPr>
                  <pic:blipFill>
                    <a:blip r:embed="rId14"/>
                    <a:stretch>
                      <a:fillRect/>
                    </a:stretch>
                  </pic:blipFill>
                  <pic:spPr>
                    <a:xfrm>
                      <a:off x="0" y="0"/>
                      <a:ext cx="3867912" cy="530352"/>
                    </a:xfrm>
                    <a:prstGeom prst="rect">
                      <a:avLst/>
                    </a:prstGeom>
                  </pic:spPr>
                </pic:pic>
              </a:graphicData>
            </a:graphic>
          </wp:inline>
        </w:drawing>
      </w:r>
    </w:p>
    <w:p w14:paraId="570581AD" w14:textId="77777777" w:rsidR="004B35A6" w:rsidRDefault="004B35A6">
      <w:pPr>
        <w:spacing w:line="276" w:lineRule="auto"/>
      </w:pPr>
    </w:p>
    <w:p w14:paraId="1471FE6E" w14:textId="13B9890D" w:rsidR="004B35A6" w:rsidRDefault="000F7841">
      <w:pPr>
        <w:pStyle w:val="Heading1"/>
      </w:pPr>
      <w:bookmarkStart w:id="4" w:name="_Toc152315418"/>
      <w:r>
        <w:lastRenderedPageBreak/>
        <w:t>Supplementary Table 5 | Atopic dermatitis patient numbers at continuous endpoints</w:t>
      </w:r>
      <w:bookmarkEnd w:id="4"/>
    </w:p>
    <w:p w14:paraId="4EFE7F99" w14:textId="77777777" w:rsidR="004B35A6" w:rsidRDefault="004B35A6">
      <w:pPr>
        <w:spacing w:line="276" w:lineRule="auto"/>
      </w:pPr>
    </w:p>
    <w:p w14:paraId="4FAA58C0" w14:textId="31164DFE" w:rsidR="004B35A6" w:rsidRDefault="005F0811">
      <w:pPr>
        <w:spacing w:line="276" w:lineRule="auto"/>
      </w:pPr>
      <w:r w:rsidRPr="005F0811">
        <w:rPr>
          <w:noProof/>
        </w:rPr>
        <w:drawing>
          <wp:inline distT="0" distB="0" distL="0" distR="0" wp14:anchorId="3FBAE8E2" wp14:editId="1F5ADECD">
            <wp:extent cx="5985164" cy="640080"/>
            <wp:effectExtent l="0" t="0" r="0" b="0"/>
            <wp:docPr id="14847854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785407" name=""/>
                    <pic:cNvPicPr/>
                  </pic:nvPicPr>
                  <pic:blipFill>
                    <a:blip r:embed="rId15"/>
                    <a:stretch>
                      <a:fillRect/>
                    </a:stretch>
                  </pic:blipFill>
                  <pic:spPr>
                    <a:xfrm>
                      <a:off x="0" y="0"/>
                      <a:ext cx="5985164" cy="640080"/>
                    </a:xfrm>
                    <a:prstGeom prst="rect">
                      <a:avLst/>
                    </a:prstGeom>
                  </pic:spPr>
                </pic:pic>
              </a:graphicData>
            </a:graphic>
          </wp:inline>
        </w:drawing>
      </w:r>
    </w:p>
    <w:p w14:paraId="1E28F251" w14:textId="77777777" w:rsidR="004B35A6" w:rsidRDefault="004B35A6">
      <w:pPr>
        <w:spacing w:line="276" w:lineRule="auto"/>
      </w:pPr>
    </w:p>
    <w:p w14:paraId="1CA1196B" w14:textId="77777777" w:rsidR="004B35A6" w:rsidRDefault="004B35A6">
      <w:pPr>
        <w:spacing w:line="276" w:lineRule="auto"/>
      </w:pPr>
    </w:p>
    <w:p w14:paraId="15009188" w14:textId="77777777" w:rsidR="004B35A6" w:rsidRDefault="004B35A6">
      <w:pPr>
        <w:spacing w:line="276" w:lineRule="auto"/>
      </w:pPr>
    </w:p>
    <w:p w14:paraId="7795822A" w14:textId="77777777" w:rsidR="004B35A6" w:rsidRDefault="004B35A6">
      <w:pPr>
        <w:spacing w:line="276" w:lineRule="auto"/>
      </w:pPr>
    </w:p>
    <w:p w14:paraId="1EB92AF2" w14:textId="77777777" w:rsidR="004B35A6" w:rsidRDefault="000F7841">
      <w:pPr>
        <w:rPr>
          <w:rFonts w:asciiTheme="majorHAnsi" w:eastAsiaTheme="majorEastAsia" w:hAnsiTheme="majorHAnsi" w:cstheme="majorBidi"/>
          <w:color w:val="2F5496" w:themeColor="accent1" w:themeShade="BF"/>
          <w:sz w:val="32"/>
          <w:szCs w:val="32"/>
        </w:rPr>
      </w:pPr>
      <w:r>
        <w:br w:type="page"/>
      </w:r>
    </w:p>
    <w:p w14:paraId="4078EE49" w14:textId="37FD4CBA" w:rsidR="004B35A6" w:rsidRDefault="000F7841">
      <w:pPr>
        <w:pStyle w:val="Heading1"/>
      </w:pPr>
      <w:bookmarkStart w:id="5" w:name="_Toc152315419"/>
      <w:r>
        <w:lastRenderedPageBreak/>
        <w:t xml:space="preserve">Supplementary Table 6 | Table of statistically significant and list of non-significant </w:t>
      </w:r>
      <w:r w:rsidR="0045500F">
        <w:t xml:space="preserve">serum proteomic </w:t>
      </w:r>
      <w:r>
        <w:t>biomarkers</w:t>
      </w:r>
      <w:bookmarkEnd w:id="5"/>
    </w:p>
    <w:p w14:paraId="09A8607A" w14:textId="77777777" w:rsidR="004B35A6" w:rsidRDefault="004B35A6">
      <w:pPr>
        <w:spacing w:line="276" w:lineRule="auto"/>
      </w:pPr>
    </w:p>
    <w:p w14:paraId="6AB0D623" w14:textId="2CCCF286" w:rsidR="004B35A6" w:rsidRDefault="000F7841">
      <w:pPr>
        <w:spacing w:line="276" w:lineRule="auto"/>
      </w:pPr>
      <w:r>
        <w:rPr>
          <w:noProof/>
        </w:rPr>
        <w:drawing>
          <wp:inline distT="0" distB="0" distL="0" distR="0" wp14:anchorId="4D80BF31" wp14:editId="48663B8F">
            <wp:extent cx="5943600" cy="5568950"/>
            <wp:effectExtent l="0" t="0" r="0" b="6350"/>
            <wp:docPr id="19281595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159583" name=""/>
                    <pic:cNvPicPr/>
                  </pic:nvPicPr>
                  <pic:blipFill>
                    <a:blip r:embed="rId16"/>
                    <a:stretch>
                      <a:fillRect/>
                    </a:stretch>
                  </pic:blipFill>
                  <pic:spPr>
                    <a:xfrm>
                      <a:off x="0" y="0"/>
                      <a:ext cx="5943600" cy="5568950"/>
                    </a:xfrm>
                    <a:prstGeom prst="rect">
                      <a:avLst/>
                    </a:prstGeom>
                  </pic:spPr>
                </pic:pic>
              </a:graphicData>
            </a:graphic>
          </wp:inline>
        </w:drawing>
      </w:r>
    </w:p>
    <w:p w14:paraId="7462EC38" w14:textId="3F366C77" w:rsidR="004B35A6" w:rsidRDefault="004B35A6">
      <w:pPr>
        <w:spacing w:line="276" w:lineRule="auto"/>
      </w:pPr>
    </w:p>
    <w:p w14:paraId="02D29DE8" w14:textId="77777777" w:rsidR="004B35A6" w:rsidRDefault="000F7841">
      <w:pPr>
        <w:pStyle w:val="HTMLPreformatted"/>
        <w:shd w:val="clear" w:color="auto" w:fill="FFFFFF"/>
        <w:wordWrap w:val="0"/>
      </w:pPr>
      <w:r>
        <w:rPr>
          <w:rStyle w:val="gnd-iwgdh3b"/>
          <w:bdr w:val="none" w:sz="0" w:space="0" w:color="auto" w:frame="1"/>
        </w:rPr>
        <w:t xml:space="preserve">AARSD1, ABHD14B, ABL1, ACAA1, ACAN, ACE2, ACP6, ACTA2, ACTN4, ACVRL1, </w:t>
      </w:r>
      <w:r>
        <w:rPr>
          <w:rStyle w:val="gnd-iwgdh3b"/>
          <w:bdr w:val="none" w:sz="0" w:space="0" w:color="auto" w:frame="1"/>
        </w:rPr>
        <w:t>ACY1, ADAM22, ADAM23, ADAMTS13, ADAMTS15, ADAMTS16, ADAMTS8, ADCYAP1R1, ADGRB3, ADGRG2, ADH4, ADM, AFP, AGER, AGR3, AGRN, AGRP, AHCY, AHSP, AIF1, AK1, AKR1B1, AKT1S1, AKT3, ALCAM, ALDH1A1, ALPP, AMBN, AMBP, AMFR, AMIGO2, AMN, AMY2A, AMY2B, ANGPT1, ANGPTL1, ANGPTL4, ANGPTL7, ANKRD54, ANXA10, ANXA11, ANXA3, ANXA4, AOC1, AOC3, APBB1IP, APEX1, APLP1, APOH, APP, APRT, AREG, ARG1, ARHGAP1, ARHGEF12, ARID4B, ARNT, ARSA, ARSB, ARTN, ASGR1, ATG4A, ATOX1, ATP5IF1, ATP5PO, ATP6AP2, ATP6V1D, ATP6V1F, ATXN10, AXIN1, AZU</w:t>
      </w:r>
      <w:r>
        <w:rPr>
          <w:rStyle w:val="gnd-iwgdh3b"/>
          <w:bdr w:val="none" w:sz="0" w:space="0" w:color="auto" w:frame="1"/>
        </w:rPr>
        <w:t>1, B4GAT1, BACH1, BAG3, BAG6, BAIAP2, BAMBI, BANK1, BAX, BCAM, BCAN, BCL2L11, BCR, BGN, BID, BIN2, BIRC2, BLMH, BLVRB, BMP4, BMP6, BOC, BPIFB1, BSG, BST1, BTC, C1QTNF1, C2CD2L, CA1, CA11, CA12, CA13, CA14, CA2, CA3, CA4, CA9, CALCA, CALCOCO1, CAMKK1, CANT1, CAPG, CA</w:t>
      </w:r>
      <w:r>
        <w:rPr>
          <w:rStyle w:val="gnd-iwgdh3b"/>
          <w:bdr w:val="none" w:sz="0" w:space="0" w:color="auto" w:frame="1"/>
        </w:rPr>
        <w:lastRenderedPageBreak/>
        <w:t>RHSP1, CASP1, CASP2, CASP3, CASP8, CBLIF, CBLN4, CC2D1A, CCDC80, CCL13, CCL15, CCL16, CCL17, CCL19, CCL2, CCL21, CCL25, CCL27, CCL28, CCL3, CCL5, CCL7, CCL8, CCN2, CCN3, CCN4, CCN5, CCS, CCT5, CD164, CD177, CD1C, CD200, CD207, CD209, CD22, CD274,</w:t>
      </w:r>
      <w:r>
        <w:rPr>
          <w:rStyle w:val="gnd-iwgdh3b"/>
          <w:bdr w:val="none" w:sz="0" w:space="0" w:color="auto" w:frame="1"/>
        </w:rPr>
        <w:t xml:space="preserve"> CD28, CD2AP, CD300LG, CD33, CD34, CD40, CD40LG, CD46, CD5, CD58, CD63, CD69, CD70, CD84, CD8A, CD99L2, CDC27, CDC37, CDH1, CDH15, CDH17, CDH2, CDH3, CDH6, CDHR1, CDHR2, CDHR5, CDKN1A, CDKN2D, CDNF, CDON, CDSN, CEACAM3, CEACAM5, CEACAM8, CEBPB, CELA3A, CEP164, CEP20, CEP43, CEP85, CERT, CES1, CES2, CES3, CETN2, CFC1, CGA, CGREF1, CHAC2, CHEK2, CHGB, CHI3L1, CHIT1, CHL1, CHMP1A, CHRDL1, CIAPIN1, CKAP4, CKMT1A_CKMT1B, CLEC10A, CLEC11A, CLEC14A, CLEC1A, CLEC1B, CLEC4C, CLEC4D, CLEC4G, CLEC5A, CLEC6A, CLIP2, CL</w:t>
      </w:r>
      <w:r>
        <w:rPr>
          <w:rStyle w:val="gnd-iwgdh3b"/>
          <w:bdr w:val="none" w:sz="0" w:space="0" w:color="auto" w:frame="1"/>
        </w:rPr>
        <w:t>MP, CLPP, CLPS, CLSPN, CLTA, CLUL1, CNDP1, CNPY2, CNPY4, CNST, CNTN1, CNTN2, CNTN3, CNTN4, CNTN5, COL1A1, COMP, COMT, COPE, CORO1A, COX5B, CPA1, CPA2, CPB1, CPE, CPM, CPPED1, CPXM1, CR2, CRACR2A, CRADD, CREG1, CRELD2, CRH, CRHR1, CRIP2, CRISP2, CRKL, CRLF1, CRNN, CRTAC1, CRX, CSF2RA, CSF3, CST6, CST7, CSTB, CTF1, CTRB1, CTRC, CTSB, CTSC, CTSD, CTSF, CTSH, CTSO, CTSS, CTSZ, CXCL1, CXCL10, CXCL12, CXCL13, CXCL17, CXCL3, CXCL5, CXCL6, CXCL8, DAB2, DAG1, DAPP1, DARS1, DBI, DBNL, DCBLD2, DCN, DCTN1, DCTN2, DCTN6</w:t>
      </w:r>
      <w:r>
        <w:rPr>
          <w:rStyle w:val="gnd-iwgdh3b"/>
          <w:bdr w:val="none" w:sz="0" w:space="0" w:color="auto" w:frame="1"/>
        </w:rPr>
        <w:t xml:space="preserve">, DCTPP1, DDAH1, DDC, DDR1, DDX58, DECR1, DEFA1_DEFA1B, DEFB4A_DEFB4B, DFFA, DGKZ, DIABLO, DKK1, DKK3, DKK4, DKKL1, DLK1, DNAJA2, DNAJB1, DNAJB8, DNER, DNMBP, DNPH1, DOK2, DPEP1, DPEP2, DPP10, DPP4, DPP6, DPP7, DPT, DPY30, DRG2, DSG2, DSG4, DTX3, DUOX2, DUSP3, EBAG9, ECE1, EDAR, EDIL3, EGF, EGFL7, EGFR, EGLN1, EIF4B, EIF4EBP1, EIF4G1, EIF5A, ELOA, ENAH, ENG, ENO1, ENO2, ENPP5, ENTPD2, ENTPD5, ENTPD6, EPCAM, EPHA1, EPHA10, EPHA2, EPHB6, EPHX2, EPS8L2, ERBB2, ERBB3, ERBIN, EREG, ERP44, ESAM, ESM1, EZR, F11R, </w:t>
      </w:r>
      <w:r>
        <w:rPr>
          <w:rStyle w:val="gnd-iwgdh3b"/>
          <w:bdr w:val="none" w:sz="0" w:space="0" w:color="auto" w:frame="1"/>
        </w:rPr>
        <w:t>F2R, F3, F7, FABP1, FABP2, FABP5, FABP6, FABP9, FADD, FAM3B, FAP, FAS, FBP1, FCAR, FCER2, FCGR2A, FCGR2B, FCRL1, FCRL2, FCRL5, FCRLB, FEN1, FES, FETUB, FGF19, FGF2, FGF23, FGF5, FGFR2, FGR, FHIT, FIS1, FKBP1B, FKBP4, FKBP5, FKBP7, FLI1, FLRT2, FLT1, FLT3, FLT3LG, FMNL1, FMR1, FOLR2, FOLR3, FOSB, FOXO1, FOXO3, FRZB, FUCA1, FURIN, FUS, FUT3_FUT5, FUT8, FXN, FXYD5, FYB1, GAL, GALNT10, GALNT2, GALNT3, GALNT7, GBP2, GBP4, GCG, GDF2, GDNF, GFAP, GFER, GFOD2, GFRA2, GGA1, GGH, GGT1, GGT5, GH1, GH2, GHRHR, GHRL, GK</w:t>
      </w:r>
      <w:r>
        <w:rPr>
          <w:rStyle w:val="gnd-iwgdh3b"/>
          <w:bdr w:val="none" w:sz="0" w:space="0" w:color="auto" w:frame="1"/>
        </w:rPr>
        <w:t>N1, GLB1, GLO1, GLOD4, GLRX, GLT8D2, GMPR, GNE, GOPC, GP1BA, GP2, GP6, GPA33, GPC1, GPC5, GPKOW, GPNMB, GPR37, GRAP2, GRK5, GRN, GSAP, GSTA1, GSTA3, GSTP1, GUCA2A, GUSB, GYS1, HAGH, HARS1, HAVCR1, HBEGF, HBQ1, HCLS1, HDGF, HEBP1, HEXIM1, HGF, HGS, HK2, HLA_E, HMBS, HMOX1, HMOX2, HNMT, HNRNPK, HPCAL1, HPGDS, HS6ST1, HSD11B1, HSP90B1, HSPA1A, HSPB1, HYAL1, ICA1, ICAM4, ICAM5, ICOSLG, IDI2, IDS, IDUA, IFNGR1, IFNL1, IFNLR1, IGF1R, IGFBP1, IGFBP2, IGFBP3, IGFBPL1, IGSF3, IGSF8, IKBKG, IKZF2, IL10RA, IL11, IL13,</w:t>
      </w:r>
      <w:r>
        <w:rPr>
          <w:rStyle w:val="gnd-iwgdh3b"/>
          <w:bdr w:val="none" w:sz="0" w:space="0" w:color="auto" w:frame="1"/>
        </w:rPr>
        <w:t xml:space="preserve"> IL15RA, IL16, IL17A, IL17C, IL17D, IL17F, IL17RA, IL18RAP, IL1A, IL1B, IL1R2, IL1RAP, IL1RL2, IL1RN, IL20RA, IL22RA1, IL24, IL32, IL4, IL5, IL5RA, IL6, IL6ST, IL7, IL7R, ILKAP, IMPA1, ING1, INHBC, INPP1, INPPL1, IPCEF1, IQGAP2, IRAG2, IRAK1, IRAK4, ISLR2, ISM1, ITGA6, ITGAM, ITGAV, ITGB1BP1, ITGB1BP2, ITGB5, ITGB6, ITGB7, IVD, JAM2, JCHAIN, JUN, KAZALD1, KDR, KIFBP, KIR3DL1, KIRREL2, KIT, KLB, KLK1, KLK10, KLK11, KLK12, KLK13, KLK14, KLK4, KLK6, KRT14, KRT18, KRT19, KYAT1, KYNU, LACTB2, LAG3, LAMA4, LAMP2,</w:t>
      </w:r>
      <w:r>
        <w:rPr>
          <w:rStyle w:val="gnd-iwgdh3b"/>
          <w:bdr w:val="none" w:sz="0" w:space="0" w:color="auto" w:frame="1"/>
        </w:rPr>
        <w:t xml:space="preserve"> LAT, LAT2, LAYN, LBR, LCN2, LDLR, LEFTY2, LEP, LEPR, LGALS1, LGALS3, LGALS4, LGALS8, LGMN, LHB, LHPP, LIF, LIFR, LILRA5, LPCAT2, LPL, LRIG1, LRP1, LRP11, LRPAP1, LRRC25, LRRN1, LSP1, LTA4H, LTBP2, LTBP3, LTO1, LXN, LY6D, LY75, LY96, LYAR, LYPD1, LYPD3, LYPD8, MAD1L1, MAEA, MAGED1, MANF, MAP2K6, MAP3K5, MAP4K5, MAPK9, MAPT, MASP1, MATN3, MAVS, MAX, MB, MCAM, MCFD2, MDGA1, MED18, MEGF10, MEGF9, MEP1B, MEPE, MERTK, MESD, METAP1, METAP1D, METAP2, MFAP3, MFAP5, MFGE8, MGLL, MGMT, MIA, MICB_MICA, MIF, MILR1, MIT</w:t>
      </w:r>
      <w:r>
        <w:rPr>
          <w:rStyle w:val="gnd-iwgdh3b"/>
          <w:bdr w:val="none" w:sz="0" w:space="0" w:color="auto" w:frame="1"/>
        </w:rPr>
        <w:t>D1, MLN, MME, MMP1, MMP10, MMP12, MMP13, MMP7, MMP8, MMP9, MNDA, MOG, MPHOSPH8, MPI, MPIG6B, MPO, MRPL46, MSLN, MSMB, MSRA, MSTN, MTPN, MUC13, MUC16, MVK, MYO9B, MYOC, MZT1, NAAA, NADK, NBL1, NBN, NCAM1, NCAM2, NCAN, NCF2, NCK2, NCLN, NCS1, NDRG1, NDUFS6, NECTIN4, NEFL, NELL1, NELL2, NFASC, NFATC1, NFKBIE, NGF, NINJ1, NME3, NMNAT1, NOTCH3, NPDC1, NPM1, NPPB, NPPC, NPTN, NPTX1, NPTXR, NPY, NRCAM, NRP2, NRTN, NSFL1C, NT5C3A, NT5E, NTF3, NTF4, NTRK2, NTRK3, NUB1, NUCB2, NUDC, NUDT2, NUDT5, OBP2B, ODAM, OGFR, O</w:t>
      </w:r>
      <w:r>
        <w:rPr>
          <w:rStyle w:val="gnd-iwgdh3b"/>
          <w:bdr w:val="none" w:sz="0" w:space="0" w:color="auto" w:frame="1"/>
        </w:rPr>
        <w:t xml:space="preserve">GN, OLR1, OMD, OMG, OPTC, OSM, OSMR, P4HB, PADI2, PADI4, </w:t>
      </w:r>
      <w:r>
        <w:rPr>
          <w:rStyle w:val="gnd-iwgdh3b"/>
          <w:bdr w:val="none" w:sz="0" w:space="0" w:color="auto" w:frame="1"/>
        </w:rPr>
        <w:lastRenderedPageBreak/>
        <w:t>PAEP, PAG1, PAK4, PAM, PAMR1, PAPPA, PARK7, PARP1, PCDH1, PCOLCE, PCSK9, PDCD5, PDCD6, PDGFA, PDGFB, PDGFC, PDGFRA, PDGFRB, PDLIM7, PDP1, PEAR1, PEBP1, PECAM1, PFDN2, PFKFB2, PGLYRP1, PHOSPHO1, PI3, PIGR, PIK3AP1, PIK3IP1, PILRB, PKLR, PLA2G10, PLA2G15, PLA2G1B, PLA2G4A, PLAT, PLAUR, PLIN1, PLIN3, PLPBP, PLTP, PLXDC1, PLXNA4, PLXNB3, PM20D1, PMVK, PNLIPRP2, PNPT1, PODXL, PODXL2, POLR2F, PON2, PON3, PPCDC, PPIB, PPM1A, PPME1, PPP1R12A, PPP1R2, PPP1R9B,</w:t>
      </w:r>
      <w:r>
        <w:rPr>
          <w:rStyle w:val="gnd-iwgdh3b"/>
          <w:bdr w:val="none" w:sz="0" w:space="0" w:color="auto" w:frame="1"/>
        </w:rPr>
        <w:t xml:space="preserve"> PQBP1, PRDX1, PRDX3, PRDX5, PRDX6, PREB, PRELP, PRKAB1, PRKAR1A, PRKRA, PRL, PROK1, PRSS2, PRSS27, PRTFDC1, PRTG, PRTN3, PSIP1, PSMA1, PSMD9, PSME1, PSME2, PSMG3, PSRC1, PTEN, PTGDS, PTH1R, PTK7, PTN, PTPN1, PTPN6, PTPRF, PTPRN2, PTPRS, PTX3, PVALB, PVR, PXN, QDPR, QPCT, RAB37, RAB6A, RAB6B, RABEPK, RABGAP1L, RAD23B, RANGAP1, RARRES1, RASA1, RASSF2, RBKS, RBP2, RCOR1, REG1A, REG3A, REG4, RELT, REN, RET, RETN, RGMA, RGMB, RGS8, RHOC, RILP, RNASET2, RNF41, ROBO1, ROR1, RP2, RRM2B, RSPO1, RTBDN, RTN4R, RUVBL1</w:t>
      </w:r>
      <w:r>
        <w:rPr>
          <w:rStyle w:val="gnd-iwgdh3b"/>
          <w:bdr w:val="none" w:sz="0" w:space="0" w:color="auto" w:frame="1"/>
        </w:rPr>
        <w:t>, RWDD1, S100A11, S100A12, S100A16, S100A4, S100P, SAMD9L, SCAMP3, SCARA5, SCARB1, SCARF1, SCG2, SCG3, SCGB1A1, SCGB3A2, SCGN, SCLY, SCP2, SCRN1, SDC4, SELP, SELPLG, SEMA3F, SEMA4C, SEPTIN9, SERPINA11, SERPINA12, SERPINB1, SERPINB5, SERPINB6, SERPINB8, SERPINB9, SERPINE1, SESTD1, SETMAR, SEZ6L, SEZ6L2, SF3B4, SFRP1, SFTPA1, SFTPA2, SFTPD, SH2B3, SHMT1, SIAE, SIGLEC15, SIGLEC5, SIRPA, SIRT2, SIRT5, SIT1, SKAP1, SKAP2, SLAMF1, SLC16A1, SLC27A4, SLC39A14, SLC39A5, SLIT2, SLITRK2, SLITRK6, SMAD5, SMARCA2, SMOC1</w:t>
      </w:r>
      <w:r>
        <w:rPr>
          <w:rStyle w:val="gnd-iwgdh3b"/>
          <w:bdr w:val="none" w:sz="0" w:space="0" w:color="auto" w:frame="1"/>
        </w:rPr>
        <w:t>, SMPD1, SMPDL3A, SNAP23, SNAP29, SNX9, SOD1, SOD2, SORCS2, SORD, SORT1, SOST, SPARC, SPINK1, SPINK4, SPINK5, SPINK6, SPINT1, SPINT2, SPOCK1, SPON1, SPP1, SPRY2, SRC, SRP14, SRPK2, SSB, SSC4D, ST3GAL1, ST6GAL1, STAMBP, STAT5B, STC1, STC2, STIP1, STK11, STK24, STK4, STX16, STX4, STX6, STX8, STXBP3, SUGT1, SULT1A1, SULT2A1, SUMF2, SUSD1, SUSD2, TACC3, TAFA5, TANK, TARBP2, TBC1D17, TBC1D23, TBC1D5, TBCB, TBCC, TBL1X, TCL1A, TCL1B, TCN2, TDRKH, TFF1, TFF2, TFF3, TFPI, TFRC, TGFA, TGFB1, TGFBR3, TGM2, THBS2, THO</w:t>
      </w:r>
      <w:r>
        <w:rPr>
          <w:rStyle w:val="gnd-iwgdh3b"/>
          <w:bdr w:val="none" w:sz="0" w:space="0" w:color="auto" w:frame="1"/>
        </w:rPr>
        <w:t>P1, THPO, TIA1, TIE1, TIGAR, TIMP3, TIMP4, TJAP1, TLR3, TMPRSS15, TMSB10, TNF, TNFAIP8, TNFRSF10A, TNFRSF10C, TNFRSF11A, TNFRSF12A, TNFRSF13B, TNFRSF13C, TNFRSF14, TNFRSF19, TNFRSF9, TNFSF10, TNFSF11, TNFSF12, TNFSF14, TNNI3, TNR, TNXB, TP53, TP53INP1, TPMT, TPP1, TPSAB1, TPT1, TRAF2, TREM2, TREML2, TRIAP1, TRIM21, TRIM5, TSHB, TSPAN1, TST, TXLNA, TXNDC15, TXNDC5, TXNRD1, TYMP, TYRO3, UBAC1, ULBP2, UMOD, USP8, UXS1, VAMP5, VASH1, VAT1, VEGFA, VEGFC, VIM, VMO1, VNN2, VPS37A, VPS53, VSIR, VSTM1, VSTM2L, VTA1,</w:t>
      </w:r>
      <w:r>
        <w:rPr>
          <w:rStyle w:val="gnd-iwgdh3b"/>
          <w:bdr w:val="none" w:sz="0" w:space="0" w:color="auto" w:frame="1"/>
        </w:rPr>
        <w:t xml:space="preserve"> VTCN1, VWC2, WAS, WASF1, WASF3, WFDC12, WFIKKN2, WIF1, WWP2, XG, XRCC4, YES1, YTHDF3, ZBTB17</w:t>
      </w:r>
    </w:p>
    <w:p w14:paraId="6500719F" w14:textId="5D6B8272" w:rsidR="004B35A6" w:rsidRDefault="004B35A6"/>
    <w:p w14:paraId="4DF8127A" w14:textId="77777777" w:rsidR="005E356C" w:rsidRDefault="005E356C" w:rsidP="005E356C">
      <w:pPr>
        <w:pStyle w:val="Heading1"/>
      </w:pPr>
      <w:bookmarkStart w:id="6" w:name="_Toc152315420"/>
      <w:r>
        <w:lastRenderedPageBreak/>
        <w:t xml:space="preserve">Supplementary Table 7 | Table of statistically significant REZPEG-modulated proteins grouped by </w:t>
      </w:r>
      <w:proofErr w:type="gramStart"/>
      <w:r>
        <w:t>pathway</w:t>
      </w:r>
      <w:bookmarkEnd w:id="6"/>
      <w:proofErr w:type="gramEnd"/>
    </w:p>
    <w:p w14:paraId="0A11AD66" w14:textId="79CBCC9B" w:rsidR="000008F5" w:rsidRDefault="00317EE8" w:rsidP="00317EE8">
      <w:r w:rsidRPr="003503FD">
        <w:rPr>
          <w:noProof/>
        </w:rPr>
        <w:drawing>
          <wp:inline distT="0" distB="0" distL="0" distR="0" wp14:anchorId="1A755B4F" wp14:editId="13C856DC">
            <wp:extent cx="5145932" cy="7451538"/>
            <wp:effectExtent l="0" t="0" r="0" b="3810"/>
            <wp:docPr id="13631474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147451" name=""/>
                    <pic:cNvPicPr/>
                  </pic:nvPicPr>
                  <pic:blipFill>
                    <a:blip r:embed="rId17"/>
                    <a:stretch>
                      <a:fillRect/>
                    </a:stretch>
                  </pic:blipFill>
                  <pic:spPr>
                    <a:xfrm>
                      <a:off x="0" y="0"/>
                      <a:ext cx="5158652" cy="7469958"/>
                    </a:xfrm>
                    <a:prstGeom prst="rect">
                      <a:avLst/>
                    </a:prstGeom>
                  </pic:spPr>
                </pic:pic>
              </a:graphicData>
            </a:graphic>
          </wp:inline>
        </w:drawing>
      </w:r>
    </w:p>
    <w:p w14:paraId="5F7A38DD" w14:textId="5B8EA30A" w:rsidR="004B35A6" w:rsidRDefault="000F7841">
      <w:pPr>
        <w:pStyle w:val="Heading1"/>
      </w:pPr>
      <w:bookmarkStart w:id="7" w:name="_Toc152315421"/>
      <w:r>
        <w:lastRenderedPageBreak/>
        <w:t>List of Investigators – Psoriasis</w:t>
      </w:r>
      <w:bookmarkEnd w:id="7"/>
    </w:p>
    <w:p w14:paraId="6EE44F5F" w14:textId="77777777" w:rsidR="004B35A6" w:rsidRDefault="004B35A6"/>
    <w:p w14:paraId="47C5EE97" w14:textId="77777777" w:rsidR="004B35A6" w:rsidRDefault="000F7841">
      <w:pPr>
        <w:spacing w:line="276" w:lineRule="auto"/>
      </w:pPr>
      <w:r>
        <w:rPr>
          <w:noProof/>
        </w:rPr>
        <w:drawing>
          <wp:inline distT="0" distB="0" distL="0" distR="0" wp14:anchorId="10BE8E1E" wp14:editId="795EDFE6">
            <wp:extent cx="3886200" cy="2020824"/>
            <wp:effectExtent l="0" t="0" r="0" b="0"/>
            <wp:docPr id="3" name="Picture 2">
              <a:extLst xmlns:a="http://schemas.openxmlformats.org/drawingml/2006/main">
                <a:ext uri="{FF2B5EF4-FFF2-40B4-BE49-F238E27FC236}">
                  <a16:creationId xmlns:a16="http://schemas.microsoft.com/office/drawing/2014/main" id="{F7D88B97-C571-847C-590E-DE7251525E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7D88B97-C571-847C-590E-DE7251525E17}"/>
                        </a:ext>
                      </a:extLst>
                    </pic:cNvPr>
                    <pic:cNvPicPr>
                      <a:picLocks noChangeAspect="1"/>
                    </pic:cNvPicPr>
                  </pic:nvPicPr>
                  <pic:blipFill>
                    <a:blip r:embed="rId18"/>
                    <a:stretch>
                      <a:fillRect/>
                    </a:stretch>
                  </pic:blipFill>
                  <pic:spPr>
                    <a:xfrm>
                      <a:off x="0" y="0"/>
                      <a:ext cx="3886200" cy="2020824"/>
                    </a:xfrm>
                    <a:prstGeom prst="rect">
                      <a:avLst/>
                    </a:prstGeom>
                  </pic:spPr>
                </pic:pic>
              </a:graphicData>
            </a:graphic>
          </wp:inline>
        </w:drawing>
      </w:r>
    </w:p>
    <w:p w14:paraId="0A92AE48" w14:textId="77777777" w:rsidR="00916BFB" w:rsidRDefault="00916BFB">
      <w:pPr>
        <w:pStyle w:val="Heading1"/>
      </w:pPr>
    </w:p>
    <w:p w14:paraId="0F5EF318" w14:textId="2C13B1A4" w:rsidR="004B35A6" w:rsidRDefault="000F7841">
      <w:pPr>
        <w:pStyle w:val="Heading1"/>
      </w:pPr>
      <w:bookmarkStart w:id="8" w:name="_Toc152315422"/>
      <w:r>
        <w:t xml:space="preserve">List of </w:t>
      </w:r>
      <w:r>
        <w:t>Investigators – Atopic Dermatitis</w:t>
      </w:r>
      <w:bookmarkEnd w:id="8"/>
    </w:p>
    <w:p w14:paraId="48A0AA33" w14:textId="77777777" w:rsidR="004B35A6" w:rsidRDefault="004B35A6"/>
    <w:p w14:paraId="56AE2F22" w14:textId="77777777" w:rsidR="004B35A6" w:rsidRDefault="000F7841">
      <w:r>
        <w:rPr>
          <w:noProof/>
        </w:rPr>
        <w:drawing>
          <wp:inline distT="0" distB="0" distL="0" distR="0" wp14:anchorId="47C073F0" wp14:editId="3D2CA1EB">
            <wp:extent cx="3922776" cy="2569464"/>
            <wp:effectExtent l="0" t="0" r="1905" b="0"/>
            <wp:docPr id="2" name="Picture 1">
              <a:extLst xmlns:a="http://schemas.openxmlformats.org/drawingml/2006/main">
                <a:ext uri="{FF2B5EF4-FFF2-40B4-BE49-F238E27FC236}">
                  <a16:creationId xmlns:a16="http://schemas.microsoft.com/office/drawing/2014/main" id="{9591A802-B495-D47A-582A-F7544D52B5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9591A802-B495-D47A-582A-F7544D52B596}"/>
                        </a:ext>
                      </a:extLst>
                    </pic:cNvPr>
                    <pic:cNvPicPr>
                      <a:picLocks noChangeAspect="1"/>
                    </pic:cNvPicPr>
                  </pic:nvPicPr>
                  <pic:blipFill>
                    <a:blip r:embed="rId19"/>
                    <a:stretch>
                      <a:fillRect/>
                    </a:stretch>
                  </pic:blipFill>
                  <pic:spPr>
                    <a:xfrm>
                      <a:off x="0" y="0"/>
                      <a:ext cx="3922776" cy="2569464"/>
                    </a:xfrm>
                    <a:prstGeom prst="rect">
                      <a:avLst/>
                    </a:prstGeom>
                  </pic:spPr>
                </pic:pic>
              </a:graphicData>
            </a:graphic>
          </wp:inline>
        </w:drawing>
      </w:r>
    </w:p>
    <w:p w14:paraId="73530590" w14:textId="77777777" w:rsidR="004B35A6" w:rsidRDefault="004B35A6">
      <w:pPr>
        <w:spacing w:line="276" w:lineRule="auto"/>
      </w:pPr>
    </w:p>
    <w:p w14:paraId="530959D3" w14:textId="33EBA03C" w:rsidR="004B35A6" w:rsidRDefault="000F7841">
      <w:pPr>
        <w:pStyle w:val="Heading1"/>
      </w:pPr>
      <w:bookmarkStart w:id="9" w:name="_Toc152315423"/>
      <w:r>
        <w:t>Supplementary Methods</w:t>
      </w:r>
      <w:bookmarkEnd w:id="9"/>
    </w:p>
    <w:p w14:paraId="28C7DEE0" w14:textId="77777777" w:rsidR="004B35A6" w:rsidRDefault="004B35A6">
      <w:pPr>
        <w:spacing w:line="276" w:lineRule="auto"/>
      </w:pPr>
    </w:p>
    <w:p w14:paraId="16BE0E72" w14:textId="5914EE7A" w:rsidR="004B35A6" w:rsidRDefault="000F7841">
      <w:pPr>
        <w:spacing w:line="276" w:lineRule="auto"/>
      </w:pPr>
      <w:bookmarkStart w:id="10" w:name="_Toc152315424"/>
      <w:r>
        <w:rPr>
          <w:rStyle w:val="Heading2Char"/>
        </w:rPr>
        <w:t>AD full inclusion and exclusion criteria</w:t>
      </w:r>
      <w:bookmarkEnd w:id="10"/>
    </w:p>
    <w:p w14:paraId="143CE171" w14:textId="77777777" w:rsidR="004B35A6" w:rsidRDefault="004B35A6">
      <w:pPr>
        <w:spacing w:line="276" w:lineRule="auto"/>
      </w:pPr>
    </w:p>
    <w:p w14:paraId="7EA15E19" w14:textId="77777777" w:rsidR="004B35A6" w:rsidRDefault="000F7841">
      <w:pPr>
        <w:spacing w:line="276" w:lineRule="auto"/>
      </w:pPr>
      <w:r>
        <w:t>Patients were enrolled if all the following inclusion criteria applied:</w:t>
      </w:r>
    </w:p>
    <w:p w14:paraId="0FA3F22D" w14:textId="77777777" w:rsidR="004B35A6" w:rsidRDefault="000F7841">
      <w:pPr>
        <w:pStyle w:val="ListParagraph"/>
        <w:numPr>
          <w:ilvl w:val="0"/>
          <w:numId w:val="1"/>
        </w:numPr>
        <w:spacing w:line="276" w:lineRule="auto"/>
      </w:pPr>
      <w:r>
        <w:t xml:space="preserve">Present with a diagnosis of AtD at least 12 months prior to screening, as defined by the American Academy of Dermatology: Guidelines of care for the management of atopic </w:t>
      </w:r>
      <w:r>
        <w:lastRenderedPageBreak/>
        <w:t>dermatitis; Section1. Diagnosis and assessment of moderate to severe atopic dermatitis</w:t>
      </w:r>
      <w:r>
        <w:fldChar w:fldCharType="begin">
          <w:fldData xml:space="preserve">PEVuZE5vdGU+PENpdGU+PEF1dGhvcj5FaWNoZW5maWVsZDwvQXV0aG9yPjxZZWFyPjIwMTQ8L1ll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</w:fldData>
        </w:fldChar>
      </w:r>
      <w:r>
        <w:instrText xml:space="preserve"> ADDIN EN.CITE </w:instrText>
      </w:r>
      <w:r>
        <w:fldChar w:fldCharType="begin">
          <w:fldData xml:space="preserve">PEVuZE5vdGU+PENpdGU+PEF1dGhvcj5FaWNoZW5maWVsZDwvQXV0aG9yPjxZZWFyPjIwMTQ8L1ll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</w:fldData>
        </w:fldChar>
      </w:r>
      <w:r>
        <w:instrText xml:space="preserve"> ADDIN EN.CITE.DATA </w:instrText>
      </w:r>
      <w:r>
        <w:fldChar w:fldCharType="end"/>
      </w:r>
      <w:r>
        <w:fldChar w:fldCharType="separate"/>
      </w:r>
      <w:r>
        <w:rPr>
          <w:vertAlign w:val="superscript"/>
        </w:rPr>
        <w:t>1</w:t>
      </w:r>
      <w:r>
        <w:fldChar w:fldCharType="end"/>
      </w:r>
      <w:r>
        <w:t xml:space="preserve">, including all of the following: </w:t>
      </w:r>
    </w:p>
    <w:p w14:paraId="1F8E5D06" w14:textId="77777777" w:rsidR="004B35A6" w:rsidRDefault="000F7841">
      <w:pPr>
        <w:pStyle w:val="ListParagraph"/>
        <w:numPr>
          <w:ilvl w:val="1"/>
          <w:numId w:val="1"/>
        </w:numPr>
        <w:spacing w:line="276" w:lineRule="auto"/>
      </w:pPr>
      <w:r>
        <w:t>EASI score ≥ 16 at baseline (day 1)</w:t>
      </w:r>
    </w:p>
    <w:p w14:paraId="33937D42" w14:textId="77777777" w:rsidR="004B35A6" w:rsidRDefault="000F7841">
      <w:pPr>
        <w:pStyle w:val="ListParagraph"/>
        <w:numPr>
          <w:ilvl w:val="1"/>
          <w:numId w:val="1"/>
        </w:numPr>
        <w:spacing w:line="276" w:lineRule="auto"/>
      </w:pPr>
      <w:r>
        <w:t>Investigator Global Assessment (IGA) score of ≥ 3 at baseline (day 1)</w:t>
      </w:r>
    </w:p>
    <w:p w14:paraId="3C390ACB" w14:textId="77777777" w:rsidR="004B35A6" w:rsidRDefault="000F7841">
      <w:pPr>
        <w:pStyle w:val="ListParagraph"/>
        <w:numPr>
          <w:ilvl w:val="1"/>
          <w:numId w:val="1"/>
        </w:numPr>
        <w:spacing w:line="276" w:lineRule="auto"/>
      </w:pPr>
      <w:r>
        <w:t>≥ 10% of body surface area (BSA) involvement at baseline (day 1)</w:t>
      </w:r>
    </w:p>
    <w:p w14:paraId="735FE1F6" w14:textId="77777777" w:rsidR="004B35A6" w:rsidRDefault="000F7841">
      <w:pPr>
        <w:pStyle w:val="EndNoteBibliography"/>
        <w:numPr>
          <w:ilvl w:val="0"/>
          <w:numId w:val="2"/>
        </w:numPr>
        <w:spacing w:line="276" w:lineRule="auto"/>
      </w:pPr>
      <w:r>
        <w:t>History, documented by a physician and/or investigator, of inadequate response to existing topical medications within 6 months preceding screening, or history of intolerance to topical therapy as defined by at least 1 of the following:</w:t>
      </w:r>
    </w:p>
    <w:p w14:paraId="406CA0DD" w14:textId="77777777" w:rsidR="004B35A6" w:rsidRDefault="000F7841">
      <w:pPr>
        <w:pStyle w:val="EndNoteBibliography"/>
        <w:numPr>
          <w:ilvl w:val="1"/>
          <w:numId w:val="2"/>
        </w:numPr>
        <w:spacing w:line="276" w:lineRule="auto"/>
      </w:pPr>
      <w:r>
        <w:t>Inability to achieve good disease control defined as mild disease or better (e.g., IGA ≤ 2) after use of at least a medium potency topical corticosteroid (TCS) for at least 4 weeks, or for the maximum duration recommended by the product prescribing information (e.g., 14 days for super potent TCS), whichever is shorter.  Note: a TCS may be used with or without topical calcineurin inhibitors (TCNIs).</w:t>
      </w:r>
    </w:p>
    <w:p w14:paraId="226419ED" w14:textId="77777777" w:rsidR="004B35A6" w:rsidRDefault="000F7841">
      <w:pPr>
        <w:pStyle w:val="EndNoteBibliography"/>
        <w:numPr>
          <w:ilvl w:val="1"/>
          <w:numId w:val="2"/>
        </w:numPr>
        <w:spacing w:line="276" w:lineRule="auto"/>
      </w:pPr>
      <w:r>
        <w:t>Or documented history of clinically significant adverse reactions with the use of TCS, such as skin atrophy, allergic reactions, or systemic effects that, in the opinion of the investigator, outweigh the benefits of retreatment, and/or</w:t>
      </w:r>
    </w:p>
    <w:p w14:paraId="75435231" w14:textId="77777777" w:rsidR="004B35A6" w:rsidRDefault="000F7841">
      <w:pPr>
        <w:pStyle w:val="EndNoteBibliography"/>
        <w:numPr>
          <w:ilvl w:val="1"/>
          <w:numId w:val="2"/>
        </w:numPr>
        <w:spacing w:line="276" w:lineRule="auto"/>
      </w:pPr>
      <w:r>
        <w:t>Failed systemic therapies intended to treat AD, such as cyclosporine, methotrexate, azathioprine, and mycophenolate mofetil, within 6 months preceding screening (will be considered as having inadequate response to topical therapy).</w:t>
      </w:r>
    </w:p>
    <w:p w14:paraId="32B50B60" w14:textId="77777777" w:rsidR="004B35A6" w:rsidRDefault="000F7841">
      <w:pPr>
        <w:pStyle w:val="EndNoteBibliography"/>
        <w:numPr>
          <w:ilvl w:val="0"/>
          <w:numId w:val="2"/>
        </w:numPr>
        <w:spacing w:line="276" w:lineRule="auto"/>
      </w:pPr>
      <w:r>
        <w:t>Agree to discontinue use of the following excluded medications for at least 2 weeks prior to baseline (day 1) and throughout the study:</w:t>
      </w:r>
    </w:p>
    <w:p w14:paraId="6682392A" w14:textId="77777777" w:rsidR="004B35A6" w:rsidRDefault="000F7841">
      <w:pPr>
        <w:pStyle w:val="EndNoteBibliography"/>
        <w:numPr>
          <w:ilvl w:val="1"/>
          <w:numId w:val="2"/>
        </w:numPr>
        <w:spacing w:line="276" w:lineRule="auto"/>
      </w:pPr>
      <w:r>
        <w:t>Topical corticosteroids or topical immune modulators (e.g., tacrolimus or pimecrolimus)</w:t>
      </w:r>
    </w:p>
    <w:p w14:paraId="2CD7F18D" w14:textId="77777777" w:rsidR="004B35A6" w:rsidRDefault="000F7841">
      <w:pPr>
        <w:pStyle w:val="EndNoteBibliography"/>
        <w:numPr>
          <w:ilvl w:val="1"/>
          <w:numId w:val="2"/>
        </w:numPr>
        <w:spacing w:line="276" w:lineRule="auto"/>
      </w:pPr>
      <w:r>
        <w:t>And topical phosphodiesterase type 4 (PDE4) inhibitor (crisaborole).</w:t>
      </w:r>
    </w:p>
    <w:p w14:paraId="735A7A46" w14:textId="77777777" w:rsidR="004B35A6" w:rsidRDefault="000F7841">
      <w:pPr>
        <w:pStyle w:val="EndNoteBibliography"/>
        <w:numPr>
          <w:ilvl w:val="0"/>
          <w:numId w:val="2"/>
        </w:numPr>
        <w:spacing w:line="276" w:lineRule="auto"/>
      </w:pPr>
      <w:r>
        <w:t>Have applied emollients daily for at least 14 days prior to baseline (day 1) and agree to use emollient daily throughout the treatment period.</w:t>
      </w:r>
    </w:p>
    <w:p w14:paraId="7111B747" w14:textId="77777777" w:rsidR="004B35A6" w:rsidRDefault="000F7841">
      <w:pPr>
        <w:pStyle w:val="EndNoteBibliography"/>
        <w:numPr>
          <w:ilvl w:val="0"/>
          <w:numId w:val="2"/>
        </w:numPr>
        <w:spacing w:line="276" w:lineRule="auto"/>
      </w:pPr>
      <w:r>
        <w:t>Males and females aged 18 through 70 years at the time of screening, who agree to adhere to the contraception requirements (combination of 1 highly effective [&lt; 1% failure rate] with 1 effective method, or 2 effective methods of contraception)</w:t>
      </w:r>
    </w:p>
    <w:p w14:paraId="4FB1158E" w14:textId="77777777" w:rsidR="004B35A6" w:rsidRDefault="000F7841">
      <w:pPr>
        <w:pStyle w:val="EndNoteBibliography"/>
        <w:numPr>
          <w:ilvl w:val="0"/>
          <w:numId w:val="2"/>
        </w:numPr>
        <w:spacing w:line="276" w:lineRule="auto"/>
      </w:pPr>
      <w:r>
        <w:t>Females of child-bearing potential must test negative for pregnancy prior to initiation of treatment and within 24 hours prior to each exposure to the study drug and agree to the contraception requirements for the entire study and for 30 days following the last dose.</w:t>
      </w:r>
    </w:p>
    <w:p w14:paraId="5794BEAD" w14:textId="77777777" w:rsidR="004B35A6" w:rsidRDefault="000F7841">
      <w:pPr>
        <w:pStyle w:val="EndNoteBibliography"/>
        <w:numPr>
          <w:ilvl w:val="0"/>
          <w:numId w:val="2"/>
        </w:numPr>
        <w:spacing w:line="276" w:lineRule="auto"/>
      </w:pPr>
      <w:r>
        <w:t>Body mass index (BMI) of 18.0 to 45.0 kg/m</w:t>
      </w:r>
      <w:r>
        <w:rPr>
          <w:vertAlign w:val="superscript"/>
        </w:rPr>
        <w:t>2</w:t>
      </w:r>
      <w:r>
        <w:t>, inclusive</w:t>
      </w:r>
    </w:p>
    <w:p w14:paraId="0063E7BD" w14:textId="77777777" w:rsidR="004B35A6" w:rsidRDefault="000F7841">
      <w:pPr>
        <w:pStyle w:val="EndNoteBibliography"/>
        <w:numPr>
          <w:ilvl w:val="0"/>
          <w:numId w:val="2"/>
        </w:numPr>
        <w:spacing w:line="276" w:lineRule="auto"/>
      </w:pPr>
      <w:r>
        <w:lastRenderedPageBreak/>
        <w:t>Clinical laboratory test results within normal reference range for the population or study site, or results with acceptable deviations that are judged to be not clinically significant by the investigator.</w:t>
      </w:r>
    </w:p>
    <w:p w14:paraId="13BDFEED" w14:textId="77777777" w:rsidR="004B35A6" w:rsidRDefault="000F7841">
      <w:pPr>
        <w:pStyle w:val="EndNoteBibliography"/>
        <w:numPr>
          <w:ilvl w:val="0"/>
          <w:numId w:val="2"/>
        </w:numPr>
        <w:spacing w:line="276" w:lineRule="auto"/>
      </w:pPr>
      <w:r>
        <w:t>Venous access sufficient to allow for blood sampling.</w:t>
      </w:r>
    </w:p>
    <w:p w14:paraId="7AE98597" w14:textId="77777777" w:rsidR="004B35A6" w:rsidRDefault="000F7841">
      <w:pPr>
        <w:pStyle w:val="EndNoteBibliography"/>
        <w:numPr>
          <w:ilvl w:val="0"/>
          <w:numId w:val="2"/>
        </w:numPr>
        <w:spacing w:line="276" w:lineRule="auto"/>
      </w:pPr>
      <w:r>
        <w:t>Reliable and willing to make themselves available for the duration of the study and are willing to follow study procedures.</w:t>
      </w:r>
    </w:p>
    <w:p w14:paraId="6BB6E29A" w14:textId="77777777" w:rsidR="004B35A6" w:rsidRDefault="000F7841">
      <w:pPr>
        <w:pStyle w:val="EndNoteBibliography"/>
        <w:numPr>
          <w:ilvl w:val="0"/>
          <w:numId w:val="2"/>
        </w:numPr>
        <w:spacing w:line="276" w:lineRule="auto"/>
      </w:pPr>
      <w:r>
        <w:t>Willing and able to undergo skin lesion biopsies on study days 1, 22, and 85.</w:t>
      </w:r>
    </w:p>
    <w:p w14:paraId="62201DD0" w14:textId="77777777" w:rsidR="004B35A6" w:rsidRDefault="000F7841">
      <w:pPr>
        <w:pStyle w:val="EndNoteBibliography"/>
        <w:numPr>
          <w:ilvl w:val="0"/>
          <w:numId w:val="2"/>
        </w:numPr>
        <w:spacing w:line="276" w:lineRule="auto"/>
      </w:pPr>
      <w:r>
        <w:t>Willing and able to give signed informed consent.</w:t>
      </w:r>
    </w:p>
    <w:p w14:paraId="052495C0" w14:textId="77777777" w:rsidR="004B35A6" w:rsidRDefault="000F7841">
      <w:pPr>
        <w:pStyle w:val="EndNoteBibliography"/>
        <w:numPr>
          <w:ilvl w:val="0"/>
          <w:numId w:val="2"/>
        </w:numPr>
        <w:spacing w:line="276" w:lineRule="auto"/>
      </w:pPr>
      <w:r>
        <w:t>Willing and able to participate in the study for a duration of up to 6 months.</w:t>
      </w:r>
    </w:p>
    <w:p w14:paraId="67918A6A" w14:textId="77777777" w:rsidR="004B35A6" w:rsidRDefault="004B35A6">
      <w:pPr>
        <w:spacing w:line="276" w:lineRule="auto"/>
      </w:pPr>
    </w:p>
    <w:p w14:paraId="5577F007" w14:textId="77777777" w:rsidR="004B35A6" w:rsidRDefault="000F7841">
      <w:pPr>
        <w:spacing w:line="276" w:lineRule="auto"/>
      </w:pPr>
      <w:r>
        <w:t>Patients were not eligible if any of the following exclusion criteria applied:</w:t>
      </w:r>
    </w:p>
    <w:p w14:paraId="75402F7B" w14:textId="77777777" w:rsidR="004B35A6" w:rsidRDefault="000F7841">
      <w:pPr>
        <w:pStyle w:val="ListParagraph"/>
        <w:numPr>
          <w:ilvl w:val="0"/>
          <w:numId w:val="3"/>
        </w:numPr>
        <w:spacing w:line="276" w:lineRule="auto"/>
      </w:pPr>
      <w:r>
        <w:t xml:space="preserve">Study site personnel directly affiliated with this study and their immediate families (spouse, </w:t>
      </w:r>
      <w:r>
        <w:t>biological or legal guardian, child, or sibling).</w:t>
      </w:r>
    </w:p>
    <w:p w14:paraId="3A6A73F3" w14:textId="77777777" w:rsidR="004B35A6" w:rsidRDefault="000F7841">
      <w:pPr>
        <w:pStyle w:val="ListParagraph"/>
        <w:numPr>
          <w:ilvl w:val="0"/>
          <w:numId w:val="3"/>
        </w:numPr>
        <w:spacing w:line="276" w:lineRule="auto"/>
      </w:pPr>
      <w:r>
        <w:t>Employees of one of the study sponsors or of a third-party organization involved with the study.</w:t>
      </w:r>
    </w:p>
    <w:p w14:paraId="20EF0B45" w14:textId="77777777" w:rsidR="004B35A6" w:rsidRDefault="000F7841">
      <w:pPr>
        <w:pStyle w:val="ListParagraph"/>
        <w:numPr>
          <w:ilvl w:val="0"/>
          <w:numId w:val="3"/>
        </w:numPr>
        <w:spacing w:line="276" w:lineRule="auto"/>
      </w:pPr>
      <w:r>
        <w:t xml:space="preserve">Currently enrolled in a clinical study involving an investigational production (IP) or any other type of </w:t>
      </w:r>
      <w:r>
        <w:t>medical research judged not to be scientifically or medically compatible with this study.</w:t>
      </w:r>
    </w:p>
    <w:p w14:paraId="0D900F51" w14:textId="1E88AEE1" w:rsidR="004B35A6" w:rsidRDefault="000F7841">
      <w:pPr>
        <w:pStyle w:val="ListParagraph"/>
        <w:numPr>
          <w:ilvl w:val="0"/>
          <w:numId w:val="3"/>
        </w:numPr>
        <w:spacing w:line="276" w:lineRule="auto"/>
      </w:pPr>
      <w:r>
        <w:t xml:space="preserve">Previously completed or withdrawn from this study or any other study investigating </w:t>
      </w:r>
      <w:r w:rsidR="005F0811">
        <w:t>REZPEG</w:t>
      </w:r>
      <w:r>
        <w:t xml:space="preserve"> and have previously received the IP.</w:t>
      </w:r>
    </w:p>
    <w:p w14:paraId="6AA84135" w14:textId="4AC9F64F" w:rsidR="004B35A6" w:rsidRDefault="000F7841">
      <w:pPr>
        <w:pStyle w:val="ListParagraph"/>
        <w:numPr>
          <w:ilvl w:val="0"/>
          <w:numId w:val="3"/>
        </w:numPr>
        <w:spacing w:line="276" w:lineRule="auto"/>
      </w:pPr>
      <w:r>
        <w:t xml:space="preserve">Known allergies to </w:t>
      </w:r>
      <w:r w:rsidR="005F0811">
        <w:t>REZPEG</w:t>
      </w:r>
      <w:r>
        <w:t>, related compounds, or any components of the formulation.</w:t>
      </w:r>
    </w:p>
    <w:p w14:paraId="53DA8397" w14:textId="77777777" w:rsidR="004B35A6" w:rsidRDefault="000F7841">
      <w:pPr>
        <w:pStyle w:val="ListParagraph"/>
        <w:numPr>
          <w:ilvl w:val="0"/>
          <w:numId w:val="3"/>
        </w:numPr>
        <w:spacing w:line="276" w:lineRule="auto"/>
      </w:pPr>
      <w:r>
        <w:t>Clinically significant ECG abnormalities including QT interval corrected using Fridericia’s formula &gt; 450 msec for males and &gt; 470 msec for females.</w:t>
      </w:r>
    </w:p>
    <w:p w14:paraId="00F722EF" w14:textId="77777777" w:rsidR="004B35A6" w:rsidRDefault="000F7841">
      <w:pPr>
        <w:pStyle w:val="ListParagraph"/>
        <w:numPr>
          <w:ilvl w:val="0"/>
          <w:numId w:val="3"/>
        </w:numPr>
        <w:spacing w:line="276" w:lineRule="auto"/>
      </w:pPr>
      <w:r>
        <w:t>History of additional risk factors for Torsades de Pointes (e.g., heart failure, hypokalemia, family history of long QT syndrome).</w:t>
      </w:r>
    </w:p>
    <w:p w14:paraId="2403CD98" w14:textId="77777777" w:rsidR="004B35A6" w:rsidRDefault="000F7841">
      <w:pPr>
        <w:pStyle w:val="ListParagraph"/>
        <w:numPr>
          <w:ilvl w:val="0"/>
          <w:numId w:val="3"/>
        </w:numPr>
        <w:spacing w:line="276" w:lineRule="auto"/>
      </w:pPr>
      <w:r>
        <w:t>Use of concomitant medications (excluding medications which could be used to treat depression) that prolong the QT/QTc interval.</w:t>
      </w:r>
    </w:p>
    <w:p w14:paraId="40F2FE7C" w14:textId="77777777" w:rsidR="004B35A6" w:rsidRDefault="000F7841">
      <w:pPr>
        <w:pStyle w:val="ListParagraph"/>
        <w:numPr>
          <w:ilvl w:val="0"/>
          <w:numId w:val="3"/>
        </w:numPr>
        <w:spacing w:line="276" w:lineRule="auto"/>
      </w:pPr>
      <w:r>
        <w:t>Clinically relevant abnormally blood pressure and/or heart rate as determined by the investigator.</w:t>
      </w:r>
    </w:p>
    <w:p w14:paraId="4519BE37" w14:textId="77777777" w:rsidR="004B35A6" w:rsidRDefault="000F7841">
      <w:pPr>
        <w:pStyle w:val="ListParagraph"/>
        <w:numPr>
          <w:ilvl w:val="0"/>
          <w:numId w:val="3"/>
        </w:numPr>
        <w:spacing w:line="276" w:lineRule="auto"/>
      </w:pPr>
      <w:r>
        <w:t>Evidence of significant liver or kidney dysfunction, including any of the following at screening:</w:t>
      </w:r>
    </w:p>
    <w:p w14:paraId="07A31A14" w14:textId="77777777" w:rsidR="004B35A6" w:rsidRDefault="000F7841">
      <w:pPr>
        <w:pStyle w:val="ListParagraph"/>
        <w:numPr>
          <w:ilvl w:val="1"/>
          <w:numId w:val="3"/>
        </w:numPr>
        <w:spacing w:line="276" w:lineRule="auto"/>
      </w:pPr>
      <w:r>
        <w:t>Estimated glomerular filtration rate of ≤ 60 mL/min, using the Modification of Diet in Renal Disease equation.</w:t>
      </w:r>
    </w:p>
    <w:p w14:paraId="172C196E" w14:textId="77777777" w:rsidR="004B35A6" w:rsidRDefault="000F7841">
      <w:pPr>
        <w:pStyle w:val="ListParagraph"/>
        <w:numPr>
          <w:ilvl w:val="1"/>
          <w:numId w:val="3"/>
        </w:numPr>
        <w:spacing w:line="276" w:lineRule="auto"/>
      </w:pPr>
      <w:r>
        <w:t>Aspartate aminotransferase (AST), alanine aminotransferase (ALT), or alkaline phosphatase (ALP) &gt; 1.5X upper limit of normal (ULN); or</w:t>
      </w:r>
    </w:p>
    <w:p w14:paraId="11D8523A" w14:textId="77777777" w:rsidR="004B35A6" w:rsidRDefault="000F7841">
      <w:pPr>
        <w:pStyle w:val="ListParagraph"/>
        <w:numPr>
          <w:ilvl w:val="1"/>
          <w:numId w:val="3"/>
        </w:numPr>
        <w:spacing w:line="276" w:lineRule="auto"/>
      </w:pPr>
      <w:r>
        <w:t>Total bilirubin level (TBL) &gt; 1.5X ULN</w:t>
      </w:r>
    </w:p>
    <w:p w14:paraId="32D73691" w14:textId="77777777" w:rsidR="004B35A6" w:rsidRDefault="000F7841">
      <w:pPr>
        <w:pStyle w:val="ListParagraph"/>
        <w:numPr>
          <w:ilvl w:val="0"/>
          <w:numId w:val="3"/>
        </w:numPr>
        <w:spacing w:line="276" w:lineRule="auto"/>
      </w:pPr>
      <w:r>
        <w:lastRenderedPageBreak/>
        <w:t>History of any significant cardiovascular disease (e.g., myocardial infarction, congestive heart failure, uncontrolled hypertension, cerebrovascular accident), thrombotic episode, or any severe medical illness, in the opinion of the investigator, within the previous 1 year.</w:t>
      </w:r>
    </w:p>
    <w:p w14:paraId="055514B2" w14:textId="77777777" w:rsidR="004B35A6" w:rsidRDefault="000F7841">
      <w:pPr>
        <w:pStyle w:val="ListParagraph"/>
        <w:numPr>
          <w:ilvl w:val="0"/>
          <w:numId w:val="3"/>
        </w:numPr>
        <w:spacing w:line="276" w:lineRule="auto"/>
      </w:pPr>
      <w:r>
        <w:t>Evidence of significant hematologic dysfunction, including any of the following at screening:</w:t>
      </w:r>
    </w:p>
    <w:p w14:paraId="2C07B719" w14:textId="77777777" w:rsidR="004B35A6" w:rsidRDefault="000F7841">
      <w:pPr>
        <w:pStyle w:val="ListParagraph"/>
        <w:numPr>
          <w:ilvl w:val="1"/>
          <w:numId w:val="3"/>
        </w:numPr>
        <w:spacing w:line="276" w:lineRule="auto"/>
      </w:pPr>
      <w:r>
        <w:t>Hemoglobin &lt; 10.0 g/dL</w:t>
      </w:r>
    </w:p>
    <w:p w14:paraId="3F080A08" w14:textId="77777777" w:rsidR="004B35A6" w:rsidRDefault="000F7841">
      <w:pPr>
        <w:pStyle w:val="ListParagraph"/>
        <w:numPr>
          <w:ilvl w:val="1"/>
          <w:numId w:val="3"/>
        </w:numPr>
        <w:spacing w:line="276" w:lineRule="auto"/>
      </w:pPr>
      <w:r>
        <w:t>Absolute neutrophil count &lt; 1.8 x 10</w:t>
      </w:r>
      <w:r>
        <w:rPr>
          <w:vertAlign w:val="superscript"/>
        </w:rPr>
        <w:t>9</w:t>
      </w:r>
      <w:r>
        <w:t>/L</w:t>
      </w:r>
    </w:p>
    <w:p w14:paraId="3275A77A" w14:textId="77777777" w:rsidR="004B35A6" w:rsidRDefault="000F7841">
      <w:pPr>
        <w:pStyle w:val="ListParagraph"/>
        <w:numPr>
          <w:ilvl w:val="1"/>
          <w:numId w:val="3"/>
        </w:numPr>
        <w:spacing w:line="276" w:lineRule="auto"/>
      </w:pPr>
      <w:r>
        <w:t>Total white blood cell (WBC) &lt; 3.6 x 10</w:t>
      </w:r>
      <w:r>
        <w:rPr>
          <w:vertAlign w:val="superscript"/>
        </w:rPr>
        <w:t>9</w:t>
      </w:r>
      <w:r>
        <w:t>/L</w:t>
      </w:r>
    </w:p>
    <w:p w14:paraId="66A6D39A" w14:textId="77777777" w:rsidR="004B35A6" w:rsidRDefault="000F7841">
      <w:pPr>
        <w:pStyle w:val="ListParagraph"/>
        <w:numPr>
          <w:ilvl w:val="1"/>
          <w:numId w:val="3"/>
        </w:numPr>
        <w:spacing w:line="276" w:lineRule="auto"/>
      </w:pPr>
      <w:r>
        <w:t>Absolute lymphocyte count ≤ 0.8 x 10</w:t>
      </w:r>
      <w:r>
        <w:rPr>
          <w:vertAlign w:val="superscript"/>
        </w:rPr>
        <w:t>9</w:t>
      </w:r>
      <w:r>
        <w:t>/L</w:t>
      </w:r>
    </w:p>
    <w:p w14:paraId="2910A472" w14:textId="77777777" w:rsidR="004B35A6" w:rsidRDefault="000F7841">
      <w:pPr>
        <w:pStyle w:val="ListParagraph"/>
        <w:numPr>
          <w:ilvl w:val="1"/>
          <w:numId w:val="3"/>
        </w:numPr>
        <w:spacing w:line="276" w:lineRule="auto"/>
      </w:pPr>
      <w:r>
        <w:t>Platelet count &lt; 100 x 10</w:t>
      </w:r>
      <w:r>
        <w:rPr>
          <w:vertAlign w:val="superscript"/>
        </w:rPr>
        <w:t>9</w:t>
      </w:r>
      <w:r>
        <w:t>/L or</w:t>
      </w:r>
    </w:p>
    <w:p w14:paraId="7E8179A9" w14:textId="77777777" w:rsidR="004B35A6" w:rsidRDefault="000F7841">
      <w:pPr>
        <w:pStyle w:val="ListParagraph"/>
        <w:numPr>
          <w:ilvl w:val="1"/>
          <w:numId w:val="3"/>
        </w:numPr>
        <w:spacing w:line="276" w:lineRule="auto"/>
      </w:pPr>
      <w:r>
        <w:t>Eosinophil count &gt; 3000 μL</w:t>
      </w:r>
    </w:p>
    <w:p w14:paraId="482536D7" w14:textId="77777777" w:rsidR="004B35A6" w:rsidRDefault="000F7841">
      <w:pPr>
        <w:pStyle w:val="ListParagraph"/>
        <w:numPr>
          <w:ilvl w:val="0"/>
          <w:numId w:val="3"/>
        </w:numPr>
        <w:spacing w:line="276" w:lineRule="auto"/>
      </w:pPr>
      <w:r>
        <w:t>Currently experiencing or have a history of other concomitant skin conditions (e.g., psoriasis or cutaneous lupus) that would interfere with evaluations of the effect of study drug on AtD.</w:t>
      </w:r>
    </w:p>
    <w:p w14:paraId="56B5A5E7" w14:textId="77777777" w:rsidR="004B35A6" w:rsidRDefault="000F7841">
      <w:pPr>
        <w:pStyle w:val="ListParagraph"/>
        <w:numPr>
          <w:ilvl w:val="0"/>
          <w:numId w:val="3"/>
        </w:numPr>
        <w:spacing w:line="276" w:lineRule="auto"/>
      </w:pPr>
      <w:r>
        <w:t>Patients who are currently experiencing or have a history of erythrodermic, refractory, or unstable skin disease that requires frequent hospitalizations and/or IV treatment for skin infections that may interfere with participation in the study.</w:t>
      </w:r>
    </w:p>
    <w:p w14:paraId="11AA79EB" w14:textId="77777777" w:rsidR="004B35A6" w:rsidRDefault="000F7841">
      <w:pPr>
        <w:pStyle w:val="ListParagraph"/>
        <w:numPr>
          <w:ilvl w:val="0"/>
          <w:numId w:val="3"/>
        </w:numPr>
        <w:spacing w:line="276" w:lineRule="auto"/>
      </w:pPr>
      <w:r>
        <w:t>History of eczema herpeticum within 12 months prior to screening.</w:t>
      </w:r>
    </w:p>
    <w:p w14:paraId="5413EE88" w14:textId="77777777" w:rsidR="004B35A6" w:rsidRDefault="000F7841">
      <w:pPr>
        <w:pStyle w:val="ListParagraph"/>
        <w:numPr>
          <w:ilvl w:val="0"/>
          <w:numId w:val="3"/>
        </w:numPr>
        <w:spacing w:line="276" w:lineRule="auto"/>
      </w:pPr>
      <w:r>
        <w:t>History of 2 or more episodes of eczema herpeticum.</w:t>
      </w:r>
    </w:p>
    <w:p w14:paraId="1BB2C029" w14:textId="77777777" w:rsidR="004B35A6" w:rsidRDefault="000F7841">
      <w:pPr>
        <w:pStyle w:val="ListParagraph"/>
        <w:numPr>
          <w:ilvl w:val="0"/>
          <w:numId w:val="3"/>
        </w:numPr>
        <w:spacing w:line="276" w:lineRule="auto"/>
      </w:pPr>
      <w:r>
        <w:t>Patients who are currently experiencing a skin infection that requires treatment, or is currently being treated, with topical or systemic antibiotics.</w:t>
      </w:r>
    </w:p>
    <w:p w14:paraId="338295D3" w14:textId="77777777" w:rsidR="004B35A6" w:rsidRDefault="000F7841">
      <w:pPr>
        <w:pStyle w:val="ListParagraph"/>
        <w:numPr>
          <w:ilvl w:val="0"/>
          <w:numId w:val="3"/>
        </w:numPr>
        <w:spacing w:line="276" w:lineRule="auto"/>
      </w:pPr>
      <w:r>
        <w:t>Any serious concomitant illness that is anticipated to require the use of systemic corticosteroids or otherwise interfere with study participation or require active frequent monitoring, such as unstable chronic asthma.</w:t>
      </w:r>
    </w:p>
    <w:p w14:paraId="33BA8A95" w14:textId="77777777" w:rsidR="004B35A6" w:rsidRDefault="000F7841">
      <w:pPr>
        <w:pStyle w:val="ListParagraph"/>
        <w:numPr>
          <w:ilvl w:val="0"/>
          <w:numId w:val="3"/>
        </w:numPr>
        <w:spacing w:line="276" w:lineRule="auto"/>
      </w:pPr>
      <w:r>
        <w:t xml:space="preserve">History of any disease apart from AtD that has required treatment with oral or parenteral corticosteroids for more than 2 </w:t>
      </w:r>
      <w:r>
        <w:t>weeks within the past 24 weeks prior to signing the informed consent form (ICF).</w:t>
      </w:r>
    </w:p>
    <w:p w14:paraId="1663422F" w14:textId="77777777" w:rsidR="004B35A6" w:rsidRDefault="000F7841">
      <w:pPr>
        <w:pStyle w:val="ListParagraph"/>
        <w:numPr>
          <w:ilvl w:val="0"/>
          <w:numId w:val="3"/>
        </w:numPr>
        <w:spacing w:line="276" w:lineRule="auto"/>
      </w:pPr>
      <w:r>
        <w:t>History of primary immunodeficiency, splenectomy, or any underlying condition that predisposes the subject to infection.</w:t>
      </w:r>
    </w:p>
    <w:p w14:paraId="78EEC68F" w14:textId="77777777" w:rsidR="004B35A6" w:rsidRDefault="000F7841">
      <w:pPr>
        <w:pStyle w:val="ListParagraph"/>
        <w:numPr>
          <w:ilvl w:val="0"/>
          <w:numId w:val="3"/>
        </w:numPr>
        <w:spacing w:line="276" w:lineRule="auto"/>
      </w:pPr>
      <w:r>
        <w:t>History of major surgery within 12 weeks of screening or will require major surgery during the study.</w:t>
      </w:r>
    </w:p>
    <w:p w14:paraId="7B4452B5" w14:textId="77777777" w:rsidR="004B35A6" w:rsidRDefault="000F7841">
      <w:pPr>
        <w:pStyle w:val="ListParagraph"/>
        <w:numPr>
          <w:ilvl w:val="0"/>
          <w:numId w:val="3"/>
        </w:numPr>
        <w:spacing w:line="276" w:lineRule="auto"/>
      </w:pPr>
      <w:r>
        <w:t>Considered to be at significant risk for suicide.</w:t>
      </w:r>
    </w:p>
    <w:p w14:paraId="0725E637" w14:textId="77777777" w:rsidR="004B35A6" w:rsidRDefault="000F7841">
      <w:pPr>
        <w:pStyle w:val="ListParagraph"/>
        <w:numPr>
          <w:ilvl w:val="0"/>
          <w:numId w:val="3"/>
        </w:numPr>
        <w:spacing w:line="276" w:lineRule="auto"/>
      </w:pPr>
      <w:r>
        <w:t>Regularly use known drugs of abuse and/or show positive findings from drug screening.</w:t>
      </w:r>
    </w:p>
    <w:p w14:paraId="53FD7437" w14:textId="77777777" w:rsidR="004B35A6" w:rsidRDefault="000F7841">
      <w:pPr>
        <w:pStyle w:val="ListParagraph"/>
        <w:numPr>
          <w:ilvl w:val="0"/>
          <w:numId w:val="3"/>
        </w:numPr>
        <w:spacing w:line="276" w:lineRule="auto"/>
      </w:pPr>
      <w:r>
        <w:t>History of alcohol or other drug abuse within the last year.</w:t>
      </w:r>
    </w:p>
    <w:p w14:paraId="3D605093" w14:textId="77777777" w:rsidR="004B35A6" w:rsidRDefault="000F7841">
      <w:pPr>
        <w:pStyle w:val="ListParagraph"/>
        <w:numPr>
          <w:ilvl w:val="0"/>
          <w:numId w:val="3"/>
        </w:numPr>
        <w:spacing w:line="276" w:lineRule="auto"/>
      </w:pPr>
      <w:r>
        <w:t>Evidence of HIV infection and/or positive human HIV antibodies.</w:t>
      </w:r>
    </w:p>
    <w:p w14:paraId="32FFF524" w14:textId="77777777" w:rsidR="004B35A6" w:rsidRDefault="000F7841">
      <w:pPr>
        <w:pStyle w:val="ListParagraph"/>
        <w:numPr>
          <w:ilvl w:val="0"/>
          <w:numId w:val="3"/>
        </w:numPr>
        <w:spacing w:line="276" w:lineRule="auto"/>
      </w:pPr>
      <w:r>
        <w:lastRenderedPageBreak/>
        <w:t>Evidence of hepatitis B and/or hepatitis B surface antigen and/or are positive for hepatitis B core antibody at screening.</w:t>
      </w:r>
    </w:p>
    <w:p w14:paraId="206C2279" w14:textId="77777777" w:rsidR="004B35A6" w:rsidRDefault="000F7841">
      <w:pPr>
        <w:pStyle w:val="ListParagraph"/>
        <w:numPr>
          <w:ilvl w:val="0"/>
          <w:numId w:val="3"/>
        </w:numPr>
        <w:spacing w:line="276" w:lineRule="auto"/>
      </w:pPr>
      <w:r>
        <w:t>Evidence of hepatitis C and/or positive hepatitis C antibody at screening.</w:t>
      </w:r>
    </w:p>
    <w:p w14:paraId="6F733EDE" w14:textId="77777777" w:rsidR="004B35A6" w:rsidRDefault="000F7841">
      <w:pPr>
        <w:pStyle w:val="ListParagraph"/>
        <w:numPr>
          <w:ilvl w:val="0"/>
          <w:numId w:val="3"/>
        </w:numPr>
        <w:spacing w:line="276" w:lineRule="auto"/>
      </w:pPr>
      <w:r>
        <w:t>Women who are breastfeeding.</w:t>
      </w:r>
    </w:p>
    <w:p w14:paraId="333FAC5B" w14:textId="77777777" w:rsidR="004B35A6" w:rsidRDefault="000F7841">
      <w:pPr>
        <w:pStyle w:val="ListParagraph"/>
        <w:numPr>
          <w:ilvl w:val="0"/>
          <w:numId w:val="3"/>
        </w:numPr>
        <w:spacing w:line="276" w:lineRule="auto"/>
      </w:pPr>
      <w:r>
        <w:t>Donated blood of more than 500 mL within the previous 4 weeks of study screening.</w:t>
      </w:r>
    </w:p>
    <w:p w14:paraId="2CC3F381" w14:textId="77777777" w:rsidR="004B35A6" w:rsidRDefault="000F7841">
      <w:pPr>
        <w:pStyle w:val="ListParagraph"/>
        <w:numPr>
          <w:ilvl w:val="0"/>
          <w:numId w:val="3"/>
        </w:numPr>
        <w:spacing w:line="276" w:lineRule="auto"/>
      </w:pPr>
      <w:r>
        <w:t>Received blood products within 6 months prior to screening.</w:t>
      </w:r>
    </w:p>
    <w:p w14:paraId="74616A89" w14:textId="77777777" w:rsidR="004B35A6" w:rsidRDefault="000F7841">
      <w:pPr>
        <w:pStyle w:val="ListParagraph"/>
        <w:numPr>
          <w:ilvl w:val="0"/>
          <w:numId w:val="3"/>
        </w:numPr>
        <w:spacing w:line="276" w:lineRule="auto"/>
      </w:pPr>
      <w:r>
        <w:t>Symptomatic herpes zoster within 3 months of screening.</w:t>
      </w:r>
    </w:p>
    <w:p w14:paraId="5840FF55" w14:textId="77777777" w:rsidR="004B35A6" w:rsidRDefault="000F7841">
      <w:pPr>
        <w:pStyle w:val="ListParagraph"/>
        <w:numPr>
          <w:ilvl w:val="0"/>
          <w:numId w:val="3"/>
        </w:numPr>
        <w:spacing w:line="276" w:lineRule="auto"/>
      </w:pPr>
      <w:r>
        <w:t>Show evidence of active or latent TB.</w:t>
      </w:r>
    </w:p>
    <w:p w14:paraId="50903991" w14:textId="77777777" w:rsidR="004B35A6" w:rsidRDefault="000F7841">
      <w:pPr>
        <w:pStyle w:val="ListParagraph"/>
        <w:numPr>
          <w:ilvl w:val="0"/>
          <w:numId w:val="3"/>
        </w:numPr>
        <w:spacing w:line="276" w:lineRule="auto"/>
      </w:pPr>
      <w:r>
        <w:t>Received live vaccines (including live attenuated vaccines) within 4 weeks of screening or intend to receive during the study and for 5 drug half-lives after the last dose of the study drug through week 19.</w:t>
      </w:r>
    </w:p>
    <w:p w14:paraId="47FD59C6" w14:textId="77777777" w:rsidR="004B35A6" w:rsidRDefault="000F7841">
      <w:pPr>
        <w:pStyle w:val="ListParagraph"/>
        <w:numPr>
          <w:ilvl w:val="0"/>
          <w:numId w:val="3"/>
        </w:numPr>
        <w:spacing w:line="276" w:lineRule="auto"/>
      </w:pPr>
      <w:r>
        <w:t>Received BCG vaccine within 12 months of screening or intend to during the study and for 5 drug half-lives after the last dose of study drug.</w:t>
      </w:r>
    </w:p>
    <w:p w14:paraId="5D69E28F" w14:textId="77777777" w:rsidR="004B35A6" w:rsidRDefault="000F7841">
      <w:pPr>
        <w:pStyle w:val="ListParagraph"/>
        <w:numPr>
          <w:ilvl w:val="0"/>
          <w:numId w:val="3"/>
        </w:numPr>
        <w:spacing w:line="276" w:lineRule="auto"/>
      </w:pPr>
      <w:r>
        <w:t>Received treatment with biologic agents (such as monoclonal antibodies, including marketed drugs) within 3 months or 5 half-lives (whichever is longer) prior to dosing.</w:t>
      </w:r>
    </w:p>
    <w:p w14:paraId="42257BCA" w14:textId="77777777" w:rsidR="004B35A6" w:rsidRDefault="000F7841">
      <w:pPr>
        <w:pStyle w:val="ListParagraph"/>
        <w:numPr>
          <w:ilvl w:val="0"/>
          <w:numId w:val="3"/>
        </w:numPr>
        <w:spacing w:line="276" w:lineRule="auto"/>
      </w:pPr>
      <w:r>
        <w:t>Received any small molecule IP within 4 weeks or 5 half-lives before screening, whichever is greater.</w:t>
      </w:r>
    </w:p>
    <w:p w14:paraId="330AC72E" w14:textId="31B0C245" w:rsidR="004B35A6" w:rsidRDefault="000F7841">
      <w:pPr>
        <w:pStyle w:val="ListParagraph"/>
        <w:numPr>
          <w:ilvl w:val="0"/>
          <w:numId w:val="3"/>
        </w:numPr>
        <w:spacing w:line="276" w:lineRule="auto"/>
      </w:pPr>
      <w:r>
        <w:t xml:space="preserve">History of clinically significant drug hypersensitivity reactions that may predispose the patient to a clinically significant hypersensitivity reaction to </w:t>
      </w:r>
      <w:r w:rsidR="005F0811">
        <w:t>REZPEG</w:t>
      </w:r>
      <w:r>
        <w:t xml:space="preserve"> or its formula excipients.</w:t>
      </w:r>
    </w:p>
    <w:p w14:paraId="3F87FE89" w14:textId="77777777" w:rsidR="004B35A6" w:rsidRDefault="000F7841">
      <w:pPr>
        <w:pStyle w:val="ListParagraph"/>
        <w:numPr>
          <w:ilvl w:val="0"/>
          <w:numId w:val="3"/>
        </w:numPr>
        <w:spacing w:line="276" w:lineRule="auto"/>
      </w:pPr>
      <w:r>
        <w:t>History of clinically significant intolerance to TCS.</w:t>
      </w:r>
    </w:p>
    <w:p w14:paraId="5F3CAAE7" w14:textId="77777777" w:rsidR="004B35A6" w:rsidRDefault="000F7841">
      <w:pPr>
        <w:pStyle w:val="ListParagraph"/>
        <w:numPr>
          <w:ilvl w:val="0"/>
          <w:numId w:val="3"/>
        </w:numPr>
        <w:spacing w:line="276" w:lineRule="auto"/>
      </w:pPr>
      <w:r>
        <w:t>Received any parenteral corticosteroid administered through intra-articular injection or intramuscular or IV injection within 2 weeks prior to study entry or within 6 weeks prior to planned baseline (day 1) or are anticipated to require parenteral injection of corticosteroids during the study.</w:t>
      </w:r>
    </w:p>
    <w:p w14:paraId="357557A8" w14:textId="77777777" w:rsidR="004B35A6" w:rsidRDefault="000F7841">
      <w:pPr>
        <w:pStyle w:val="ListParagraph"/>
        <w:numPr>
          <w:ilvl w:val="0"/>
          <w:numId w:val="3"/>
        </w:numPr>
        <w:spacing w:line="276" w:lineRule="auto"/>
      </w:pPr>
      <w:r>
        <w:t>Received aldesleukin or any investigational IL-2 analog at any time.</w:t>
      </w:r>
    </w:p>
    <w:p w14:paraId="71B0858B" w14:textId="77777777" w:rsidR="004B35A6" w:rsidRDefault="000F7841">
      <w:pPr>
        <w:pStyle w:val="ListParagraph"/>
        <w:numPr>
          <w:ilvl w:val="0"/>
          <w:numId w:val="3"/>
        </w:numPr>
        <w:spacing w:line="276" w:lineRule="auto"/>
      </w:pPr>
      <w:r>
        <w:t>Received the following medications/treatments within 4 weeks prior to baseline (day 1) or plan to continue use throughout the study:</w:t>
      </w:r>
    </w:p>
    <w:p w14:paraId="1C002A92" w14:textId="77777777" w:rsidR="004B35A6" w:rsidRDefault="000F7841">
      <w:pPr>
        <w:pStyle w:val="ListParagraph"/>
        <w:numPr>
          <w:ilvl w:val="1"/>
          <w:numId w:val="3"/>
        </w:numPr>
        <w:spacing w:line="276" w:lineRule="auto"/>
      </w:pPr>
      <w:r>
        <w:t>Oral systemic corticosteroids and leukotriene inhibitors</w:t>
      </w:r>
    </w:p>
    <w:p w14:paraId="4D6DED4B" w14:textId="77777777" w:rsidR="004B35A6" w:rsidRDefault="000F7841">
      <w:pPr>
        <w:pStyle w:val="ListParagraph"/>
        <w:numPr>
          <w:ilvl w:val="1"/>
          <w:numId w:val="3"/>
        </w:numPr>
        <w:spacing w:line="276" w:lineRule="auto"/>
      </w:pPr>
      <w:r>
        <w:t>Systemic immunomodulators, including, but not limited to, cyclosporine, methotrexate, mycophenolate mofetil, azathioprine, and Janus kinase (JAK) inhibitors (tofacitinib, ruxolitinib)</w:t>
      </w:r>
    </w:p>
    <w:p w14:paraId="0D353050" w14:textId="77777777" w:rsidR="004B35A6" w:rsidRDefault="000F7841">
      <w:pPr>
        <w:pStyle w:val="ListParagraph"/>
        <w:numPr>
          <w:ilvl w:val="1"/>
          <w:numId w:val="3"/>
        </w:numPr>
        <w:spacing w:line="276" w:lineRule="auto"/>
      </w:pPr>
      <w:r>
        <w:t>Any other systemic therapy used to treat AtD or symptoms of AtD (approved or off-label use), or</w:t>
      </w:r>
    </w:p>
    <w:p w14:paraId="4C8B2D47" w14:textId="77777777" w:rsidR="004B35A6" w:rsidRDefault="000F7841">
      <w:pPr>
        <w:pStyle w:val="ListParagraph"/>
        <w:numPr>
          <w:ilvl w:val="1"/>
          <w:numId w:val="3"/>
        </w:numPr>
        <w:spacing w:line="276" w:lineRule="auto"/>
      </w:pPr>
      <w:r>
        <w:t>Phototherapy, including therapeutic phototherapy (psoralen plus ultraviolet A, ultraviolet B), excimer laser, or tanning beds.</w:t>
      </w:r>
    </w:p>
    <w:p w14:paraId="1254C9D3" w14:textId="77777777" w:rsidR="004B35A6" w:rsidRDefault="000F7841">
      <w:pPr>
        <w:pStyle w:val="ListParagraph"/>
        <w:numPr>
          <w:ilvl w:val="0"/>
          <w:numId w:val="3"/>
        </w:numPr>
        <w:spacing w:line="276" w:lineRule="auto"/>
      </w:pPr>
      <w:r>
        <w:t>History of organ or bone marrow transplant.</w:t>
      </w:r>
    </w:p>
    <w:p w14:paraId="59CF4CA3" w14:textId="77777777" w:rsidR="004B35A6" w:rsidRDefault="000F7841">
      <w:pPr>
        <w:pStyle w:val="ListParagraph"/>
        <w:numPr>
          <w:ilvl w:val="0"/>
          <w:numId w:val="3"/>
        </w:numPr>
        <w:spacing w:line="276" w:lineRule="auto"/>
      </w:pPr>
      <w:r>
        <w:lastRenderedPageBreak/>
        <w:t xml:space="preserve">Lymphoma, leukemia, or any </w:t>
      </w:r>
      <w:r>
        <w:t>malignancy within the past 5 years, with the exception of basal cell or squamous epithelial carcinomas of the skin that have been resected with no evidence of metastatic disease for 3 years, or cervical carcinoma in situ, with no evidence of recurrence within the 5 years prior to baseline.</w:t>
      </w:r>
    </w:p>
    <w:p w14:paraId="00BBF0C5" w14:textId="77777777" w:rsidR="004B35A6" w:rsidRDefault="000F7841">
      <w:pPr>
        <w:pStyle w:val="ListParagraph"/>
        <w:numPr>
          <w:ilvl w:val="0"/>
          <w:numId w:val="3"/>
        </w:numPr>
        <w:spacing w:line="276" w:lineRule="auto"/>
      </w:pPr>
      <w:r>
        <w:t>Breast cancer within the past 10 years.</w:t>
      </w:r>
    </w:p>
    <w:p w14:paraId="45106A17" w14:textId="77777777" w:rsidR="004B35A6" w:rsidRDefault="000F7841">
      <w:pPr>
        <w:pStyle w:val="ListParagraph"/>
        <w:numPr>
          <w:ilvl w:val="0"/>
          <w:numId w:val="3"/>
        </w:numPr>
        <w:spacing w:line="276" w:lineRule="auto"/>
      </w:pPr>
      <w:r>
        <w:t>Have a current or recent acute active infection.  For at least 30 days prior to screening, patients must have no significant symptoms including fever of 100.5F (38C) or above, at screening or baseline, and/or signs of confirmed or suspected infection, and must have completed any appropriate anti-infective treatment.</w:t>
      </w:r>
    </w:p>
    <w:p w14:paraId="21C2DADC" w14:textId="77777777" w:rsidR="004B35A6" w:rsidRDefault="000F7841">
      <w:pPr>
        <w:pStyle w:val="ListParagraph"/>
        <w:numPr>
          <w:ilvl w:val="0"/>
          <w:numId w:val="3"/>
        </w:numPr>
        <w:spacing w:line="276" w:lineRule="auto"/>
      </w:pPr>
      <w:r>
        <w:t>Have had, within 6 months of screening, any of the following types of infection: serious infections, opportunistic infections, chronic infections, recurring infection.</w:t>
      </w:r>
    </w:p>
    <w:p w14:paraId="4B52FB72" w14:textId="77777777" w:rsidR="004B35A6" w:rsidRDefault="004B35A6">
      <w:pPr>
        <w:pStyle w:val="ListParagraph"/>
        <w:spacing w:line="276" w:lineRule="auto"/>
      </w:pPr>
    </w:p>
    <w:p w14:paraId="49850FDE" w14:textId="77777777" w:rsidR="004B35A6" w:rsidRDefault="004B35A6">
      <w:pPr>
        <w:spacing w:line="276" w:lineRule="auto"/>
      </w:pPr>
    </w:p>
    <w:p w14:paraId="6A55F585" w14:textId="77777777" w:rsidR="004B35A6" w:rsidRDefault="004B35A6">
      <w:pPr>
        <w:pStyle w:val="Heading1"/>
      </w:pPr>
    </w:p>
    <w:p w14:paraId="40D13EBD" w14:textId="1E0CC107" w:rsidR="004B35A6" w:rsidRDefault="000F7841">
      <w:pPr>
        <w:pStyle w:val="Heading1"/>
      </w:pPr>
      <w:bookmarkStart w:id="11" w:name="_Toc152315425"/>
      <w:r>
        <w:t>References</w:t>
      </w:r>
      <w:bookmarkEnd w:id="11"/>
    </w:p>
    <w:p w14:paraId="3816D9E1" w14:textId="77777777" w:rsidR="004B35A6" w:rsidRDefault="004B35A6">
      <w:pPr>
        <w:spacing w:line="276" w:lineRule="auto"/>
      </w:pPr>
    </w:p>
    <w:p w14:paraId="700F35FE" w14:textId="77777777" w:rsidR="004B35A6" w:rsidRDefault="000F7841">
      <w:pPr>
        <w:pStyle w:val="EndNoteBibliography"/>
        <w:spacing w:line="276" w:lineRule="auto"/>
        <w:ind w:left="720" w:hanging="720"/>
      </w:pPr>
      <w:r>
        <w:fldChar w:fldCharType="begin"/>
      </w:r>
      <w:r>
        <w:instrText xml:space="preserve"> ADDIN EN.REFLIST </w:instrText>
      </w:r>
      <w:r>
        <w:fldChar w:fldCharType="separate"/>
      </w:r>
      <w:r>
        <w:t>1.</w:t>
      </w:r>
      <w:r>
        <w:tab/>
        <w:t>Eichenfield, L.F.</w:t>
      </w:r>
      <w:r>
        <w:rPr>
          <w:i/>
        </w:rPr>
        <w:t>, et al.</w:t>
      </w:r>
      <w:r>
        <w:t xml:space="preserve"> Guidelines of care for the management of atopic dermatitis: section 1. Diagnosis and assessment of atopic dermatitis. </w:t>
      </w:r>
      <w:r>
        <w:rPr>
          <w:i/>
        </w:rPr>
        <w:t>J Am Acad Dermatol</w:t>
      </w:r>
      <w:r>
        <w:t xml:space="preserve"> </w:t>
      </w:r>
      <w:r>
        <w:rPr>
          <w:b/>
        </w:rPr>
        <w:t>70</w:t>
      </w:r>
      <w:r>
        <w:t>, 338-351 (2014).</w:t>
      </w:r>
    </w:p>
    <w:p w14:paraId="7B905F5A" w14:textId="3207CB4E" w:rsidR="004B35A6" w:rsidRDefault="000F7841">
      <w:pPr>
        <w:spacing w:line="276" w:lineRule="auto"/>
      </w:pPr>
      <w:r>
        <w:fldChar w:fldCharType="end"/>
      </w:r>
    </w:p>
    <w:sectPr w:rsidR="004B35A6">
      <w:footerReference w:type="even" r:id="rId20"/>
      <w:footerReference w:type="default" r:id="rId2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1680AE" w14:textId="77777777" w:rsidR="003251A8" w:rsidRDefault="003251A8">
      <w:r>
        <w:separator/>
      </w:r>
    </w:p>
  </w:endnote>
  <w:endnote w:type="continuationSeparator" w:id="0">
    <w:p w14:paraId="624634FD" w14:textId="77777777" w:rsidR="003251A8" w:rsidRDefault="00325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47BAB" w14:textId="6675563F" w:rsidR="004B35A6" w:rsidRDefault="000F784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35614A19" w14:textId="77777777" w:rsidR="004B35A6" w:rsidRDefault="004B35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08481362"/>
      <w:docPartObj>
        <w:docPartGallery w:val="Page Numbers (Bottom of Page)"/>
        <w:docPartUnique/>
      </w:docPartObj>
    </w:sdtPr>
    <w:sdtEndPr>
      <w:rPr>
        <w:rStyle w:val="PageNumber"/>
      </w:rPr>
    </w:sdtEndPr>
    <w:sdtContent>
      <w:p w14:paraId="1449F5BB" w14:textId="41F23D18" w:rsidR="004B35A6" w:rsidRDefault="000F784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sdtContent>
  </w:sdt>
  <w:p w14:paraId="51A078DF" w14:textId="77777777" w:rsidR="004B35A6" w:rsidRDefault="004B35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B9AAF" w14:textId="77777777" w:rsidR="003251A8" w:rsidRDefault="003251A8">
      <w:r>
        <w:separator/>
      </w:r>
    </w:p>
  </w:footnote>
  <w:footnote w:type="continuationSeparator" w:id="0">
    <w:p w14:paraId="5467B5FA" w14:textId="77777777" w:rsidR="003251A8" w:rsidRDefault="003251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5E48B6"/>
    <w:multiLevelType w:val="hybridMultilevel"/>
    <w:tmpl w:val="88A6D9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8CA514D"/>
    <w:multiLevelType w:val="hybridMultilevel"/>
    <w:tmpl w:val="55F61A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5E1701"/>
    <w:multiLevelType w:val="hybridMultilevel"/>
    <w:tmpl w:val="DEEA3C3E"/>
    <w:lvl w:ilvl="0" w:tplc="DA2676A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1493706">
    <w:abstractNumId w:val="2"/>
  </w:num>
  <w:num w:numId="2" w16cid:durableId="1437946059">
    <w:abstractNumId w:val="0"/>
  </w:num>
  <w:num w:numId="3" w16cid:durableId="17071704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9a5vpv03vwt58erafq5a9alpzp599sttzxa&quot;&gt;KFAD - NKTR-358 - AD&lt;record-ids&gt;&lt;item&gt;2&lt;/item&gt;&lt;/record-ids&gt;&lt;/item&gt;&lt;/Libraries&gt;"/>
  </w:docVars>
  <w:rsids>
    <w:rsidRoot w:val="00733349"/>
    <w:rsid w:val="000008F5"/>
    <w:rsid w:val="00002234"/>
    <w:rsid w:val="000024F7"/>
    <w:rsid w:val="00012E16"/>
    <w:rsid w:val="00022167"/>
    <w:rsid w:val="00030ABA"/>
    <w:rsid w:val="00031B06"/>
    <w:rsid w:val="00097BDF"/>
    <w:rsid w:val="000A6171"/>
    <w:rsid w:val="000F7841"/>
    <w:rsid w:val="00133250"/>
    <w:rsid w:val="00175399"/>
    <w:rsid w:val="00267D15"/>
    <w:rsid w:val="00281080"/>
    <w:rsid w:val="00284A16"/>
    <w:rsid w:val="002D4061"/>
    <w:rsid w:val="002D62AE"/>
    <w:rsid w:val="002D6486"/>
    <w:rsid w:val="00303819"/>
    <w:rsid w:val="00317EE8"/>
    <w:rsid w:val="0032375E"/>
    <w:rsid w:val="003251A8"/>
    <w:rsid w:val="00411D1E"/>
    <w:rsid w:val="00435559"/>
    <w:rsid w:val="0045500F"/>
    <w:rsid w:val="00472F1B"/>
    <w:rsid w:val="004B35A6"/>
    <w:rsid w:val="004C5388"/>
    <w:rsid w:val="004E7B11"/>
    <w:rsid w:val="00513B14"/>
    <w:rsid w:val="00546BEB"/>
    <w:rsid w:val="00556BC5"/>
    <w:rsid w:val="005B0FE3"/>
    <w:rsid w:val="005D2D2F"/>
    <w:rsid w:val="005E137D"/>
    <w:rsid w:val="005E356C"/>
    <w:rsid w:val="005F0811"/>
    <w:rsid w:val="00626ABF"/>
    <w:rsid w:val="00676052"/>
    <w:rsid w:val="00703443"/>
    <w:rsid w:val="00720759"/>
    <w:rsid w:val="0072379E"/>
    <w:rsid w:val="00733349"/>
    <w:rsid w:val="00734A61"/>
    <w:rsid w:val="0073713F"/>
    <w:rsid w:val="00756353"/>
    <w:rsid w:val="007629C6"/>
    <w:rsid w:val="00763352"/>
    <w:rsid w:val="007F04B9"/>
    <w:rsid w:val="008104F6"/>
    <w:rsid w:val="008839D9"/>
    <w:rsid w:val="008A40A8"/>
    <w:rsid w:val="008B7020"/>
    <w:rsid w:val="008F0133"/>
    <w:rsid w:val="00902F52"/>
    <w:rsid w:val="0090333F"/>
    <w:rsid w:val="00916BFB"/>
    <w:rsid w:val="00953945"/>
    <w:rsid w:val="00991344"/>
    <w:rsid w:val="009E74A4"/>
    <w:rsid w:val="00A05867"/>
    <w:rsid w:val="00A70396"/>
    <w:rsid w:val="00A918A3"/>
    <w:rsid w:val="00A92814"/>
    <w:rsid w:val="00AC5C04"/>
    <w:rsid w:val="00B13C63"/>
    <w:rsid w:val="00B55AAF"/>
    <w:rsid w:val="00B65897"/>
    <w:rsid w:val="00B962AD"/>
    <w:rsid w:val="00BF0073"/>
    <w:rsid w:val="00BF0CFD"/>
    <w:rsid w:val="00C90B80"/>
    <w:rsid w:val="00CC61D6"/>
    <w:rsid w:val="00CD1B5B"/>
    <w:rsid w:val="00D1252D"/>
    <w:rsid w:val="00D25E19"/>
    <w:rsid w:val="00D3122A"/>
    <w:rsid w:val="00D31B95"/>
    <w:rsid w:val="00D325EC"/>
    <w:rsid w:val="00D45823"/>
    <w:rsid w:val="00D4658C"/>
    <w:rsid w:val="00D63EA4"/>
    <w:rsid w:val="00D76909"/>
    <w:rsid w:val="00DA140F"/>
    <w:rsid w:val="00DC543C"/>
    <w:rsid w:val="00DD4DCD"/>
    <w:rsid w:val="00DE2EA7"/>
    <w:rsid w:val="00E07734"/>
    <w:rsid w:val="00E54FE4"/>
    <w:rsid w:val="00E60437"/>
    <w:rsid w:val="00E767FC"/>
    <w:rsid w:val="00E94D7E"/>
    <w:rsid w:val="00EA6619"/>
    <w:rsid w:val="00EB32CE"/>
    <w:rsid w:val="00EC39D6"/>
    <w:rsid w:val="00EF3B77"/>
    <w:rsid w:val="00F234C8"/>
    <w:rsid w:val="00F240BC"/>
    <w:rsid w:val="00F75F3D"/>
    <w:rsid w:val="00FE2290"/>
    <w:rsid w:val="72857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5C1ECE"/>
  <w15:chartTrackingRefBased/>
  <w15:docId w15:val="{EB5AA3DA-DB00-194C-8503-528E8F778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character" w:styleId="PageNumber">
    <w:name w:val="page number"/>
    <w:basedOn w:val="DefaultParagraphFont"/>
    <w:uiPriority w:val="99"/>
    <w:semiHidden/>
    <w:unhideWhenUsed/>
  </w:style>
  <w:style w:type="paragraph" w:styleId="ListParagraph">
    <w:name w:val="List Paragraph"/>
    <w:basedOn w:val="Normal"/>
    <w:link w:val="ListParagraphChar"/>
    <w:uiPriority w:val="34"/>
    <w:qFormat/>
    <w:pPr>
      <w:ind w:left="720"/>
      <w:contextualSpacing/>
    </w:pPr>
  </w:style>
  <w:style w:type="paragraph" w:customStyle="1" w:styleId="EndNoteBibliographyTitle">
    <w:name w:val="EndNote Bibliography Title"/>
    <w:basedOn w:val="Normal"/>
    <w:link w:val="EndNoteBibliographyTitleChar"/>
    <w:pPr>
      <w:jc w:val="center"/>
    </w:pPr>
    <w:rPr>
      <w:rFonts w:ascii="Calibri" w:hAnsi="Calibri" w:cs="Calibri"/>
    </w:rPr>
  </w:style>
  <w:style w:type="character" w:customStyle="1" w:styleId="ListParagraphChar">
    <w:name w:val="List Paragraph Char"/>
    <w:basedOn w:val="DefaultParagraphFont"/>
    <w:link w:val="ListParagraph"/>
    <w:uiPriority w:val="34"/>
  </w:style>
  <w:style w:type="character" w:customStyle="1" w:styleId="EndNoteBibliographyTitleChar">
    <w:name w:val="EndNote Bibliography Title Char"/>
    <w:basedOn w:val="ListParagraphChar"/>
    <w:link w:val="EndNoteBibliographyTitle"/>
    <w:rPr>
      <w:rFonts w:ascii="Calibri" w:hAnsi="Calibri" w:cs="Calibri"/>
    </w:rPr>
  </w:style>
  <w:style w:type="paragraph" w:customStyle="1" w:styleId="EndNoteBibliography">
    <w:name w:val="EndNote Bibliography"/>
    <w:basedOn w:val="Normal"/>
    <w:link w:val="EndNoteBibliographyChar"/>
    <w:rPr>
      <w:rFonts w:ascii="Calibri" w:hAnsi="Calibri" w:cs="Calibri"/>
    </w:rPr>
  </w:style>
  <w:style w:type="character" w:customStyle="1" w:styleId="EndNoteBibliographyChar">
    <w:name w:val="EndNote Bibliography Char"/>
    <w:basedOn w:val="ListParagraphChar"/>
    <w:link w:val="EndNoteBibliography"/>
    <w:rPr>
      <w:rFonts w:ascii="Calibri" w:hAnsi="Calibri" w:cs="Calibri"/>
    </w:rPr>
  </w:style>
  <w:style w:type="character" w:styleId="LineNumber">
    <w:name w:val="line number"/>
    <w:basedOn w:val="DefaultParagraphFont"/>
    <w:uiPriority w:val="99"/>
    <w:semiHidden/>
    <w:unhideWhenUsed/>
  </w:style>
  <w:style w:type="paragraph" w:styleId="NormalWeb">
    <w:name w:val="Normal (Web)"/>
    <w:basedOn w:val="Normal"/>
    <w:uiPriority w:val="99"/>
    <w:semiHidden/>
    <w:unhideWhenUsed/>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pPr>
      <w:spacing w:before="480" w:line="276" w:lineRule="auto"/>
      <w:outlineLvl w:val="9"/>
    </w:pPr>
    <w:rPr>
      <w:b/>
      <w:bCs/>
      <w:sz w:val="28"/>
      <w:szCs w:val="28"/>
    </w:rPr>
  </w:style>
  <w:style w:type="paragraph" w:styleId="TOC1">
    <w:name w:val="toc 1"/>
    <w:basedOn w:val="Normal"/>
    <w:next w:val="Normal"/>
    <w:autoRedefine/>
    <w:uiPriority w:val="39"/>
    <w:unhideWhenUsed/>
    <w:pPr>
      <w:spacing w:before="360" w:after="360"/>
    </w:pPr>
    <w:rPr>
      <w:rFonts w:cstheme="minorHAnsi"/>
      <w:b/>
      <w:bCs/>
      <w:caps/>
      <w:sz w:val="22"/>
      <w:szCs w:val="22"/>
      <w:u w:val="single"/>
    </w:rPr>
  </w:style>
  <w:style w:type="paragraph" w:styleId="TOC2">
    <w:name w:val="toc 2"/>
    <w:basedOn w:val="Normal"/>
    <w:next w:val="Normal"/>
    <w:autoRedefine/>
    <w:uiPriority w:val="39"/>
    <w:unhideWhenUsed/>
    <w:rPr>
      <w:rFonts w:cstheme="minorHAnsi"/>
      <w:b/>
      <w:bCs/>
      <w:smallCaps/>
      <w:sz w:val="22"/>
      <w:szCs w:val="22"/>
    </w:rPr>
  </w:style>
  <w:style w:type="character" w:styleId="Hyperlink">
    <w:name w:val="Hyperlink"/>
    <w:basedOn w:val="DefaultParagraphFont"/>
    <w:uiPriority w:val="99"/>
    <w:unhideWhenUsed/>
    <w:rPr>
      <w:color w:val="0563C1" w:themeColor="hyperlink"/>
      <w:u w:val="single"/>
    </w:rPr>
  </w:style>
  <w:style w:type="paragraph" w:styleId="TOC3">
    <w:name w:val="toc 3"/>
    <w:basedOn w:val="Normal"/>
    <w:next w:val="Normal"/>
    <w:autoRedefine/>
    <w:uiPriority w:val="39"/>
    <w:semiHidden/>
    <w:unhideWhenUsed/>
    <w:rPr>
      <w:rFonts w:cstheme="minorHAnsi"/>
      <w:smallCaps/>
      <w:sz w:val="22"/>
      <w:szCs w:val="22"/>
    </w:rPr>
  </w:style>
  <w:style w:type="paragraph" w:styleId="TOC4">
    <w:name w:val="toc 4"/>
    <w:basedOn w:val="Normal"/>
    <w:next w:val="Normal"/>
    <w:autoRedefine/>
    <w:uiPriority w:val="39"/>
    <w:semiHidden/>
    <w:unhideWhenUsed/>
    <w:rPr>
      <w:rFonts w:cstheme="minorHAnsi"/>
      <w:sz w:val="22"/>
      <w:szCs w:val="22"/>
    </w:rPr>
  </w:style>
  <w:style w:type="paragraph" w:styleId="TOC5">
    <w:name w:val="toc 5"/>
    <w:basedOn w:val="Normal"/>
    <w:next w:val="Normal"/>
    <w:autoRedefine/>
    <w:uiPriority w:val="39"/>
    <w:semiHidden/>
    <w:unhideWhenUsed/>
    <w:rPr>
      <w:rFonts w:cstheme="minorHAnsi"/>
      <w:sz w:val="22"/>
      <w:szCs w:val="22"/>
    </w:rPr>
  </w:style>
  <w:style w:type="paragraph" w:styleId="TOC6">
    <w:name w:val="toc 6"/>
    <w:basedOn w:val="Normal"/>
    <w:next w:val="Normal"/>
    <w:autoRedefine/>
    <w:uiPriority w:val="39"/>
    <w:semiHidden/>
    <w:unhideWhenUsed/>
    <w:rPr>
      <w:rFonts w:cstheme="minorHAnsi"/>
      <w:sz w:val="22"/>
      <w:szCs w:val="22"/>
    </w:rPr>
  </w:style>
  <w:style w:type="paragraph" w:styleId="TOC7">
    <w:name w:val="toc 7"/>
    <w:basedOn w:val="Normal"/>
    <w:next w:val="Normal"/>
    <w:autoRedefine/>
    <w:uiPriority w:val="39"/>
    <w:semiHidden/>
    <w:unhideWhenUsed/>
    <w:rPr>
      <w:rFonts w:cstheme="minorHAnsi"/>
      <w:sz w:val="22"/>
      <w:szCs w:val="22"/>
    </w:rPr>
  </w:style>
  <w:style w:type="paragraph" w:styleId="TOC8">
    <w:name w:val="toc 8"/>
    <w:basedOn w:val="Normal"/>
    <w:next w:val="Normal"/>
    <w:autoRedefine/>
    <w:uiPriority w:val="39"/>
    <w:semiHidden/>
    <w:unhideWhenUsed/>
    <w:rPr>
      <w:rFonts w:cstheme="minorHAnsi"/>
      <w:sz w:val="22"/>
      <w:szCs w:val="22"/>
    </w:rPr>
  </w:style>
  <w:style w:type="paragraph" w:styleId="TOC9">
    <w:name w:val="toc 9"/>
    <w:basedOn w:val="Normal"/>
    <w:next w:val="Normal"/>
    <w:autoRedefine/>
    <w:uiPriority w:val="39"/>
    <w:semiHidden/>
    <w:unhideWhenUsed/>
    <w:rPr>
      <w:rFonts w:cstheme="minorHAnsi"/>
      <w:sz w:val="22"/>
      <w:szCs w:val="22"/>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Pr>
      <w:rFonts w:ascii="Courier New" w:hAnsi="Courier New" w:cs="Courier New"/>
      <w:sz w:val="20"/>
      <w:szCs w:val="20"/>
    </w:rPr>
  </w:style>
  <w:style w:type="character" w:customStyle="1" w:styleId="gnd-iwgdh3b">
    <w:name w:val="gnd-iwgdh3b"/>
    <w:basedOn w:val="DefaultParagraphFont"/>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style>
  <w:style w:type="paragraph" w:styleId="CommentSubject">
    <w:name w:val="annotation subject"/>
    <w:basedOn w:val="CommentText"/>
    <w:next w:val="CommentText"/>
    <w:semiHidden/>
    <w:rsid w:val="00D43E6A"/>
    <w:rPr>
      <w:b/>
    </w:rPr>
  </w:style>
  <w:style w:type="paragraph" w:styleId="BalloonText">
    <w:name w:val="Balloon Text"/>
    <w:basedOn w:val="Normal"/>
    <w:semiHidden/>
    <w:rsid w:val="00D43E6A"/>
    <w:rPr>
      <w:rFonts w:ascii="Tahoma" w:hAnsi="Tahoma" w:cs="Tahoma"/>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0498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emf"/><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fontTable" Target="fontTable.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9DC9841673DC44D9AB6EA1AE30D1737" ma:contentTypeVersion="5" ma:contentTypeDescription="Create a new document." ma:contentTypeScope="" ma:versionID="bca598c092a1523bc426764047875dbd">
  <xsd:schema xmlns:xs="http://www.w3.org/2001/XMLSchema" xmlns:xsd="http://www.w3.org/2001/XMLSchema" xmlns:p="http://schemas.microsoft.com/office/2006/metadata/properties" xmlns:ns2="0b80ba6b-f736-4e1c-b290-08f0f4535808" xmlns:ns3="80692712-14fb-4870-b181-8dc2c2b60b04" targetNamespace="http://schemas.microsoft.com/office/2006/metadata/properties" ma:root="true" ma:fieldsID="d2f77e6bd52dab2298dfe488f3a4d671" ns2:_="" ns3:_="">
    <xsd:import namespace="0b80ba6b-f736-4e1c-b290-08f0f4535808"/>
    <xsd:import namespace="80692712-14fb-4870-b181-8dc2c2b60b0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http://www.w3.org/2001/XMLSchema" xmlns:xsd="http://www.w3.org/2001/XMLSchema" xmlns:dms="http://schemas.microsoft.com/office/2006/documentManagement/types" xmlns:pc="http://schemas.microsoft.com/office/infopath/2007/PartnerControls" targetNamespace="0b80ba6b-f736-4e1c-b290-08f0f45358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http://www.w3.org/2001/XMLSchema" xmlns:xsd="http://www.w3.org/2001/XMLSchema" xmlns:dms="http://schemas.microsoft.com/office/2006/documentManagement/types" xmlns:pc="http://schemas.microsoft.com/office/infopath/2007/PartnerControls" targetNamespace="80692712-14fb-4870-b181-8dc2c2b60b0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AA5173A3-A34E-41BD-8DB8-B442283A641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3C117C7-D897-4720-AD86-6A091425CE9B}">
  <ds:schemaRefs>
    <ds:schemaRef ds:uri="http://schemas.microsoft.com/sharepoint/v3/contenttype/forms"/>
  </ds:schemaRefs>
</ds:datastoreItem>
</file>

<file path=customXml/itemProps3.xml><?xml version="1.0" encoding="utf-8"?>
<ds:datastoreItem xmlns:ds="http://schemas.openxmlformats.org/officeDocument/2006/customXml" ds:itemID="{9C4562B3-CF83-44D2-A953-F8C1F39A14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80ba6b-f736-4e1c-b290-08f0f4535808"/>
    <ds:schemaRef ds:uri="80692712-14fb-4870-b181-8dc2c2b60b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67F7A07-22DA-D24E-BE22-9DFFDD59E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3108</Words>
  <Characters>17716</Characters>
  <Application>Microsoft Office Word</Application>
  <DocSecurity>0</DocSecurity>
  <Lines>147</Lines>
  <Paragraphs>41</Paragraphs>
  <ScaleCrop>false</ScaleCrop>
  <Company/>
  <LinksUpToDate>false</LinksUpToDate>
  <CharactersWithSpaces>20783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Horton</dc:creator>
  <cp:keywords/>
  <dc:description/>
  <cp:lastModifiedBy>Jaime Horton</cp:lastModifiedBy>
  <cp:revision>2</cp:revision>
  <dcterms:created xsi:type="dcterms:W3CDTF">2023-12-01T19:30:00Z</dcterms:created>
  <dcterms:modified xsi:type="dcterms:W3CDTF">2023-12-01T19:30:00Z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0x010100F9DC9841673DC44D9AB6EA1AE30D1737</vt:lpwstr>
  </property>
</Properties>
</file>