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7DA21" w14:textId="2E0238D9" w:rsidR="006928C9" w:rsidRDefault="0093271F" w:rsidP="006928C9">
      <w:pPr>
        <w:spacing w:line="480" w:lineRule="auto"/>
      </w:pPr>
      <w:r>
        <w:t>Supplemental figures</w:t>
      </w:r>
      <w:r w:rsidR="00780921">
        <w:t xml:space="preserve"> 1-4</w:t>
      </w:r>
      <w:r w:rsidR="0079540A">
        <w:t xml:space="preserve">, </w:t>
      </w:r>
      <w:r w:rsidR="0005639C">
        <w:t xml:space="preserve">exploratory </w:t>
      </w:r>
      <w:r w:rsidR="0079540A">
        <w:t>c</w:t>
      </w:r>
      <w:r w:rsidR="00A80E41" w:rsidRPr="00D66542">
        <w:t xml:space="preserve">orrelation </w:t>
      </w:r>
      <w:r w:rsidR="0005639C">
        <w:t xml:space="preserve">analysis </w:t>
      </w:r>
      <w:r w:rsidR="0079540A">
        <w:t>m</w:t>
      </w:r>
      <w:r w:rsidR="00A80E41" w:rsidRPr="00D66542">
        <w:t>atrices</w:t>
      </w:r>
    </w:p>
    <w:p w14:paraId="074C86E9" w14:textId="05E7D5F8" w:rsidR="006C7757" w:rsidRDefault="006928C9" w:rsidP="006928C9">
      <w:pPr>
        <w:spacing w:line="480" w:lineRule="auto"/>
      </w:pPr>
      <w:r>
        <w:t>Article: “</w:t>
      </w:r>
      <w:r>
        <w:rPr>
          <w:rFonts w:ascii="Calibri" w:hAnsi="Calibri" w:cs="Calibri"/>
        </w:rPr>
        <w:t>Glycemic control in women with GDM: Insights from a randomized controlled pilot trial on plant-based Nordic Healthy diet versus moderately carbohydrate restricted diet</w:t>
      </w:r>
      <w:r>
        <w:t xml:space="preserve">” </w:t>
      </w:r>
    </w:p>
    <w:p w14:paraId="3EB5BE87" w14:textId="77777777" w:rsidR="006928C9" w:rsidRDefault="006928C9" w:rsidP="006928C9">
      <w:pPr>
        <w:spacing w:line="480" w:lineRule="auto"/>
        <w:rPr>
          <w:noProof/>
        </w:rPr>
      </w:pPr>
    </w:p>
    <w:p w14:paraId="086F0DA2" w14:textId="7C239A6B" w:rsidR="007B008F" w:rsidRDefault="006C7757">
      <w:r>
        <w:rPr>
          <w:noProof/>
        </w:rPr>
        <w:drawing>
          <wp:inline distT="0" distB="0" distL="0" distR="0" wp14:anchorId="19A1C374" wp14:editId="48716D57">
            <wp:extent cx="6213525" cy="4859079"/>
            <wp:effectExtent l="0" t="0" r="0" b="0"/>
            <wp:docPr id="316082523" name="Picture 11" descr="A diagram of food and nutri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082523" name="Picture 11" descr="A diagram of food and nutriti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78" t="6819"/>
                    <a:stretch/>
                  </pic:blipFill>
                  <pic:spPr bwMode="auto">
                    <a:xfrm>
                      <a:off x="0" y="0"/>
                      <a:ext cx="6228520" cy="487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30B553" w14:textId="5FCE1CD9" w:rsidR="006C7757" w:rsidRDefault="006C7757">
      <w:r>
        <w:t>Supple</w:t>
      </w:r>
      <w:r w:rsidR="006C0A45">
        <w:t>mental figure 1. Correlation matrix of food group intake in relation to CGM variables.</w:t>
      </w:r>
      <w:r w:rsidR="00746325">
        <w:t xml:space="preserve"> </w:t>
      </w:r>
      <w:r w:rsidR="00D34D3A">
        <w:t>Pooled data from both groups.</w:t>
      </w:r>
      <w:r w:rsidR="00D34D3A">
        <w:t xml:space="preserve"> </w:t>
      </w:r>
      <w:r w:rsidR="00746325">
        <w:t xml:space="preserve">Stronger color saturation indicates a stronger correlation. </w:t>
      </w:r>
      <w:r w:rsidR="00F13B6C">
        <w:t>CGM: continuous glucose monitoring. TIR: time in range. SD: standard deviation</w:t>
      </w:r>
    </w:p>
    <w:p w14:paraId="76056986" w14:textId="77777777" w:rsidR="00F5023A" w:rsidRDefault="00F5023A">
      <w:pPr>
        <w:rPr>
          <w:noProof/>
        </w:rPr>
      </w:pPr>
    </w:p>
    <w:p w14:paraId="411468A6" w14:textId="1ECAFF62" w:rsidR="00F5023A" w:rsidRDefault="00F5023A"/>
    <w:p w14:paraId="5D90B4A0" w14:textId="77777777" w:rsidR="00F5023A" w:rsidRPr="007B008F" w:rsidRDefault="00F5023A"/>
    <w:p w14:paraId="26EEC969" w14:textId="77777777" w:rsidR="0027081B" w:rsidRDefault="0027081B" w:rsidP="001D670C">
      <w:pPr>
        <w:rPr>
          <w:noProof/>
        </w:rPr>
      </w:pPr>
    </w:p>
    <w:p w14:paraId="28FDACEC" w14:textId="66DF7DED" w:rsidR="00CC73B2" w:rsidRDefault="00CC73B2" w:rsidP="001D670C">
      <w:r>
        <w:rPr>
          <w:noProof/>
        </w:rPr>
        <w:lastRenderedPageBreak/>
        <w:drawing>
          <wp:inline distT="0" distB="0" distL="0" distR="0" wp14:anchorId="0885181B" wp14:editId="42D7AB9D">
            <wp:extent cx="5545777" cy="5314568"/>
            <wp:effectExtent l="0" t="0" r="0" b="635"/>
            <wp:docPr id="98786014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18" r="13913"/>
                    <a:stretch/>
                  </pic:blipFill>
                  <pic:spPr bwMode="auto">
                    <a:xfrm>
                      <a:off x="0" y="0"/>
                      <a:ext cx="5546176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80F587" w14:textId="0A3B33D9" w:rsidR="00790EC2" w:rsidRDefault="00502C8B">
      <w:r>
        <w:t xml:space="preserve">Supplemental figure </w:t>
      </w:r>
      <w:r w:rsidR="006C7757">
        <w:t>2</w:t>
      </w:r>
      <w:r>
        <w:t>. Correlation ma</w:t>
      </w:r>
      <w:r w:rsidR="0018338C">
        <w:t xml:space="preserve">trix of </w:t>
      </w:r>
      <w:r w:rsidR="004570EC">
        <w:t>macronutrient intake in relation to CGM variables.</w:t>
      </w:r>
      <w:r w:rsidR="007A5D32">
        <w:t xml:space="preserve"> </w:t>
      </w:r>
      <w:r w:rsidR="00BD7D8A">
        <w:t>Pooled data from both groups.</w:t>
      </w:r>
      <w:r w:rsidR="00BD7D8A">
        <w:t xml:space="preserve"> </w:t>
      </w:r>
      <w:r w:rsidR="007A5D32">
        <w:t>Stronger color saturation indicates a stronger correlation</w:t>
      </w:r>
      <w:r w:rsidR="00BD7D8A">
        <w:t>.</w:t>
      </w:r>
      <w:r w:rsidR="00F13B6C">
        <w:t xml:space="preserve"> CGM: continuous glucose monitoring. TIR: time in range. SD: standard deviation</w:t>
      </w:r>
    </w:p>
    <w:p w14:paraId="3BB64049" w14:textId="12FBE15F" w:rsidR="00CA24B3" w:rsidRDefault="00CA24B3" w:rsidP="001D670C"/>
    <w:p w14:paraId="13766782" w14:textId="6CB4027A" w:rsidR="00997D97" w:rsidRDefault="00997D97">
      <w:r>
        <w:br w:type="page"/>
      </w:r>
      <w:r w:rsidR="00F5023A">
        <w:rPr>
          <w:noProof/>
        </w:rPr>
        <w:lastRenderedPageBreak/>
        <w:drawing>
          <wp:inline distT="0" distB="0" distL="0" distR="0" wp14:anchorId="50D00525" wp14:editId="57623BF9">
            <wp:extent cx="5593278" cy="5399405"/>
            <wp:effectExtent l="0" t="0" r="7620" b="0"/>
            <wp:docPr id="1599790378" name="Picture 4" descr="A diagram of food and nutri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790378" name="Picture 4" descr="A diagram of food and nutriti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24" r="12704"/>
                    <a:stretch/>
                  </pic:blipFill>
                  <pic:spPr bwMode="auto">
                    <a:xfrm>
                      <a:off x="0" y="0"/>
                      <a:ext cx="5612405" cy="5417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C53C67" w14:textId="04DB4369" w:rsidR="00F5023A" w:rsidRDefault="00F5023A" w:rsidP="00F5023A">
      <w:r>
        <w:t xml:space="preserve">Supplemental figure 3. Correlation matrix of food group intake in relation to newborn body composition variables. </w:t>
      </w:r>
      <w:r w:rsidR="00BD7D8A">
        <w:t>Pooled data from both groups.</w:t>
      </w:r>
      <w:r w:rsidR="00BD7D8A">
        <w:t xml:space="preserve"> </w:t>
      </w:r>
      <w:r>
        <w:t>Stronger color saturation indicates a stronger correlation. CGM: continuous glucose monitoring. FFM: fat-free mass. Pct: percentage</w:t>
      </w:r>
    </w:p>
    <w:p w14:paraId="5BA3E2FD" w14:textId="77777777" w:rsidR="00F5023A" w:rsidRDefault="00F5023A">
      <w:pPr>
        <w:rPr>
          <w:noProof/>
        </w:rPr>
      </w:pPr>
    </w:p>
    <w:p w14:paraId="7E1C9079" w14:textId="4F0706FC" w:rsidR="00F55BAC" w:rsidRDefault="00F55BAC">
      <w:r>
        <w:rPr>
          <w:noProof/>
        </w:rPr>
        <w:lastRenderedPageBreak/>
        <w:drawing>
          <wp:inline distT="0" distB="0" distL="0" distR="0" wp14:anchorId="06F91853" wp14:editId="21623138">
            <wp:extent cx="5569527" cy="5761990"/>
            <wp:effectExtent l="0" t="0" r="0" b="0"/>
            <wp:docPr id="21259423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11" r="12724"/>
                    <a:stretch/>
                  </pic:blipFill>
                  <pic:spPr bwMode="auto">
                    <a:xfrm>
                      <a:off x="0" y="0"/>
                      <a:ext cx="5583038" cy="5775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9E101B" w14:textId="43D90D25" w:rsidR="00F55BAC" w:rsidRDefault="00F55BAC" w:rsidP="00F55BAC">
      <w:r>
        <w:t xml:space="preserve">Supplemental figure 4. Correlation matrix of macronutrient intake in relation to </w:t>
      </w:r>
      <w:r w:rsidR="00364438">
        <w:t>newborn body composition</w:t>
      </w:r>
      <w:r>
        <w:t xml:space="preserve"> variables. </w:t>
      </w:r>
      <w:r w:rsidR="00AC51E4">
        <w:t>Pooled data from both groups.</w:t>
      </w:r>
      <w:r w:rsidR="00AC51E4">
        <w:t xml:space="preserve"> </w:t>
      </w:r>
      <w:r>
        <w:t xml:space="preserve">Stronger color saturation indicates a stronger correlation. CGM: continuous glucose monitoring. </w:t>
      </w:r>
      <w:r w:rsidR="00364438">
        <w:t>FFM: fat-free mass</w:t>
      </w:r>
      <w:r w:rsidR="00980279">
        <w:t>. Pct: percentage</w:t>
      </w:r>
    </w:p>
    <w:p w14:paraId="1FCC96AF" w14:textId="77777777" w:rsidR="00AC736D" w:rsidRDefault="00AC736D">
      <w:pPr>
        <w:rPr>
          <w:noProof/>
        </w:rPr>
      </w:pPr>
    </w:p>
    <w:p w14:paraId="061D9ED4" w14:textId="0781452A" w:rsidR="00997D97" w:rsidRDefault="00997D97"/>
    <w:p w14:paraId="285AE090" w14:textId="39EEE50E" w:rsidR="00AA7CCA" w:rsidRDefault="00AA7CCA"/>
    <w:sectPr w:rsidR="00AA7CCA" w:rsidSect="004B18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41"/>
    <w:rsid w:val="0005639C"/>
    <w:rsid w:val="00172C81"/>
    <w:rsid w:val="0018338C"/>
    <w:rsid w:val="001D670C"/>
    <w:rsid w:val="001F355B"/>
    <w:rsid w:val="0027081B"/>
    <w:rsid w:val="00364438"/>
    <w:rsid w:val="004570EC"/>
    <w:rsid w:val="004B189F"/>
    <w:rsid w:val="004C5263"/>
    <w:rsid w:val="004D212A"/>
    <w:rsid w:val="00502C8B"/>
    <w:rsid w:val="006928C9"/>
    <w:rsid w:val="006C0A45"/>
    <w:rsid w:val="006C7757"/>
    <w:rsid w:val="00746325"/>
    <w:rsid w:val="00780921"/>
    <w:rsid w:val="00790EC2"/>
    <w:rsid w:val="0079540A"/>
    <w:rsid w:val="007A5D32"/>
    <w:rsid w:val="007B008F"/>
    <w:rsid w:val="00875ACE"/>
    <w:rsid w:val="0093271F"/>
    <w:rsid w:val="00980279"/>
    <w:rsid w:val="00997D97"/>
    <w:rsid w:val="00A80E41"/>
    <w:rsid w:val="00AA7CCA"/>
    <w:rsid w:val="00AC51E4"/>
    <w:rsid w:val="00AC736D"/>
    <w:rsid w:val="00B314F2"/>
    <w:rsid w:val="00BD7D8A"/>
    <w:rsid w:val="00C731D5"/>
    <w:rsid w:val="00CA24B3"/>
    <w:rsid w:val="00CC73B2"/>
    <w:rsid w:val="00CF5B85"/>
    <w:rsid w:val="00D34D3A"/>
    <w:rsid w:val="00D66542"/>
    <w:rsid w:val="00D724D2"/>
    <w:rsid w:val="00F13B6C"/>
    <w:rsid w:val="00F327ED"/>
    <w:rsid w:val="00F5023A"/>
    <w:rsid w:val="00F55BAC"/>
    <w:rsid w:val="00F95AC1"/>
    <w:rsid w:val="00FB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2EB3F"/>
  <w15:chartTrackingRefBased/>
  <w15:docId w15:val="{E923780D-8E9D-4D0C-B8EC-3C604AD8F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Markussen Lisa</dc:creator>
  <cp:keywords/>
  <dc:description/>
  <cp:lastModifiedBy>Markussen Lisa</cp:lastModifiedBy>
  <cp:revision>27</cp:revision>
  <dcterms:created xsi:type="dcterms:W3CDTF">2023-11-01T13:49:00Z</dcterms:created>
  <dcterms:modified xsi:type="dcterms:W3CDTF">2023-12-04T10:27:00Z</dcterms:modified>
</cp:coreProperties>
</file>