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1053E" w14:textId="19C12FB1" w:rsidR="005200A0" w:rsidRDefault="00F904EB">
      <w:pPr>
        <w:rPr>
          <w:b/>
          <w:bCs/>
        </w:rPr>
      </w:pPr>
      <w:r>
        <w:rPr>
          <w:b/>
          <w:bCs/>
        </w:rPr>
        <w:t>Supplement II of “</w:t>
      </w:r>
      <w:r w:rsidRPr="00A81B6D">
        <w:rPr>
          <w:b/>
          <w:bCs/>
        </w:rPr>
        <w:t>Noninvasive monitoring technologies to identify discomfort and distressing symptoms in persons with limited communication at the end of life: A scoping review</w:t>
      </w:r>
      <w:r>
        <w:rPr>
          <w:b/>
          <w:bCs/>
        </w:rPr>
        <w:t>”</w:t>
      </w:r>
      <w:r w:rsidRPr="00A81B6D">
        <w:rPr>
          <w:b/>
          <w:bCs/>
        </w:rPr>
        <w:t xml:space="preserve">    </w:t>
      </w:r>
    </w:p>
    <w:tbl>
      <w:tblPr>
        <w:tblpPr w:leftFromText="141" w:rightFromText="141" w:bottomFromText="160" w:vertAnchor="text" w:horzAnchor="margin" w:tblpY="35"/>
        <w:tblW w:w="13890" w:type="dxa"/>
        <w:tblLayout w:type="fixed"/>
        <w:tblCellMar>
          <w:left w:w="70" w:type="dxa"/>
          <w:right w:w="70" w:type="dxa"/>
        </w:tblCellMar>
        <w:tblLook w:val="04A0" w:firstRow="1" w:lastRow="0" w:firstColumn="1" w:lastColumn="0" w:noHBand="0" w:noVBand="1"/>
      </w:tblPr>
      <w:tblGrid>
        <w:gridCol w:w="993"/>
        <w:gridCol w:w="708"/>
        <w:gridCol w:w="819"/>
        <w:gridCol w:w="174"/>
        <w:gridCol w:w="1275"/>
        <w:gridCol w:w="1134"/>
        <w:gridCol w:w="1985"/>
        <w:gridCol w:w="3541"/>
        <w:gridCol w:w="3261"/>
      </w:tblGrid>
      <w:tr w:rsidR="00F904EB" w:rsidRPr="00E251B4" w14:paraId="616E560A" w14:textId="77777777" w:rsidTr="007E42ED">
        <w:trPr>
          <w:trHeight w:val="699"/>
        </w:trPr>
        <w:tc>
          <w:tcPr>
            <w:tcW w:w="13890" w:type="dxa"/>
            <w:gridSpan w:val="9"/>
            <w:tcBorders>
              <w:bottom w:val="single" w:sz="18" w:space="0" w:color="auto"/>
            </w:tcBorders>
            <w:noWrap/>
            <w:vAlign w:val="center"/>
            <w:hideMark/>
          </w:tcPr>
          <w:p w14:paraId="04736143" w14:textId="77777777" w:rsidR="00F904EB" w:rsidRPr="00523AB6" w:rsidRDefault="00F904EB" w:rsidP="007E42ED">
            <w:pPr>
              <w:spacing w:after="0"/>
              <w:rPr>
                <w:lang w:val="en-GB"/>
              </w:rPr>
            </w:pPr>
            <w:r>
              <w:rPr>
                <w:lang w:val="en-GB"/>
              </w:rPr>
              <w:t>e</w:t>
            </w:r>
            <w:r w:rsidRPr="00523AB6">
              <w:rPr>
                <w:lang w:val="en-GB"/>
              </w:rPr>
              <w:t xml:space="preserve">Table </w:t>
            </w:r>
            <w:r>
              <w:rPr>
                <w:lang w:val="en-GB"/>
              </w:rPr>
              <w:t>2</w:t>
            </w:r>
          </w:p>
          <w:p w14:paraId="59670D19" w14:textId="77777777" w:rsidR="00F904EB" w:rsidRPr="00523AB6" w:rsidRDefault="00F904EB" w:rsidP="007E42ED">
            <w:pPr>
              <w:spacing w:after="0"/>
              <w:rPr>
                <w:rFonts w:ascii="Calibri" w:hAnsi="Calibri" w:cs="Calibri"/>
                <w:i/>
                <w:iCs/>
                <w:lang w:val="en-GB"/>
              </w:rPr>
            </w:pPr>
            <w:r w:rsidRPr="00523AB6">
              <w:rPr>
                <w:i/>
                <w:iCs/>
                <w:lang w:val="en-GB"/>
              </w:rPr>
              <w:t>Manuscripts reporting on the acceptability or feasibility of the monitoring technologies</w:t>
            </w:r>
            <w:r>
              <w:rPr>
                <w:i/>
                <w:iCs/>
                <w:lang w:val="en-GB"/>
              </w:rPr>
              <w:t xml:space="preserve"> to detect distress and discomfort</w:t>
            </w:r>
          </w:p>
        </w:tc>
      </w:tr>
      <w:tr w:rsidR="00F904EB" w:rsidRPr="00523AB6" w14:paraId="3422DB29" w14:textId="77777777" w:rsidTr="007E42ED">
        <w:tblPrEx>
          <w:tblBorders>
            <w:insideH w:val="single" w:sz="4" w:space="0" w:color="auto"/>
            <w:insideV w:val="single" w:sz="4" w:space="0" w:color="auto"/>
          </w:tblBorders>
        </w:tblPrEx>
        <w:trPr>
          <w:trHeight w:val="496"/>
        </w:trPr>
        <w:tc>
          <w:tcPr>
            <w:tcW w:w="13890" w:type="dxa"/>
            <w:gridSpan w:val="9"/>
            <w:tcBorders>
              <w:top w:val="single" w:sz="18" w:space="0" w:color="auto"/>
              <w:bottom w:val="single" w:sz="4" w:space="0" w:color="auto"/>
            </w:tcBorders>
            <w:noWrap/>
            <w:vAlign w:val="center"/>
          </w:tcPr>
          <w:p w14:paraId="60E7B54B" w14:textId="77777777" w:rsidR="00F904EB" w:rsidRPr="00523AB6" w:rsidRDefault="00F904EB" w:rsidP="007E42ED">
            <w:pPr>
              <w:spacing w:after="0"/>
              <w:rPr>
                <w:rFonts w:ascii="Calibri" w:hAnsi="Calibri" w:cs="Calibri"/>
                <w:lang w:val="en-GB"/>
              </w:rPr>
            </w:pPr>
            <w:r w:rsidRPr="00523AB6">
              <w:rPr>
                <w:b/>
                <w:bCs/>
                <w:lang w:val="en-GB"/>
              </w:rPr>
              <w:t>Actigraphy</w:t>
            </w:r>
          </w:p>
        </w:tc>
      </w:tr>
      <w:tr w:rsidR="00F904EB" w:rsidRPr="00E251B4" w14:paraId="5114A6E9" w14:textId="77777777" w:rsidTr="007E42ED">
        <w:trPr>
          <w:trHeight w:val="903"/>
        </w:trPr>
        <w:tc>
          <w:tcPr>
            <w:tcW w:w="993" w:type="dxa"/>
            <w:tcBorders>
              <w:top w:val="single" w:sz="4" w:space="0" w:color="auto"/>
              <w:bottom w:val="single" w:sz="4" w:space="0" w:color="auto"/>
            </w:tcBorders>
            <w:noWrap/>
            <w:vAlign w:val="center"/>
            <w:hideMark/>
          </w:tcPr>
          <w:p w14:paraId="383E705D" w14:textId="77777777" w:rsidR="00F904EB" w:rsidRPr="00523AB6" w:rsidRDefault="00F904EB" w:rsidP="007E42ED">
            <w:pPr>
              <w:spacing w:after="0" w:line="240" w:lineRule="auto"/>
              <w:jc w:val="center"/>
              <w:rPr>
                <w:rFonts w:ascii="Calibri" w:eastAsia="Times New Roman" w:hAnsi="Calibri" w:cs="Calibri"/>
                <w:b/>
                <w:bCs/>
                <w:lang w:val="en-GB"/>
              </w:rPr>
            </w:pPr>
            <w:r w:rsidRPr="00523AB6">
              <w:rPr>
                <w:rFonts w:ascii="Calibri" w:eastAsia="Times New Roman" w:hAnsi="Calibri" w:cs="Calibri"/>
                <w:b/>
                <w:bCs/>
                <w:lang w:val="en-GB"/>
              </w:rPr>
              <w:t>First author</w:t>
            </w:r>
          </w:p>
        </w:tc>
        <w:tc>
          <w:tcPr>
            <w:tcW w:w="708" w:type="dxa"/>
            <w:tcBorders>
              <w:top w:val="single" w:sz="4" w:space="0" w:color="auto"/>
              <w:bottom w:val="single" w:sz="4" w:space="0" w:color="auto"/>
            </w:tcBorders>
            <w:noWrap/>
            <w:vAlign w:val="center"/>
            <w:hideMark/>
          </w:tcPr>
          <w:p w14:paraId="4E6969AA" w14:textId="77777777" w:rsidR="00F904EB" w:rsidRPr="00523AB6" w:rsidRDefault="00F904EB" w:rsidP="007E42ED">
            <w:pPr>
              <w:spacing w:after="0" w:line="240" w:lineRule="auto"/>
              <w:jc w:val="center"/>
              <w:rPr>
                <w:rFonts w:ascii="Calibri" w:eastAsia="Times New Roman" w:hAnsi="Calibri" w:cs="Calibri"/>
                <w:b/>
                <w:bCs/>
                <w:lang w:val="en-GB"/>
              </w:rPr>
            </w:pPr>
            <w:r w:rsidRPr="00523AB6">
              <w:rPr>
                <w:rFonts w:ascii="Calibri" w:eastAsia="Times New Roman" w:hAnsi="Calibri" w:cs="Calibri"/>
                <w:b/>
                <w:bCs/>
                <w:lang w:val="en-GB"/>
              </w:rPr>
              <w:t>Year</w:t>
            </w:r>
          </w:p>
        </w:tc>
        <w:tc>
          <w:tcPr>
            <w:tcW w:w="993" w:type="dxa"/>
            <w:gridSpan w:val="2"/>
            <w:tcBorders>
              <w:top w:val="single" w:sz="4" w:space="0" w:color="auto"/>
              <w:bottom w:val="single" w:sz="4" w:space="0" w:color="auto"/>
            </w:tcBorders>
            <w:noWrap/>
            <w:vAlign w:val="center"/>
            <w:hideMark/>
          </w:tcPr>
          <w:p w14:paraId="3D077C58" w14:textId="77777777" w:rsidR="00F904EB" w:rsidRPr="00523AB6" w:rsidRDefault="00F904EB" w:rsidP="007E42ED">
            <w:pPr>
              <w:spacing w:after="0" w:line="240" w:lineRule="auto"/>
              <w:jc w:val="center"/>
              <w:rPr>
                <w:rFonts w:ascii="Calibri" w:eastAsia="Times New Roman" w:hAnsi="Calibri" w:cs="Calibri"/>
                <w:b/>
                <w:bCs/>
                <w:lang w:val="en-GB"/>
              </w:rPr>
            </w:pPr>
            <w:r w:rsidRPr="00523AB6">
              <w:rPr>
                <w:rFonts w:ascii="Calibri" w:eastAsia="Times New Roman" w:hAnsi="Calibri" w:cs="Calibri"/>
                <w:b/>
                <w:bCs/>
                <w:lang w:val="en-GB"/>
              </w:rPr>
              <w:t>Country</w:t>
            </w:r>
          </w:p>
        </w:tc>
        <w:tc>
          <w:tcPr>
            <w:tcW w:w="1275" w:type="dxa"/>
            <w:tcBorders>
              <w:top w:val="single" w:sz="4" w:space="0" w:color="auto"/>
              <w:bottom w:val="single" w:sz="4" w:space="0" w:color="auto"/>
            </w:tcBorders>
            <w:vAlign w:val="center"/>
            <w:hideMark/>
          </w:tcPr>
          <w:p w14:paraId="633A10C9" w14:textId="77777777" w:rsidR="00F904EB" w:rsidRPr="00523AB6" w:rsidRDefault="00F904EB" w:rsidP="007E42ED">
            <w:pPr>
              <w:spacing w:after="0" w:line="240" w:lineRule="auto"/>
              <w:jc w:val="center"/>
              <w:rPr>
                <w:rFonts w:ascii="Calibri" w:eastAsia="Times New Roman" w:hAnsi="Calibri" w:cs="Calibri"/>
                <w:b/>
                <w:bCs/>
                <w:lang w:val="en-GB"/>
              </w:rPr>
            </w:pPr>
            <w:r w:rsidRPr="00523AB6">
              <w:rPr>
                <w:rFonts w:ascii="Calibri" w:eastAsia="Times New Roman" w:hAnsi="Calibri" w:cs="Calibri"/>
                <w:b/>
                <w:bCs/>
                <w:lang w:val="en-GB"/>
              </w:rPr>
              <w:t>Monitoring technology (model and brand)</w:t>
            </w:r>
          </w:p>
        </w:tc>
        <w:tc>
          <w:tcPr>
            <w:tcW w:w="1134" w:type="dxa"/>
            <w:tcBorders>
              <w:top w:val="single" w:sz="4" w:space="0" w:color="auto"/>
              <w:bottom w:val="single" w:sz="4" w:space="0" w:color="auto"/>
            </w:tcBorders>
            <w:vAlign w:val="center"/>
            <w:hideMark/>
          </w:tcPr>
          <w:p w14:paraId="45A2E089" w14:textId="77777777" w:rsidR="00F904EB" w:rsidRPr="00523AB6" w:rsidRDefault="00F904EB" w:rsidP="007E42ED">
            <w:pPr>
              <w:spacing w:after="0" w:line="240" w:lineRule="auto"/>
              <w:jc w:val="center"/>
              <w:rPr>
                <w:rFonts w:ascii="Calibri" w:eastAsia="Times New Roman" w:hAnsi="Calibri" w:cs="Calibri"/>
                <w:b/>
                <w:bCs/>
                <w:lang w:val="en-GB"/>
              </w:rPr>
            </w:pPr>
            <w:r w:rsidRPr="00523AB6">
              <w:rPr>
                <w:rFonts w:ascii="Calibri" w:eastAsia="Times New Roman" w:hAnsi="Calibri" w:cs="Calibri"/>
                <w:b/>
                <w:bCs/>
                <w:lang w:val="en-GB"/>
              </w:rPr>
              <w:t>Symptom monitored</w:t>
            </w:r>
          </w:p>
        </w:tc>
        <w:tc>
          <w:tcPr>
            <w:tcW w:w="1985" w:type="dxa"/>
            <w:tcBorders>
              <w:top w:val="single" w:sz="4" w:space="0" w:color="auto"/>
              <w:bottom w:val="single" w:sz="4" w:space="0" w:color="auto"/>
            </w:tcBorders>
            <w:vAlign w:val="center"/>
            <w:hideMark/>
          </w:tcPr>
          <w:p w14:paraId="148CC8BB" w14:textId="77777777" w:rsidR="00F904EB" w:rsidRPr="00523AB6" w:rsidRDefault="00F904EB" w:rsidP="007E42ED">
            <w:pPr>
              <w:spacing w:after="0"/>
              <w:jc w:val="center"/>
              <w:rPr>
                <w:b/>
                <w:bCs/>
                <w:lang w:val="en-GB"/>
              </w:rPr>
            </w:pPr>
            <w:r w:rsidRPr="00523AB6">
              <w:rPr>
                <w:rFonts w:ascii="Calibri" w:hAnsi="Calibri" w:cs="Calibri"/>
                <w:b/>
                <w:bCs/>
                <w:lang w:val="en-GB"/>
              </w:rPr>
              <w:t>Aim of study</w:t>
            </w:r>
          </w:p>
        </w:tc>
        <w:tc>
          <w:tcPr>
            <w:tcW w:w="3541" w:type="dxa"/>
            <w:tcBorders>
              <w:top w:val="single" w:sz="4" w:space="0" w:color="auto"/>
              <w:bottom w:val="single" w:sz="4" w:space="0" w:color="auto"/>
            </w:tcBorders>
            <w:vAlign w:val="center"/>
            <w:hideMark/>
          </w:tcPr>
          <w:p w14:paraId="77FD630E" w14:textId="77777777" w:rsidR="00F904EB" w:rsidRPr="00523AB6" w:rsidRDefault="00F904EB" w:rsidP="007E42ED">
            <w:pPr>
              <w:spacing w:after="0"/>
              <w:jc w:val="center"/>
              <w:rPr>
                <w:b/>
                <w:bCs/>
                <w:lang w:val="en-GB"/>
              </w:rPr>
            </w:pPr>
            <w:r w:rsidRPr="00523AB6">
              <w:rPr>
                <w:rFonts w:ascii="Calibri" w:hAnsi="Calibri" w:cs="Calibri"/>
                <w:b/>
                <w:bCs/>
                <w:lang w:val="en-GB"/>
              </w:rPr>
              <w:t>Methods: Study design; Participants being monitored; Setting; Procedures; Participants evaluating the technology;</w:t>
            </w:r>
          </w:p>
        </w:tc>
        <w:tc>
          <w:tcPr>
            <w:tcW w:w="3261" w:type="dxa"/>
            <w:tcBorders>
              <w:top w:val="single" w:sz="4" w:space="0" w:color="auto"/>
              <w:bottom w:val="single" w:sz="4" w:space="0" w:color="auto"/>
            </w:tcBorders>
            <w:vAlign w:val="center"/>
            <w:hideMark/>
          </w:tcPr>
          <w:p w14:paraId="4ECE07F8" w14:textId="77777777" w:rsidR="00F904EB" w:rsidRPr="00523AB6" w:rsidRDefault="00F904EB" w:rsidP="007E42ED">
            <w:pPr>
              <w:spacing w:after="0"/>
              <w:jc w:val="center"/>
              <w:rPr>
                <w:b/>
                <w:bCs/>
                <w:lang w:val="en-GB"/>
              </w:rPr>
            </w:pPr>
            <w:r w:rsidRPr="00523AB6">
              <w:rPr>
                <w:b/>
                <w:bCs/>
                <w:lang w:val="en-GB"/>
              </w:rPr>
              <w:t>Acceptability or feasibility of the technology</w:t>
            </w:r>
          </w:p>
        </w:tc>
      </w:tr>
      <w:tr w:rsidR="00F904EB" w:rsidRPr="00E251B4" w14:paraId="58D8E9B3" w14:textId="77777777" w:rsidTr="007E42ED">
        <w:trPr>
          <w:trHeight w:val="903"/>
        </w:trPr>
        <w:tc>
          <w:tcPr>
            <w:tcW w:w="993" w:type="dxa"/>
            <w:tcBorders>
              <w:top w:val="single" w:sz="4" w:space="0" w:color="auto"/>
              <w:bottom w:val="single" w:sz="4" w:space="0" w:color="auto"/>
            </w:tcBorders>
            <w:noWrap/>
            <w:vAlign w:val="center"/>
          </w:tcPr>
          <w:p w14:paraId="20540F1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Knuff</w:t>
            </w:r>
          </w:p>
        </w:tc>
        <w:tc>
          <w:tcPr>
            <w:tcW w:w="708" w:type="dxa"/>
            <w:tcBorders>
              <w:top w:val="single" w:sz="4" w:space="0" w:color="auto"/>
              <w:bottom w:val="single" w:sz="4" w:space="0" w:color="auto"/>
            </w:tcBorders>
            <w:noWrap/>
            <w:vAlign w:val="center"/>
          </w:tcPr>
          <w:p w14:paraId="53D4968A"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bottom w:val="single" w:sz="4" w:space="0" w:color="auto"/>
            </w:tcBorders>
            <w:noWrap/>
            <w:vAlign w:val="center"/>
          </w:tcPr>
          <w:p w14:paraId="1D9FFF28"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bottom w:val="single" w:sz="4" w:space="0" w:color="auto"/>
            </w:tcBorders>
            <w:vAlign w:val="center"/>
          </w:tcPr>
          <w:p w14:paraId="1E0C5EE6"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wGT3x+ activity monitors</w:t>
            </w:r>
            <w:r w:rsidRPr="00523AB6">
              <w:t xml:space="preserve"> (</w:t>
            </w:r>
            <w:r w:rsidRPr="00523AB6">
              <w:rPr>
                <w:rFonts w:ascii="Calibri" w:eastAsia="Times New Roman" w:hAnsi="Calibri" w:cs="Calibri"/>
                <w:lang w:val="en-GB"/>
              </w:rPr>
              <w:t>Actigraph,</w:t>
            </w:r>
          </w:p>
          <w:p w14:paraId="5BA16E5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LLC, Pensacola, FL)</w:t>
            </w:r>
          </w:p>
        </w:tc>
        <w:tc>
          <w:tcPr>
            <w:tcW w:w="1134" w:type="dxa"/>
            <w:tcBorders>
              <w:top w:val="single" w:sz="4" w:space="0" w:color="auto"/>
              <w:bottom w:val="single" w:sz="4" w:space="0" w:color="auto"/>
            </w:tcBorders>
            <w:vAlign w:val="center"/>
          </w:tcPr>
          <w:p w14:paraId="5B125F0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bottom w:val="single" w:sz="4" w:space="0" w:color="auto"/>
            </w:tcBorders>
            <w:vAlign w:val="center"/>
          </w:tcPr>
          <w:p w14:paraId="6AD3CF67"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evaluate the feasibility and validity of actigraphy as a measurement of agitation in dementia.</w:t>
            </w:r>
          </w:p>
        </w:tc>
        <w:tc>
          <w:tcPr>
            <w:tcW w:w="3541" w:type="dxa"/>
            <w:tcBorders>
              <w:top w:val="single" w:sz="4" w:space="0" w:color="auto"/>
              <w:bottom w:val="single" w:sz="4" w:space="0" w:color="auto"/>
            </w:tcBorders>
            <w:vAlign w:val="center"/>
          </w:tcPr>
          <w:p w14:paraId="5AC89009"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cross-sectional study. 20 older adults with dementia living in long-term care facilities wore the wristband continuously for a minimum of 24 hours and maximum of 7 days. Feasibility was evaluated by the researchers.</w:t>
            </w:r>
          </w:p>
        </w:tc>
        <w:tc>
          <w:tcPr>
            <w:tcW w:w="3261" w:type="dxa"/>
            <w:tcBorders>
              <w:top w:val="single" w:sz="4" w:space="0" w:color="auto"/>
              <w:bottom w:val="single" w:sz="4" w:space="0" w:color="auto"/>
            </w:tcBorders>
            <w:vAlign w:val="center"/>
          </w:tcPr>
          <w:p w14:paraId="5B4A9F94" w14:textId="77777777" w:rsidR="00F904EB" w:rsidRPr="00523AB6" w:rsidRDefault="00F904EB" w:rsidP="007E42ED">
            <w:pPr>
              <w:spacing w:after="0"/>
              <w:rPr>
                <w:rFonts w:ascii="Calibri" w:hAnsi="Calibri" w:cs="Calibri"/>
              </w:rPr>
            </w:pPr>
            <w:r w:rsidRPr="00523AB6">
              <w:rPr>
                <w:rFonts w:ascii="Calibri" w:hAnsi="Calibri" w:cs="Calibri"/>
                <w:lang w:val="en-GB"/>
              </w:rPr>
              <w:t>Actigraph monitors recorded for almost 1 week. Agitation severity did not influence compliance. The authors concluded that multi-day continuous actigraphic monitoring is feasible</w:t>
            </w:r>
            <w:r w:rsidRPr="00523AB6">
              <w:rPr>
                <w:rStyle w:val="CommentReference"/>
              </w:rPr>
              <w:t>.</w:t>
            </w:r>
          </w:p>
        </w:tc>
      </w:tr>
      <w:tr w:rsidR="00F904EB" w:rsidRPr="00E251B4" w14:paraId="157EC3A8"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148A5850"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Favela</w:t>
            </w:r>
          </w:p>
        </w:tc>
        <w:tc>
          <w:tcPr>
            <w:tcW w:w="708" w:type="dxa"/>
            <w:tcBorders>
              <w:top w:val="single" w:sz="4" w:space="0" w:color="auto"/>
              <w:left w:val="nil"/>
              <w:bottom w:val="single" w:sz="4" w:space="0" w:color="auto"/>
              <w:right w:val="nil"/>
            </w:tcBorders>
            <w:noWrap/>
            <w:vAlign w:val="center"/>
          </w:tcPr>
          <w:p w14:paraId="1A6AB833" w14:textId="77777777" w:rsidR="00F904EB" w:rsidRPr="00523AB6" w:rsidRDefault="00F904E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0B294CC7" w14:textId="77777777" w:rsidR="00F904EB" w:rsidRPr="00523AB6" w:rsidRDefault="00F904EB" w:rsidP="007E42ED">
            <w:pPr>
              <w:spacing w:after="0" w:line="240" w:lineRule="auto"/>
              <w:jc w:val="center"/>
              <w:rPr>
                <w:rFonts w:ascii="Calibri" w:eastAsia="Times New Roman" w:hAnsi="Calibri" w:cs="Calibri"/>
                <w:lang w:val="en-GB"/>
              </w:rPr>
            </w:pPr>
            <w:r w:rsidRPr="00523AB6">
              <w:rPr>
                <w:rFonts w:ascii="Calibri" w:eastAsia="Times New Roman" w:hAnsi="Calibri" w:cs="Calibri"/>
                <w:lang w:val="en-GB"/>
              </w:rPr>
              <w:t>Mexico</w:t>
            </w:r>
          </w:p>
        </w:tc>
        <w:tc>
          <w:tcPr>
            <w:tcW w:w="1275" w:type="dxa"/>
            <w:tcBorders>
              <w:top w:val="single" w:sz="4" w:space="0" w:color="auto"/>
              <w:left w:val="nil"/>
              <w:bottom w:val="single" w:sz="4" w:space="0" w:color="auto"/>
              <w:right w:val="nil"/>
            </w:tcBorders>
            <w:vAlign w:val="center"/>
          </w:tcPr>
          <w:p w14:paraId="4A733660"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Fitbit Charge 2 HR, Fitbit Alta (Fitbit Inc, CA, USA)</w:t>
            </w:r>
          </w:p>
        </w:tc>
        <w:tc>
          <w:tcPr>
            <w:tcW w:w="1134" w:type="dxa"/>
            <w:tcBorders>
              <w:top w:val="single" w:sz="4" w:space="0" w:color="auto"/>
              <w:left w:val="nil"/>
              <w:bottom w:val="single" w:sz="4" w:space="0" w:color="auto"/>
              <w:right w:val="nil"/>
            </w:tcBorders>
            <w:vAlign w:val="center"/>
          </w:tcPr>
          <w:p w14:paraId="40F9D0A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Behavioral symptoms of dementia</w:t>
            </w:r>
          </w:p>
        </w:tc>
        <w:tc>
          <w:tcPr>
            <w:tcW w:w="1985" w:type="dxa"/>
            <w:tcBorders>
              <w:top w:val="single" w:sz="4" w:space="0" w:color="auto"/>
              <w:left w:val="nil"/>
              <w:bottom w:val="single" w:sz="4" w:space="0" w:color="auto"/>
              <w:right w:val="nil"/>
            </w:tcBorders>
            <w:vAlign w:val="center"/>
          </w:tcPr>
          <w:p w14:paraId="4AC7417B"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evaluate an intervention program lead by a social robot.</w:t>
            </w:r>
          </w:p>
        </w:tc>
        <w:tc>
          <w:tcPr>
            <w:tcW w:w="3541" w:type="dxa"/>
            <w:tcBorders>
              <w:top w:val="single" w:sz="4" w:space="0" w:color="auto"/>
              <w:left w:val="nil"/>
              <w:bottom w:val="single" w:sz="4" w:space="0" w:color="auto"/>
              <w:right w:val="nil"/>
            </w:tcBorders>
            <w:vAlign w:val="center"/>
          </w:tcPr>
          <w:p w14:paraId="5927F435"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Mixed methods non-randomised experimental study with 10 older adults in a long-term care facility. The wristwatch form of actigraphy was worn for 54 days on average.  Feasibility was evaluated by the researchers.</w:t>
            </w:r>
          </w:p>
        </w:tc>
        <w:tc>
          <w:tcPr>
            <w:tcW w:w="3261" w:type="dxa"/>
            <w:tcBorders>
              <w:top w:val="single" w:sz="4" w:space="0" w:color="auto"/>
              <w:left w:val="nil"/>
              <w:bottom w:val="single" w:sz="4" w:space="0" w:color="auto"/>
            </w:tcBorders>
            <w:vAlign w:val="center"/>
          </w:tcPr>
          <w:p w14:paraId="6CD07E00"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One participant refused to wear the device at night. Two other participants needed persuasion to take the device off for charging. One participant feared losing or damaging the device and discontinued wearing it. The other participants did not experience anxiety about the device.</w:t>
            </w:r>
          </w:p>
        </w:tc>
      </w:tr>
      <w:tr w:rsidR="00F904EB" w:rsidRPr="00E251B4" w14:paraId="071BB9B4" w14:textId="77777777" w:rsidTr="007E42ED">
        <w:trPr>
          <w:trHeight w:val="903"/>
        </w:trPr>
        <w:tc>
          <w:tcPr>
            <w:tcW w:w="993" w:type="dxa"/>
            <w:tcBorders>
              <w:top w:val="single" w:sz="4" w:space="0" w:color="auto"/>
              <w:bottom w:val="single" w:sz="4" w:space="0" w:color="auto"/>
            </w:tcBorders>
            <w:noWrap/>
            <w:vAlign w:val="center"/>
          </w:tcPr>
          <w:p w14:paraId="3B24CF09"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LeBlanc</w:t>
            </w:r>
          </w:p>
        </w:tc>
        <w:tc>
          <w:tcPr>
            <w:tcW w:w="708" w:type="dxa"/>
            <w:tcBorders>
              <w:top w:val="single" w:sz="4" w:space="0" w:color="auto"/>
              <w:bottom w:val="single" w:sz="4" w:space="0" w:color="auto"/>
            </w:tcBorders>
            <w:noWrap/>
            <w:vAlign w:val="center"/>
          </w:tcPr>
          <w:p w14:paraId="0E275F4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bottom w:val="single" w:sz="4" w:space="0" w:color="auto"/>
            </w:tcBorders>
            <w:noWrap/>
            <w:vAlign w:val="center"/>
          </w:tcPr>
          <w:p w14:paraId="177F7D9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bottom w:val="single" w:sz="4" w:space="0" w:color="auto"/>
            </w:tcBorders>
            <w:vAlign w:val="center"/>
          </w:tcPr>
          <w:p w14:paraId="1102C0D0"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MisFit Shine</w:t>
            </w:r>
          </w:p>
        </w:tc>
        <w:tc>
          <w:tcPr>
            <w:tcW w:w="1134" w:type="dxa"/>
            <w:tcBorders>
              <w:top w:val="single" w:sz="4" w:space="0" w:color="auto"/>
              <w:bottom w:val="single" w:sz="4" w:space="0" w:color="auto"/>
            </w:tcBorders>
            <w:vAlign w:val="center"/>
          </w:tcPr>
          <w:p w14:paraId="31AB97B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bottom w:val="single" w:sz="4" w:space="0" w:color="auto"/>
            </w:tcBorders>
            <w:vAlign w:val="center"/>
          </w:tcPr>
          <w:p w14:paraId="1EE760FB"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To describe the experience of using a sleep monitor for </w:t>
            </w:r>
            <w:r w:rsidRPr="00523AB6">
              <w:rPr>
                <w:rFonts w:ascii="Calibri" w:hAnsi="Calibri" w:cs="Calibri"/>
                <w:lang w:val="en-GB"/>
              </w:rPr>
              <w:lastRenderedPageBreak/>
              <w:t>sleep self-management.</w:t>
            </w:r>
          </w:p>
        </w:tc>
        <w:tc>
          <w:tcPr>
            <w:tcW w:w="3541" w:type="dxa"/>
            <w:tcBorders>
              <w:top w:val="single" w:sz="4" w:space="0" w:color="auto"/>
              <w:bottom w:val="single" w:sz="4" w:space="0" w:color="auto"/>
            </w:tcBorders>
            <w:vAlign w:val="center"/>
          </w:tcPr>
          <w:p w14:paraId="2D804471"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lastRenderedPageBreak/>
              <w:t xml:space="preserve">Qualitative study with 25 community-dwelling older adults with sleep disturbances. The participants wore </w:t>
            </w:r>
            <w:r w:rsidRPr="00523AB6">
              <w:rPr>
                <w:rFonts w:ascii="Calibri" w:hAnsi="Calibri" w:cs="Calibri"/>
                <w:lang w:val="en-GB"/>
              </w:rPr>
              <w:lastRenderedPageBreak/>
              <w:t>the device for four weeks and received an interview afterwards.</w:t>
            </w:r>
          </w:p>
        </w:tc>
        <w:tc>
          <w:tcPr>
            <w:tcW w:w="3261" w:type="dxa"/>
            <w:tcBorders>
              <w:top w:val="single" w:sz="4" w:space="0" w:color="auto"/>
              <w:bottom w:val="single" w:sz="4" w:space="0" w:color="auto"/>
            </w:tcBorders>
            <w:vAlign w:val="center"/>
          </w:tcPr>
          <w:p w14:paraId="2CCE72ED"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lastRenderedPageBreak/>
              <w:t xml:space="preserve">Regarding the device, participants could understand how it worked and considered it easy to use. The plain design was appreciated, </w:t>
            </w:r>
            <w:r w:rsidRPr="00523AB6">
              <w:rPr>
                <w:rFonts w:ascii="Calibri" w:hAnsi="Calibri" w:cs="Calibri"/>
                <w:lang w:val="en-GB"/>
              </w:rPr>
              <w:lastRenderedPageBreak/>
              <w:t xml:space="preserve">although some participants wanted the device to look more like a watch and found it bothersome having to tap it to see the time. The device was comfortable and light-weighted. The wrist clamp and battery life could be improved. There was concern about privacy of the data and some did not trust the results of the device. Both financial and time costs were important issues to consider. More than half of the participants had the intention to continue using the device. </w:t>
            </w:r>
          </w:p>
        </w:tc>
      </w:tr>
      <w:tr w:rsidR="00F904EB" w:rsidRPr="00E251B4" w14:paraId="02A6A23E" w14:textId="77777777" w:rsidTr="007E42ED">
        <w:trPr>
          <w:trHeight w:val="903"/>
        </w:trPr>
        <w:tc>
          <w:tcPr>
            <w:tcW w:w="993" w:type="dxa"/>
            <w:tcBorders>
              <w:top w:val="single" w:sz="4" w:space="0" w:color="auto"/>
              <w:bottom w:val="single" w:sz="4" w:space="0" w:color="auto"/>
            </w:tcBorders>
            <w:noWrap/>
            <w:vAlign w:val="center"/>
          </w:tcPr>
          <w:p w14:paraId="4DAFEC6E"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lastRenderedPageBreak/>
              <w:t>Svetnik</w:t>
            </w:r>
          </w:p>
        </w:tc>
        <w:tc>
          <w:tcPr>
            <w:tcW w:w="708" w:type="dxa"/>
            <w:tcBorders>
              <w:top w:val="single" w:sz="4" w:space="0" w:color="auto"/>
              <w:bottom w:val="single" w:sz="4" w:space="0" w:color="auto"/>
            </w:tcBorders>
            <w:noWrap/>
            <w:vAlign w:val="center"/>
          </w:tcPr>
          <w:p w14:paraId="710E2115"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2021</w:t>
            </w:r>
          </w:p>
        </w:tc>
        <w:tc>
          <w:tcPr>
            <w:tcW w:w="819" w:type="dxa"/>
            <w:tcBorders>
              <w:top w:val="single" w:sz="4" w:space="0" w:color="auto"/>
              <w:bottom w:val="single" w:sz="4" w:space="0" w:color="auto"/>
            </w:tcBorders>
            <w:noWrap/>
            <w:vAlign w:val="center"/>
          </w:tcPr>
          <w:p w14:paraId="46181CC3"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USA</w:t>
            </w:r>
          </w:p>
        </w:tc>
        <w:tc>
          <w:tcPr>
            <w:tcW w:w="1449" w:type="dxa"/>
            <w:gridSpan w:val="2"/>
            <w:tcBorders>
              <w:top w:val="single" w:sz="4" w:space="0" w:color="auto"/>
              <w:bottom w:val="single" w:sz="4" w:space="0" w:color="auto"/>
            </w:tcBorders>
            <w:vAlign w:val="center"/>
          </w:tcPr>
          <w:p w14:paraId="261441AE"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Garmin Vivosmart</w:t>
            </w:r>
          </w:p>
        </w:tc>
        <w:tc>
          <w:tcPr>
            <w:tcW w:w="1134" w:type="dxa"/>
            <w:tcBorders>
              <w:top w:val="single" w:sz="4" w:space="0" w:color="auto"/>
              <w:bottom w:val="single" w:sz="4" w:space="0" w:color="auto"/>
            </w:tcBorders>
            <w:vAlign w:val="center"/>
          </w:tcPr>
          <w:p w14:paraId="722865B5"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Sleep</w:t>
            </w:r>
          </w:p>
        </w:tc>
        <w:tc>
          <w:tcPr>
            <w:tcW w:w="1985" w:type="dxa"/>
            <w:tcBorders>
              <w:top w:val="single" w:sz="4" w:space="0" w:color="auto"/>
              <w:bottom w:val="single" w:sz="4" w:space="0" w:color="auto"/>
            </w:tcBorders>
            <w:vAlign w:val="center"/>
          </w:tcPr>
          <w:p w14:paraId="12D2C51F" w14:textId="77777777" w:rsidR="00F904EB" w:rsidRPr="00523AB6" w:rsidRDefault="00F904EB" w:rsidP="007E42ED">
            <w:pPr>
              <w:spacing w:after="0"/>
              <w:rPr>
                <w:rFonts w:ascii="Calibri" w:hAnsi="Calibri" w:cs="Calibri"/>
              </w:rPr>
            </w:pPr>
            <w:r w:rsidRPr="00523AB6">
              <w:rPr>
                <w:rFonts w:ascii="Calibri" w:hAnsi="Calibri" w:cs="Calibri"/>
              </w:rPr>
              <w:t>To investigate the usefulness of a wearable in measuring treatment effects of insomnia in people with dementia.</w:t>
            </w:r>
          </w:p>
        </w:tc>
        <w:tc>
          <w:tcPr>
            <w:tcW w:w="3541" w:type="dxa"/>
            <w:tcBorders>
              <w:top w:val="single" w:sz="4" w:space="0" w:color="auto"/>
              <w:bottom w:val="single" w:sz="4" w:space="0" w:color="auto"/>
            </w:tcBorders>
            <w:vAlign w:val="center"/>
          </w:tcPr>
          <w:p w14:paraId="3AE0ED2F" w14:textId="77777777" w:rsidR="00F904EB" w:rsidRPr="00523AB6" w:rsidRDefault="00F904EB" w:rsidP="007E42ED">
            <w:pPr>
              <w:spacing w:after="0"/>
              <w:rPr>
                <w:rFonts w:ascii="Calibri" w:hAnsi="Calibri" w:cs="Calibri"/>
              </w:rPr>
            </w:pPr>
            <w:r w:rsidRPr="00523AB6">
              <w:rPr>
                <w:rFonts w:ascii="Calibri" w:hAnsi="Calibri" w:cs="Calibri"/>
              </w:rPr>
              <w:t>Randomized experimental study with 285 older adults with Alzheimer’s disease and insomnia. During insomnia treatment of four weeks, participants were instructed to wear the device all the nights at home. Three overnight measurements with standard polysomnography (PSG) were performed in the laboratory at screening, baseline, and at the end of the treatment. The challenges of using the device were reported by the researchers.</w:t>
            </w:r>
          </w:p>
        </w:tc>
        <w:tc>
          <w:tcPr>
            <w:tcW w:w="3261" w:type="dxa"/>
            <w:tcBorders>
              <w:top w:val="single" w:sz="4" w:space="0" w:color="auto"/>
              <w:bottom w:val="single" w:sz="4" w:space="0" w:color="auto"/>
            </w:tcBorders>
            <w:vAlign w:val="center"/>
          </w:tcPr>
          <w:p w14:paraId="61F80362" w14:textId="77777777" w:rsidR="00F904EB" w:rsidRPr="00523AB6" w:rsidRDefault="00F904EB" w:rsidP="007E42ED">
            <w:pPr>
              <w:spacing w:after="0"/>
              <w:rPr>
                <w:rFonts w:ascii="Calibri" w:hAnsi="Calibri" w:cs="Calibri"/>
              </w:rPr>
            </w:pPr>
            <w:r w:rsidRPr="00523AB6">
              <w:rPr>
                <w:rFonts w:ascii="Calibri" w:hAnsi="Calibri" w:cs="Calibri"/>
              </w:rPr>
              <w:t>74% of the participants had usable data of the device, which is at least three nights of measurements in a week. The challenges were patient compliance, battery life and Bluetooth connectivity between the watch and tablet.</w:t>
            </w:r>
          </w:p>
        </w:tc>
      </w:tr>
      <w:tr w:rsidR="00F904EB" w:rsidRPr="00E251B4" w14:paraId="41D65EAE" w14:textId="77777777" w:rsidTr="007E42ED">
        <w:trPr>
          <w:trHeight w:val="903"/>
        </w:trPr>
        <w:tc>
          <w:tcPr>
            <w:tcW w:w="993" w:type="dxa"/>
            <w:tcBorders>
              <w:top w:val="single" w:sz="4" w:space="0" w:color="auto"/>
              <w:bottom w:val="single" w:sz="4" w:space="0" w:color="auto"/>
            </w:tcBorders>
            <w:noWrap/>
            <w:vAlign w:val="center"/>
          </w:tcPr>
          <w:p w14:paraId="4DAADD9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Van Dijk</w:t>
            </w:r>
          </w:p>
        </w:tc>
        <w:tc>
          <w:tcPr>
            <w:tcW w:w="708" w:type="dxa"/>
            <w:tcBorders>
              <w:top w:val="single" w:sz="4" w:space="0" w:color="auto"/>
              <w:bottom w:val="single" w:sz="4" w:space="0" w:color="auto"/>
            </w:tcBorders>
            <w:noWrap/>
            <w:vAlign w:val="center"/>
          </w:tcPr>
          <w:p w14:paraId="2F04DFFA"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2012</w:t>
            </w:r>
          </w:p>
        </w:tc>
        <w:tc>
          <w:tcPr>
            <w:tcW w:w="993" w:type="dxa"/>
            <w:gridSpan w:val="2"/>
            <w:tcBorders>
              <w:top w:val="single" w:sz="4" w:space="0" w:color="auto"/>
              <w:bottom w:val="single" w:sz="4" w:space="0" w:color="auto"/>
            </w:tcBorders>
            <w:noWrap/>
            <w:vAlign w:val="center"/>
          </w:tcPr>
          <w:p w14:paraId="691141A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bottom w:val="single" w:sz="4" w:space="0" w:color="auto"/>
            </w:tcBorders>
            <w:vAlign w:val="center"/>
          </w:tcPr>
          <w:p w14:paraId="56116B1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Actiwatch AW7 (Cambridge Neurotechnology Ltd, Cambridge, UK)</w:t>
            </w:r>
          </w:p>
        </w:tc>
        <w:tc>
          <w:tcPr>
            <w:tcW w:w="1134" w:type="dxa"/>
            <w:tcBorders>
              <w:top w:val="single" w:sz="4" w:space="0" w:color="auto"/>
              <w:bottom w:val="single" w:sz="4" w:space="0" w:color="auto"/>
            </w:tcBorders>
            <w:vAlign w:val="center"/>
          </w:tcPr>
          <w:p w14:paraId="7546BBC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bottom w:val="single" w:sz="4" w:space="0" w:color="auto"/>
            </w:tcBorders>
            <w:vAlign w:val="center"/>
          </w:tcPr>
          <w:p w14:paraId="359FB53D"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evaluate the feasibility of using actigraphy to monitor sleep in older people with intellectual disability.</w:t>
            </w:r>
          </w:p>
        </w:tc>
        <w:tc>
          <w:tcPr>
            <w:tcW w:w="3541" w:type="dxa"/>
            <w:tcBorders>
              <w:top w:val="single" w:sz="4" w:space="0" w:color="auto"/>
              <w:bottom w:val="single" w:sz="4" w:space="0" w:color="auto"/>
            </w:tcBorders>
            <w:vAlign w:val="center"/>
          </w:tcPr>
          <w:p w14:paraId="4AF8B21C"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cross-sectional study. 563 older adults with intellectual disability wore the actiwatch continuously for a maximum of 14 days. Feasibility was evaluated by the researchers.</w:t>
            </w:r>
            <w:r w:rsidRPr="00523AB6">
              <w:rPr>
                <w:rFonts w:ascii="Calibri" w:eastAsia="Times New Roman" w:hAnsi="Calibri" w:cs="Calibri"/>
                <w:lang w:val="en-GB"/>
              </w:rPr>
              <w:t>*</w:t>
            </w:r>
          </w:p>
        </w:tc>
        <w:tc>
          <w:tcPr>
            <w:tcW w:w="3261" w:type="dxa"/>
            <w:tcBorders>
              <w:top w:val="single" w:sz="4" w:space="0" w:color="auto"/>
              <w:bottom w:val="single" w:sz="4" w:space="0" w:color="auto"/>
            </w:tcBorders>
            <w:vAlign w:val="center"/>
          </w:tcPr>
          <w:p w14:paraId="41D5CAEB"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A successful measurement was obtained from 200 (35%) of the participants. Unsuccessful measurements were mainly due to problems wearing the device and incomplete bedtime information. 354 (92%) of those who started wearing the device wore it for more than 7 days.</w:t>
            </w:r>
          </w:p>
        </w:tc>
      </w:tr>
      <w:tr w:rsidR="00F904EB" w:rsidRPr="00E251B4" w14:paraId="56308A3B" w14:textId="77777777" w:rsidTr="007E42ED">
        <w:trPr>
          <w:trHeight w:val="499"/>
        </w:trPr>
        <w:tc>
          <w:tcPr>
            <w:tcW w:w="13890" w:type="dxa"/>
            <w:gridSpan w:val="9"/>
            <w:tcBorders>
              <w:top w:val="single" w:sz="4" w:space="0" w:color="auto"/>
              <w:bottom w:val="single" w:sz="4" w:space="0" w:color="auto"/>
            </w:tcBorders>
            <w:noWrap/>
            <w:vAlign w:val="center"/>
          </w:tcPr>
          <w:p w14:paraId="57FB13B9" w14:textId="77777777" w:rsidR="00F904EB" w:rsidRPr="00523AB6" w:rsidRDefault="00F904EB" w:rsidP="007E42ED">
            <w:pPr>
              <w:spacing w:after="0"/>
              <w:rPr>
                <w:rFonts w:ascii="Calibri" w:hAnsi="Calibri" w:cs="Calibri"/>
                <w:lang w:val="en-GB"/>
              </w:rPr>
            </w:pPr>
            <w:r w:rsidRPr="00523AB6">
              <w:rPr>
                <w:b/>
                <w:bCs/>
                <w:lang w:val="en-GB"/>
              </w:rPr>
              <w:t>Brain activity monitors – Bispectural Index (BIS)</w:t>
            </w:r>
          </w:p>
        </w:tc>
      </w:tr>
      <w:tr w:rsidR="00F904EB" w:rsidRPr="00E251B4" w14:paraId="47D233A1" w14:textId="77777777" w:rsidTr="007E42ED">
        <w:trPr>
          <w:trHeight w:val="903"/>
        </w:trPr>
        <w:tc>
          <w:tcPr>
            <w:tcW w:w="993" w:type="dxa"/>
            <w:tcBorders>
              <w:top w:val="single" w:sz="4" w:space="0" w:color="auto"/>
              <w:bottom w:val="single" w:sz="4" w:space="0" w:color="auto"/>
            </w:tcBorders>
            <w:noWrap/>
            <w:vAlign w:val="center"/>
          </w:tcPr>
          <w:p w14:paraId="1F33D419"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Gambrell</w:t>
            </w:r>
          </w:p>
        </w:tc>
        <w:tc>
          <w:tcPr>
            <w:tcW w:w="708" w:type="dxa"/>
            <w:tcBorders>
              <w:top w:val="single" w:sz="4" w:space="0" w:color="auto"/>
              <w:bottom w:val="single" w:sz="4" w:space="0" w:color="auto"/>
            </w:tcBorders>
            <w:noWrap/>
            <w:vAlign w:val="center"/>
          </w:tcPr>
          <w:p w14:paraId="225C94A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2005</w:t>
            </w:r>
          </w:p>
        </w:tc>
        <w:tc>
          <w:tcPr>
            <w:tcW w:w="993" w:type="dxa"/>
            <w:gridSpan w:val="2"/>
            <w:tcBorders>
              <w:top w:val="single" w:sz="4" w:space="0" w:color="auto"/>
              <w:bottom w:val="single" w:sz="4" w:space="0" w:color="auto"/>
            </w:tcBorders>
            <w:noWrap/>
            <w:vAlign w:val="center"/>
          </w:tcPr>
          <w:p w14:paraId="54C0A9A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bottom w:val="single" w:sz="4" w:space="0" w:color="auto"/>
            </w:tcBorders>
            <w:vAlign w:val="center"/>
          </w:tcPr>
          <w:p w14:paraId="7E387E3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w:t>
            </w:r>
          </w:p>
        </w:tc>
        <w:tc>
          <w:tcPr>
            <w:tcW w:w="1134" w:type="dxa"/>
            <w:tcBorders>
              <w:top w:val="single" w:sz="4" w:space="0" w:color="auto"/>
              <w:bottom w:val="single" w:sz="4" w:space="0" w:color="auto"/>
            </w:tcBorders>
            <w:vAlign w:val="center"/>
          </w:tcPr>
          <w:p w14:paraId="584E35E7"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Depth of sedation</w:t>
            </w:r>
          </w:p>
        </w:tc>
        <w:tc>
          <w:tcPr>
            <w:tcW w:w="1985" w:type="dxa"/>
            <w:tcBorders>
              <w:top w:val="single" w:sz="4" w:space="0" w:color="auto"/>
              <w:bottom w:val="single" w:sz="4" w:space="0" w:color="auto"/>
            </w:tcBorders>
            <w:vAlign w:val="center"/>
          </w:tcPr>
          <w:p w14:paraId="4B76D4EE"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present a case where the BIS monitor is used successfully in the ICU.</w:t>
            </w:r>
          </w:p>
        </w:tc>
        <w:tc>
          <w:tcPr>
            <w:tcW w:w="3541" w:type="dxa"/>
            <w:tcBorders>
              <w:top w:val="single" w:sz="4" w:space="0" w:color="auto"/>
              <w:bottom w:val="single" w:sz="4" w:space="0" w:color="auto"/>
            </w:tcBorders>
            <w:vAlign w:val="center"/>
          </w:tcPr>
          <w:p w14:paraId="28D38B86"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Case study of a 78-year-old woman with intraventricular haemorrhage. She was monitored in the last few hours of her life in the ICU. The nurse and family expressed their opinions on the device.</w:t>
            </w:r>
          </w:p>
        </w:tc>
        <w:tc>
          <w:tcPr>
            <w:tcW w:w="3261" w:type="dxa"/>
            <w:tcBorders>
              <w:top w:val="single" w:sz="4" w:space="0" w:color="auto"/>
              <w:bottom w:val="single" w:sz="4" w:space="0" w:color="auto"/>
            </w:tcBorders>
            <w:vAlign w:val="center"/>
          </w:tcPr>
          <w:p w14:paraId="569C5E15"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The nurse saw BIS as an additional tool to help titration and to educate the family. The family is more confident of a comfortable death and are pleased to see the BIS values fluctuate when they talked to the patient.</w:t>
            </w:r>
          </w:p>
        </w:tc>
      </w:tr>
      <w:tr w:rsidR="00F904EB" w:rsidRPr="00E251B4" w14:paraId="4451CE9B"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661385D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Pedrao</w:t>
            </w:r>
          </w:p>
        </w:tc>
        <w:tc>
          <w:tcPr>
            <w:tcW w:w="708" w:type="dxa"/>
            <w:tcBorders>
              <w:top w:val="single" w:sz="4" w:space="0" w:color="auto"/>
              <w:left w:val="nil"/>
              <w:bottom w:val="single" w:sz="4" w:space="0" w:color="auto"/>
              <w:right w:val="nil"/>
            </w:tcBorders>
            <w:noWrap/>
            <w:vAlign w:val="center"/>
          </w:tcPr>
          <w:p w14:paraId="1601BD6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5BCCED44"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Brazil</w:t>
            </w:r>
          </w:p>
        </w:tc>
        <w:tc>
          <w:tcPr>
            <w:tcW w:w="1275" w:type="dxa"/>
            <w:tcBorders>
              <w:top w:val="single" w:sz="4" w:space="0" w:color="auto"/>
              <w:left w:val="nil"/>
              <w:bottom w:val="single" w:sz="4" w:space="0" w:color="auto"/>
              <w:right w:val="nil"/>
            </w:tcBorders>
            <w:vAlign w:val="center"/>
          </w:tcPr>
          <w:p w14:paraId="5FB72E68"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BIS™ Vista Monitoring System (Covidien LLC, Mansfield, United States)</w:t>
            </w:r>
          </w:p>
        </w:tc>
        <w:tc>
          <w:tcPr>
            <w:tcW w:w="1134" w:type="dxa"/>
            <w:tcBorders>
              <w:top w:val="single" w:sz="4" w:space="0" w:color="auto"/>
              <w:left w:val="nil"/>
              <w:bottom w:val="single" w:sz="4" w:space="0" w:color="auto"/>
              <w:right w:val="nil"/>
            </w:tcBorders>
            <w:vAlign w:val="center"/>
          </w:tcPr>
          <w:p w14:paraId="117C2A6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w:t>
            </w:r>
          </w:p>
        </w:tc>
        <w:tc>
          <w:tcPr>
            <w:tcW w:w="1985" w:type="dxa"/>
            <w:tcBorders>
              <w:top w:val="single" w:sz="4" w:space="0" w:color="auto"/>
              <w:left w:val="nil"/>
              <w:bottom w:val="single" w:sz="4" w:space="0" w:color="auto"/>
              <w:right w:val="nil"/>
            </w:tcBorders>
            <w:vAlign w:val="center"/>
          </w:tcPr>
          <w:p w14:paraId="63740E28" w14:textId="77777777" w:rsidR="00F904EB" w:rsidRPr="00523AB6" w:rsidRDefault="00F904EB" w:rsidP="007E42ED">
            <w:pPr>
              <w:spacing w:after="0"/>
              <w:rPr>
                <w:rFonts w:ascii="Calibri" w:hAnsi="Calibri" w:cs="Calibri"/>
                <w:lang w:val="en-GB"/>
              </w:rPr>
            </w:pPr>
          </w:p>
          <w:p w14:paraId="764FF2B7" w14:textId="77777777" w:rsidR="00F904EB" w:rsidRPr="00523AB6" w:rsidRDefault="00F904EB" w:rsidP="007E42ED">
            <w:pPr>
              <w:rPr>
                <w:rFonts w:ascii="Calibri" w:hAnsi="Calibri" w:cs="Calibri"/>
                <w:lang w:val="en-GB"/>
              </w:rPr>
            </w:pPr>
            <w:r w:rsidRPr="00523AB6">
              <w:rPr>
                <w:rFonts w:ascii="Calibri" w:hAnsi="Calibri" w:cs="Calibri"/>
                <w:lang w:val="en-GB"/>
              </w:rPr>
              <w:t xml:space="preserve">To test the feasibility of using BIS to evaluate sleep in critically ill patients. </w:t>
            </w:r>
          </w:p>
        </w:tc>
        <w:tc>
          <w:tcPr>
            <w:tcW w:w="3541" w:type="dxa"/>
            <w:tcBorders>
              <w:top w:val="single" w:sz="4" w:space="0" w:color="auto"/>
              <w:left w:val="nil"/>
              <w:bottom w:val="single" w:sz="4" w:space="0" w:color="auto"/>
              <w:right w:val="nil"/>
            </w:tcBorders>
            <w:vAlign w:val="center"/>
          </w:tcPr>
          <w:p w14:paraId="741F3CAE"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cross-sectional study with 29 lucid patients in ICU. BIS monitoring was performed for a whole night (12 hours). The participants filled in the Richards-Campbell Sleep Questionnaire (RCSQ) the next morning. The feasibility was evaluated by the researchers.</w:t>
            </w:r>
          </w:p>
        </w:tc>
        <w:tc>
          <w:tcPr>
            <w:tcW w:w="3261" w:type="dxa"/>
            <w:tcBorders>
              <w:top w:val="single" w:sz="4" w:space="0" w:color="auto"/>
              <w:left w:val="nil"/>
              <w:bottom w:val="single" w:sz="4" w:space="0" w:color="auto"/>
            </w:tcBorders>
            <w:vAlign w:val="center"/>
          </w:tcPr>
          <w:p w14:paraId="6D67D61F"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Among 49 patients who were eligible for the study, seven refused to participate, two could not be monitored because of delirium, five could not be monitored because of other procedures they underwent, five dropped out because of discomfort of the sensors or displacement of the sensors.</w:t>
            </w:r>
          </w:p>
          <w:p w14:paraId="438E474B"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The authors concluded that BIS had limited feasibility in lucid patients in the ICU.</w:t>
            </w:r>
          </w:p>
        </w:tc>
      </w:tr>
      <w:tr w:rsidR="00F904EB" w:rsidRPr="00E251B4" w14:paraId="0AEFC294" w14:textId="77777777" w:rsidTr="007E42ED">
        <w:trPr>
          <w:trHeight w:val="499"/>
        </w:trPr>
        <w:tc>
          <w:tcPr>
            <w:tcW w:w="13890" w:type="dxa"/>
            <w:gridSpan w:val="9"/>
            <w:tcBorders>
              <w:top w:val="single" w:sz="4" w:space="0" w:color="auto"/>
              <w:bottom w:val="single" w:sz="4" w:space="0" w:color="auto"/>
            </w:tcBorders>
            <w:noWrap/>
            <w:vAlign w:val="center"/>
          </w:tcPr>
          <w:p w14:paraId="116FD94B" w14:textId="77777777" w:rsidR="00F904EB" w:rsidRPr="00523AB6" w:rsidRDefault="00F904EB" w:rsidP="007E42ED">
            <w:pPr>
              <w:spacing w:after="0"/>
              <w:rPr>
                <w:b/>
                <w:bCs/>
                <w:lang w:val="en-GB"/>
              </w:rPr>
            </w:pPr>
            <w:r w:rsidRPr="00523AB6">
              <w:rPr>
                <w:b/>
                <w:bCs/>
                <w:lang w:val="en-GB"/>
              </w:rPr>
              <w:lastRenderedPageBreak/>
              <w:t xml:space="preserve">Brain activity monitors – other </w:t>
            </w:r>
            <w:bookmarkStart w:id="0" w:name="_Hlk134104362"/>
            <w:r w:rsidRPr="00523AB6">
              <w:rPr>
                <w:b/>
                <w:bCs/>
                <w:lang w:val="en-GB"/>
              </w:rPr>
              <w:t xml:space="preserve">electroencephalography(EEG)-based </w:t>
            </w:r>
            <w:bookmarkEnd w:id="0"/>
            <w:r w:rsidRPr="00523AB6">
              <w:rPr>
                <w:b/>
                <w:bCs/>
                <w:lang w:val="en-GB"/>
              </w:rPr>
              <w:t>technologies</w:t>
            </w:r>
          </w:p>
        </w:tc>
      </w:tr>
      <w:tr w:rsidR="00F904EB" w:rsidRPr="00E251B4" w14:paraId="12A8893A"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2B086150"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Pu</w:t>
            </w:r>
          </w:p>
        </w:tc>
        <w:tc>
          <w:tcPr>
            <w:tcW w:w="708" w:type="dxa"/>
            <w:tcBorders>
              <w:top w:val="single" w:sz="4" w:space="0" w:color="auto"/>
              <w:left w:val="nil"/>
              <w:bottom w:val="single" w:sz="4" w:space="0" w:color="auto"/>
              <w:right w:val="nil"/>
            </w:tcBorders>
            <w:noWrap/>
            <w:vAlign w:val="center"/>
          </w:tcPr>
          <w:p w14:paraId="7B8A00B7"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784A77B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Australia</w:t>
            </w:r>
          </w:p>
        </w:tc>
        <w:tc>
          <w:tcPr>
            <w:tcW w:w="1275" w:type="dxa"/>
            <w:tcBorders>
              <w:top w:val="single" w:sz="4" w:space="0" w:color="auto"/>
              <w:left w:val="nil"/>
              <w:bottom w:val="single" w:sz="4" w:space="0" w:color="auto"/>
              <w:right w:val="nil"/>
            </w:tcBorders>
            <w:vAlign w:val="center"/>
          </w:tcPr>
          <w:p w14:paraId="5BDED46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MUSE 2 (InteraXon Inc., Toronto ON, Canada)</w:t>
            </w:r>
          </w:p>
        </w:tc>
        <w:tc>
          <w:tcPr>
            <w:tcW w:w="1134" w:type="dxa"/>
            <w:tcBorders>
              <w:top w:val="single" w:sz="4" w:space="0" w:color="auto"/>
              <w:left w:val="nil"/>
              <w:bottom w:val="single" w:sz="4" w:space="0" w:color="auto"/>
              <w:right w:val="nil"/>
            </w:tcBorders>
            <w:vAlign w:val="center"/>
          </w:tcPr>
          <w:p w14:paraId="0E86A306"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Pain</w:t>
            </w:r>
          </w:p>
        </w:tc>
        <w:tc>
          <w:tcPr>
            <w:tcW w:w="1985" w:type="dxa"/>
            <w:tcBorders>
              <w:top w:val="single" w:sz="4" w:space="0" w:color="auto"/>
              <w:left w:val="nil"/>
              <w:bottom w:val="single" w:sz="4" w:space="0" w:color="auto"/>
              <w:right w:val="nil"/>
            </w:tcBorders>
            <w:vAlign w:val="center"/>
          </w:tcPr>
          <w:p w14:paraId="5E28D47A"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assess the feasibility of a headband EEG to monitor pain in</w:t>
            </w:r>
            <w:r w:rsidRPr="00523AB6">
              <w:t xml:space="preserve"> </w:t>
            </w:r>
            <w:r w:rsidRPr="00523AB6">
              <w:rPr>
                <w:rFonts w:ascii="Calibri" w:hAnsi="Calibri" w:cs="Calibri"/>
                <w:lang w:val="en-GB"/>
              </w:rPr>
              <w:t>long-term care residents with dementia.</w:t>
            </w:r>
          </w:p>
        </w:tc>
        <w:tc>
          <w:tcPr>
            <w:tcW w:w="3541" w:type="dxa"/>
            <w:tcBorders>
              <w:top w:val="single" w:sz="4" w:space="0" w:color="auto"/>
              <w:left w:val="nil"/>
              <w:bottom w:val="single" w:sz="4" w:space="0" w:color="auto"/>
              <w:right w:val="nil"/>
            </w:tcBorders>
            <w:vAlign w:val="center"/>
          </w:tcPr>
          <w:p w14:paraId="5F6C281B"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cross-sectional study with 4 older adults with dementia and chronic pain in a long-term care facility. Each participant was monitored for 10 minutes. The</w:t>
            </w:r>
            <w:r w:rsidRPr="00523AB6">
              <w:t xml:space="preserve"> </w:t>
            </w:r>
            <w:r w:rsidRPr="00523AB6">
              <w:rPr>
                <w:rFonts w:ascii="Calibri" w:hAnsi="Calibri" w:cs="Calibri"/>
                <w:lang w:val="en-GB"/>
              </w:rPr>
              <w:t>Pain Assessment in Advanced Dementia (PAINAD) scale was administered before and after the measurement.</w:t>
            </w:r>
          </w:p>
        </w:tc>
        <w:tc>
          <w:tcPr>
            <w:tcW w:w="3261" w:type="dxa"/>
            <w:tcBorders>
              <w:top w:val="single" w:sz="4" w:space="0" w:color="auto"/>
              <w:left w:val="nil"/>
              <w:bottom w:val="single" w:sz="4" w:space="0" w:color="auto"/>
            </w:tcBorders>
            <w:vAlign w:val="center"/>
          </w:tcPr>
          <w:p w14:paraId="534B8134" w14:textId="77777777" w:rsidR="00F904EB" w:rsidRPr="00523AB6" w:rsidRDefault="00F904EB" w:rsidP="007E42ED">
            <w:pPr>
              <w:spacing w:after="0"/>
              <w:rPr>
                <w:rFonts w:ascii="Calibri" w:hAnsi="Calibri" w:cs="Calibri"/>
                <w:lang w:val="en-GB"/>
              </w:rPr>
            </w:pPr>
            <w:r w:rsidRPr="00523AB6">
              <w:rPr>
                <w:lang w:val="en-GB"/>
              </w:rPr>
              <w:t xml:space="preserve">The device was acceptable to people with dementia and no participant tried to remove the device. </w:t>
            </w:r>
            <w:r w:rsidRPr="00523AB6">
              <w:rPr>
                <w:rFonts w:ascii="Calibri" w:hAnsi="Calibri" w:cs="Calibri"/>
                <w:lang w:val="en-GB"/>
              </w:rPr>
              <w:t>No discomfort was reported. Appropriately positioning the device was challenging.</w:t>
            </w:r>
          </w:p>
        </w:tc>
      </w:tr>
      <w:tr w:rsidR="00F904EB" w:rsidRPr="00E251B4" w14:paraId="5B919486"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66A527AC"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Vacas</w:t>
            </w:r>
          </w:p>
        </w:tc>
        <w:tc>
          <w:tcPr>
            <w:tcW w:w="708" w:type="dxa"/>
            <w:tcBorders>
              <w:top w:val="single" w:sz="4" w:space="0" w:color="auto"/>
              <w:left w:val="nil"/>
              <w:bottom w:val="single" w:sz="4" w:space="0" w:color="auto"/>
              <w:right w:val="nil"/>
            </w:tcBorders>
            <w:noWrap/>
            <w:vAlign w:val="center"/>
          </w:tcPr>
          <w:p w14:paraId="68EFD4C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2016</w:t>
            </w:r>
          </w:p>
        </w:tc>
        <w:tc>
          <w:tcPr>
            <w:tcW w:w="993" w:type="dxa"/>
            <w:gridSpan w:val="2"/>
            <w:tcBorders>
              <w:top w:val="single" w:sz="4" w:space="0" w:color="auto"/>
              <w:left w:val="nil"/>
              <w:bottom w:val="single" w:sz="4" w:space="0" w:color="auto"/>
              <w:right w:val="nil"/>
            </w:tcBorders>
            <w:noWrap/>
            <w:vAlign w:val="center"/>
          </w:tcPr>
          <w:p w14:paraId="53C23087"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5BCC9644"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SedLine Brain Function Monitor (Masimo Corp., Irvine, California)</w:t>
            </w:r>
          </w:p>
        </w:tc>
        <w:tc>
          <w:tcPr>
            <w:tcW w:w="1134" w:type="dxa"/>
            <w:tcBorders>
              <w:top w:val="single" w:sz="4" w:space="0" w:color="auto"/>
              <w:left w:val="nil"/>
              <w:bottom w:val="single" w:sz="4" w:space="0" w:color="auto"/>
              <w:right w:val="nil"/>
            </w:tcBorders>
            <w:vAlign w:val="center"/>
          </w:tcPr>
          <w:p w14:paraId="52AD85C5"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Sleep - stages</w:t>
            </w:r>
          </w:p>
        </w:tc>
        <w:tc>
          <w:tcPr>
            <w:tcW w:w="1985" w:type="dxa"/>
            <w:tcBorders>
              <w:top w:val="single" w:sz="4" w:space="0" w:color="auto"/>
              <w:left w:val="nil"/>
              <w:bottom w:val="single" w:sz="4" w:space="0" w:color="auto"/>
              <w:right w:val="nil"/>
            </w:tcBorders>
            <w:vAlign w:val="center"/>
          </w:tcPr>
          <w:p w14:paraId="65F1B2F3"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validate the device in laboratory setting and to test the feasibility of its use in the ICU.</w:t>
            </w:r>
          </w:p>
        </w:tc>
        <w:tc>
          <w:tcPr>
            <w:tcW w:w="3541" w:type="dxa"/>
            <w:tcBorders>
              <w:top w:val="single" w:sz="4" w:space="0" w:color="auto"/>
              <w:left w:val="nil"/>
              <w:bottom w:val="single" w:sz="4" w:space="0" w:color="auto"/>
              <w:right w:val="nil"/>
            </w:tcBorders>
            <w:vAlign w:val="center"/>
          </w:tcPr>
          <w:p w14:paraId="046B130F"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cross-sectional study with three adult outpatients in the laboratory and 23 ICU patients.</w:t>
            </w:r>
          </w:p>
        </w:tc>
        <w:tc>
          <w:tcPr>
            <w:tcW w:w="3261" w:type="dxa"/>
            <w:tcBorders>
              <w:top w:val="single" w:sz="4" w:space="0" w:color="auto"/>
              <w:left w:val="nil"/>
              <w:bottom w:val="single" w:sz="4" w:space="0" w:color="auto"/>
            </w:tcBorders>
            <w:vAlign w:val="center"/>
          </w:tcPr>
          <w:p w14:paraId="1AC6E6D1"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The system is feasible in the ICU.</w:t>
            </w:r>
          </w:p>
        </w:tc>
      </w:tr>
      <w:tr w:rsidR="00F904EB" w:rsidRPr="00E251B4" w14:paraId="27ED881B" w14:textId="77777777" w:rsidTr="007E42ED">
        <w:trPr>
          <w:trHeight w:val="499"/>
        </w:trPr>
        <w:tc>
          <w:tcPr>
            <w:tcW w:w="13890" w:type="dxa"/>
            <w:gridSpan w:val="9"/>
            <w:tcBorders>
              <w:top w:val="single" w:sz="4" w:space="0" w:color="auto"/>
              <w:bottom w:val="single" w:sz="4" w:space="0" w:color="auto"/>
            </w:tcBorders>
            <w:noWrap/>
            <w:vAlign w:val="center"/>
          </w:tcPr>
          <w:p w14:paraId="7AFBC626" w14:textId="77777777" w:rsidR="00F904EB" w:rsidRPr="00523AB6" w:rsidRDefault="00F904EB" w:rsidP="007E42ED">
            <w:pPr>
              <w:spacing w:after="0"/>
              <w:rPr>
                <w:rFonts w:ascii="Calibri" w:hAnsi="Calibri" w:cs="Calibri"/>
                <w:lang w:val="en-GB"/>
              </w:rPr>
            </w:pPr>
            <w:r w:rsidRPr="00523AB6">
              <w:rPr>
                <w:b/>
                <w:bCs/>
                <w:lang w:val="en-GB"/>
              </w:rPr>
              <w:t xml:space="preserve">Brain activity monitors – </w:t>
            </w:r>
            <w:bookmarkStart w:id="1" w:name="_Hlk134104426"/>
            <w:r w:rsidRPr="00523AB6">
              <w:rPr>
                <w:b/>
                <w:bCs/>
                <w:lang w:val="en-GB"/>
              </w:rPr>
              <w:t>the concept of sedation monitor</w:t>
            </w:r>
            <w:bookmarkEnd w:id="1"/>
            <w:r w:rsidRPr="00523AB6">
              <w:rPr>
                <w:b/>
                <w:bCs/>
                <w:lang w:val="en-GB"/>
              </w:rPr>
              <w:t>s</w:t>
            </w:r>
          </w:p>
        </w:tc>
      </w:tr>
      <w:tr w:rsidR="00F904EB" w:rsidRPr="00E251B4" w14:paraId="68DBB9DD" w14:textId="77777777" w:rsidTr="007E42ED">
        <w:trPr>
          <w:trHeight w:val="903"/>
        </w:trPr>
        <w:tc>
          <w:tcPr>
            <w:tcW w:w="993" w:type="dxa"/>
            <w:tcBorders>
              <w:top w:val="single" w:sz="4" w:space="0" w:color="auto"/>
              <w:bottom w:val="single" w:sz="4" w:space="0" w:color="auto"/>
            </w:tcBorders>
            <w:noWrap/>
            <w:vAlign w:val="center"/>
          </w:tcPr>
          <w:p w14:paraId="5E8B47A7"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Six</w:t>
            </w:r>
          </w:p>
        </w:tc>
        <w:tc>
          <w:tcPr>
            <w:tcW w:w="708" w:type="dxa"/>
            <w:tcBorders>
              <w:top w:val="single" w:sz="4" w:space="0" w:color="auto"/>
              <w:bottom w:val="single" w:sz="4" w:space="0" w:color="auto"/>
            </w:tcBorders>
            <w:noWrap/>
            <w:vAlign w:val="center"/>
          </w:tcPr>
          <w:p w14:paraId="2048B55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bottom w:val="single" w:sz="4" w:space="0" w:color="auto"/>
            </w:tcBorders>
            <w:noWrap/>
            <w:vAlign w:val="center"/>
          </w:tcPr>
          <w:p w14:paraId="2060FAF5"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Belgium</w:t>
            </w:r>
          </w:p>
        </w:tc>
        <w:tc>
          <w:tcPr>
            <w:tcW w:w="1275" w:type="dxa"/>
            <w:tcBorders>
              <w:top w:val="single" w:sz="4" w:space="0" w:color="auto"/>
              <w:bottom w:val="single" w:sz="4" w:space="0" w:color="auto"/>
            </w:tcBorders>
            <w:vAlign w:val="center"/>
          </w:tcPr>
          <w:p w14:paraId="43885F9F"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w:t>
            </w:r>
          </w:p>
        </w:tc>
        <w:tc>
          <w:tcPr>
            <w:tcW w:w="1134" w:type="dxa"/>
            <w:tcBorders>
              <w:top w:val="single" w:sz="4" w:space="0" w:color="auto"/>
              <w:bottom w:val="single" w:sz="4" w:space="0" w:color="auto"/>
            </w:tcBorders>
            <w:vAlign w:val="center"/>
          </w:tcPr>
          <w:p w14:paraId="61C92FB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Sedation</w:t>
            </w:r>
          </w:p>
        </w:tc>
        <w:tc>
          <w:tcPr>
            <w:tcW w:w="1985" w:type="dxa"/>
            <w:tcBorders>
              <w:top w:val="single" w:sz="4" w:space="0" w:color="auto"/>
              <w:bottom w:val="single" w:sz="4" w:space="0" w:color="auto"/>
            </w:tcBorders>
            <w:vAlign w:val="center"/>
          </w:tcPr>
          <w:p w14:paraId="7E37D72A"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investigate what influences professional caregivers and family members’ attitudes towards the use of monitors during continuous sedation until death.</w:t>
            </w:r>
          </w:p>
        </w:tc>
        <w:tc>
          <w:tcPr>
            <w:tcW w:w="3541" w:type="dxa"/>
            <w:tcBorders>
              <w:top w:val="single" w:sz="4" w:space="0" w:color="auto"/>
              <w:bottom w:val="single" w:sz="4" w:space="0" w:color="auto"/>
            </w:tcBorders>
            <w:vAlign w:val="center"/>
          </w:tcPr>
          <w:p w14:paraId="3F46711A"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Qualitative interview study with 20 professional caregivers and 15 family members of patients in a palliative care setting.</w:t>
            </w:r>
          </w:p>
        </w:tc>
        <w:tc>
          <w:tcPr>
            <w:tcW w:w="3261" w:type="dxa"/>
            <w:tcBorders>
              <w:top w:val="single" w:sz="4" w:space="0" w:color="auto"/>
              <w:bottom w:val="single" w:sz="4" w:space="0" w:color="auto"/>
            </w:tcBorders>
            <w:vAlign w:val="center"/>
          </w:tcPr>
          <w:p w14:paraId="0C6DBC41"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Family members and professional caregivers found the use of monitors during continuous sedation until death acceptable because this would be a more objective assessment of consciousness and pain, which gave reassurance to family and guides titration for the professional caregivers. </w:t>
            </w:r>
          </w:p>
        </w:tc>
      </w:tr>
      <w:tr w:rsidR="00F904EB" w:rsidRPr="00523AB6" w14:paraId="664B35A2" w14:textId="77777777" w:rsidTr="007E42ED">
        <w:trPr>
          <w:trHeight w:val="499"/>
        </w:trPr>
        <w:tc>
          <w:tcPr>
            <w:tcW w:w="13890" w:type="dxa"/>
            <w:gridSpan w:val="9"/>
            <w:tcBorders>
              <w:top w:val="single" w:sz="4" w:space="0" w:color="auto"/>
              <w:bottom w:val="single" w:sz="4" w:space="0" w:color="auto"/>
            </w:tcBorders>
            <w:noWrap/>
            <w:vAlign w:val="center"/>
          </w:tcPr>
          <w:p w14:paraId="50765296" w14:textId="77777777" w:rsidR="00F904EB" w:rsidRPr="00523AB6" w:rsidRDefault="00F904EB" w:rsidP="007E42ED">
            <w:pPr>
              <w:spacing w:after="0"/>
              <w:rPr>
                <w:b/>
                <w:bCs/>
                <w:lang w:val="en-GB"/>
              </w:rPr>
            </w:pPr>
            <w:r w:rsidRPr="00523AB6">
              <w:rPr>
                <w:b/>
                <w:bCs/>
                <w:lang w:val="en-GB"/>
              </w:rPr>
              <w:t>Electrocardiography (ECG)</w:t>
            </w:r>
          </w:p>
        </w:tc>
      </w:tr>
      <w:tr w:rsidR="00F904EB" w:rsidRPr="00E251B4" w14:paraId="39BF3248"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6E556C54"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Li</w:t>
            </w:r>
          </w:p>
        </w:tc>
        <w:tc>
          <w:tcPr>
            <w:tcW w:w="708" w:type="dxa"/>
            <w:tcBorders>
              <w:top w:val="single" w:sz="4" w:space="0" w:color="auto"/>
              <w:left w:val="nil"/>
              <w:bottom w:val="single" w:sz="4" w:space="0" w:color="auto"/>
              <w:right w:val="nil"/>
            </w:tcBorders>
            <w:noWrap/>
            <w:vAlign w:val="center"/>
          </w:tcPr>
          <w:p w14:paraId="5E29C29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left w:val="nil"/>
              <w:bottom w:val="single" w:sz="4" w:space="0" w:color="auto"/>
              <w:right w:val="nil"/>
            </w:tcBorders>
            <w:noWrap/>
            <w:vAlign w:val="center"/>
          </w:tcPr>
          <w:p w14:paraId="031BAA5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China</w:t>
            </w:r>
          </w:p>
        </w:tc>
        <w:tc>
          <w:tcPr>
            <w:tcW w:w="1275" w:type="dxa"/>
            <w:tcBorders>
              <w:top w:val="single" w:sz="4" w:space="0" w:color="auto"/>
              <w:left w:val="nil"/>
              <w:bottom w:val="single" w:sz="4" w:space="0" w:color="auto"/>
              <w:right w:val="nil"/>
            </w:tcBorders>
            <w:vAlign w:val="center"/>
          </w:tcPr>
          <w:p w14:paraId="5761E8D9"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myBeat-WHS-1 (Union Tool Co., Ltd., Japan)</w:t>
            </w:r>
          </w:p>
        </w:tc>
        <w:tc>
          <w:tcPr>
            <w:tcW w:w="1134" w:type="dxa"/>
            <w:tcBorders>
              <w:top w:val="single" w:sz="4" w:space="0" w:color="auto"/>
              <w:left w:val="nil"/>
              <w:bottom w:val="single" w:sz="4" w:space="0" w:color="auto"/>
              <w:right w:val="nil"/>
            </w:tcBorders>
            <w:vAlign w:val="center"/>
          </w:tcPr>
          <w:p w14:paraId="622EBD9A"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362C9596"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use a wearable ECG monitor to measure workplace stress in nurses.</w:t>
            </w:r>
          </w:p>
        </w:tc>
        <w:tc>
          <w:tcPr>
            <w:tcW w:w="3541" w:type="dxa"/>
            <w:tcBorders>
              <w:top w:val="single" w:sz="4" w:space="0" w:color="auto"/>
              <w:left w:val="nil"/>
              <w:bottom w:val="single" w:sz="4" w:space="0" w:color="auto"/>
              <w:right w:val="nil"/>
            </w:tcBorders>
            <w:vAlign w:val="center"/>
          </w:tcPr>
          <w:p w14:paraId="677370C2"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cross-sectional study with 17 healthy nurses during one work day at the hospital. Participants wore the device and filled in the Chinese Nurses Stress Response Scale (CNSRS) after work. The feasibility was evaluated by the authors.</w:t>
            </w:r>
          </w:p>
        </w:tc>
        <w:tc>
          <w:tcPr>
            <w:tcW w:w="3261" w:type="dxa"/>
            <w:tcBorders>
              <w:top w:val="single" w:sz="4" w:space="0" w:color="auto"/>
              <w:left w:val="nil"/>
              <w:bottom w:val="single" w:sz="4" w:space="0" w:color="auto"/>
            </w:tcBorders>
            <w:vAlign w:val="center"/>
          </w:tcPr>
          <w:p w14:paraId="52B9B770"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The authors concluded that it was feasible to use the portable device to monitor stress in nurses in their work environment.</w:t>
            </w:r>
          </w:p>
        </w:tc>
      </w:tr>
      <w:tr w:rsidR="00F904EB" w:rsidRPr="00E251B4" w14:paraId="0A86D5D8"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76F8D1E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Tao</w:t>
            </w:r>
          </w:p>
        </w:tc>
        <w:tc>
          <w:tcPr>
            <w:tcW w:w="708" w:type="dxa"/>
            <w:tcBorders>
              <w:top w:val="single" w:sz="4" w:space="0" w:color="auto"/>
              <w:left w:val="nil"/>
              <w:bottom w:val="single" w:sz="4" w:space="0" w:color="auto"/>
              <w:right w:val="nil"/>
            </w:tcBorders>
            <w:noWrap/>
            <w:vAlign w:val="center"/>
          </w:tcPr>
          <w:p w14:paraId="4298FA95"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2021</w:t>
            </w:r>
          </w:p>
        </w:tc>
        <w:tc>
          <w:tcPr>
            <w:tcW w:w="993" w:type="dxa"/>
            <w:gridSpan w:val="2"/>
            <w:tcBorders>
              <w:top w:val="single" w:sz="4" w:space="0" w:color="auto"/>
              <w:left w:val="nil"/>
              <w:bottom w:val="single" w:sz="4" w:space="0" w:color="auto"/>
              <w:right w:val="nil"/>
            </w:tcBorders>
            <w:noWrap/>
            <w:vAlign w:val="center"/>
          </w:tcPr>
          <w:p w14:paraId="01D20F8F"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China, United Arab Emirates, Bahrain</w:t>
            </w:r>
          </w:p>
        </w:tc>
        <w:tc>
          <w:tcPr>
            <w:tcW w:w="1275" w:type="dxa"/>
            <w:tcBorders>
              <w:top w:val="single" w:sz="4" w:space="0" w:color="auto"/>
              <w:left w:val="nil"/>
              <w:bottom w:val="single" w:sz="4" w:space="0" w:color="auto"/>
              <w:right w:val="nil"/>
            </w:tcBorders>
            <w:vAlign w:val="center"/>
          </w:tcPr>
          <w:p w14:paraId="72AB83D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w:t>
            </w:r>
          </w:p>
        </w:tc>
        <w:tc>
          <w:tcPr>
            <w:tcW w:w="1134" w:type="dxa"/>
            <w:tcBorders>
              <w:top w:val="single" w:sz="4" w:space="0" w:color="auto"/>
              <w:left w:val="nil"/>
              <w:bottom w:val="single" w:sz="4" w:space="0" w:color="auto"/>
              <w:right w:val="nil"/>
            </w:tcBorders>
            <w:vAlign w:val="center"/>
          </w:tcPr>
          <w:p w14:paraId="38EEA7D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Atrial fibrillation</w:t>
            </w:r>
          </w:p>
        </w:tc>
        <w:tc>
          <w:tcPr>
            <w:tcW w:w="1985" w:type="dxa"/>
            <w:tcBorders>
              <w:top w:val="single" w:sz="4" w:space="0" w:color="auto"/>
              <w:left w:val="nil"/>
              <w:bottom w:val="single" w:sz="4" w:space="0" w:color="auto"/>
              <w:right w:val="nil"/>
            </w:tcBorders>
            <w:vAlign w:val="center"/>
          </w:tcPr>
          <w:p w14:paraId="36AA3CA0"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To improve diagnostic efficiency of </w:t>
            </w:r>
            <w:r w:rsidRPr="00523AB6">
              <w:t xml:space="preserve"> </w:t>
            </w:r>
            <w:r w:rsidRPr="00523AB6">
              <w:rPr>
                <w:rFonts w:ascii="Calibri" w:hAnsi="Calibri" w:cs="Calibri"/>
                <w:lang w:val="en-GB"/>
              </w:rPr>
              <w:t>severe fever with thrombocytopenia syndrome bunyavirus (SFTSV) complicated by atrial fibrillation</w:t>
            </w:r>
          </w:p>
        </w:tc>
        <w:tc>
          <w:tcPr>
            <w:tcW w:w="3541" w:type="dxa"/>
            <w:tcBorders>
              <w:top w:val="single" w:sz="4" w:space="0" w:color="auto"/>
              <w:left w:val="nil"/>
              <w:bottom w:val="single" w:sz="4" w:space="0" w:color="auto"/>
              <w:right w:val="nil"/>
            </w:tcBorders>
            <w:vAlign w:val="center"/>
          </w:tcPr>
          <w:p w14:paraId="3BE48537"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randomized controlled study with 200 older adults with SFTSV and hypertrophic cardiomyopathy in the hospital and 20 healthy adults. After surgery for cardiac sympathetic block, patients were randomly assigned to a monitoring group using ECG, supported by a new algorithm, or a routine observation group to monitor atrial fibrillation. Patients reported their satisfaction.</w:t>
            </w:r>
          </w:p>
        </w:tc>
        <w:tc>
          <w:tcPr>
            <w:tcW w:w="3261" w:type="dxa"/>
            <w:tcBorders>
              <w:top w:val="single" w:sz="4" w:space="0" w:color="auto"/>
              <w:left w:val="nil"/>
              <w:bottom w:val="single" w:sz="4" w:space="0" w:color="auto"/>
            </w:tcBorders>
            <w:vAlign w:val="center"/>
          </w:tcPr>
          <w:p w14:paraId="48D76692"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Patients were significantly more satisfied with the ECG atrial fibrillation monitoring technology than clinical observation (</w:t>
            </w:r>
            <w:r w:rsidRPr="00523AB6">
              <w:rPr>
                <w:rFonts w:ascii="Calibri" w:hAnsi="Calibri" w:cs="Calibri"/>
                <w:i/>
                <w:iCs/>
                <w:lang w:val="en-GB"/>
              </w:rPr>
              <w:t xml:space="preserve">p </w:t>
            </w:r>
            <w:r w:rsidRPr="00523AB6">
              <w:rPr>
                <w:rFonts w:ascii="Calibri" w:hAnsi="Calibri" w:cs="Calibri"/>
                <w:lang w:val="en-GB"/>
              </w:rPr>
              <w:t>&lt; 0.05).</w:t>
            </w:r>
          </w:p>
        </w:tc>
      </w:tr>
      <w:tr w:rsidR="00F904EB" w:rsidRPr="00523AB6" w14:paraId="666AF19E" w14:textId="77777777" w:rsidTr="007E42ED">
        <w:tblPrEx>
          <w:tblBorders>
            <w:insideH w:val="single" w:sz="4" w:space="0" w:color="auto"/>
            <w:insideV w:val="single" w:sz="4" w:space="0" w:color="auto"/>
          </w:tblBorders>
        </w:tblPrEx>
        <w:trPr>
          <w:trHeight w:val="511"/>
        </w:trPr>
        <w:tc>
          <w:tcPr>
            <w:tcW w:w="13890" w:type="dxa"/>
            <w:gridSpan w:val="9"/>
            <w:tcBorders>
              <w:top w:val="single" w:sz="4" w:space="0" w:color="auto"/>
              <w:bottom w:val="single" w:sz="4" w:space="0" w:color="auto"/>
            </w:tcBorders>
            <w:noWrap/>
            <w:vAlign w:val="center"/>
          </w:tcPr>
          <w:p w14:paraId="71C67B09" w14:textId="77777777" w:rsidR="00F904EB" w:rsidRPr="00523AB6" w:rsidRDefault="00F904EB" w:rsidP="007E42ED">
            <w:pPr>
              <w:spacing w:after="0"/>
              <w:rPr>
                <w:b/>
                <w:bCs/>
                <w:lang w:val="en-GB"/>
              </w:rPr>
            </w:pPr>
            <w:r w:rsidRPr="00523AB6">
              <w:rPr>
                <w:b/>
                <w:bCs/>
                <w:lang w:val="en-GB"/>
              </w:rPr>
              <w:t>EEG and ECG</w:t>
            </w:r>
          </w:p>
        </w:tc>
      </w:tr>
      <w:tr w:rsidR="00F904EB" w:rsidRPr="00E251B4" w14:paraId="5E377E5A"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2FC42339"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Tiihonen</w:t>
            </w:r>
          </w:p>
        </w:tc>
        <w:tc>
          <w:tcPr>
            <w:tcW w:w="708" w:type="dxa"/>
            <w:tcBorders>
              <w:top w:val="single" w:sz="4" w:space="0" w:color="auto"/>
              <w:left w:val="nil"/>
              <w:bottom w:val="single" w:sz="4" w:space="0" w:color="auto"/>
              <w:right w:val="nil"/>
            </w:tcBorders>
            <w:noWrap/>
            <w:vAlign w:val="center"/>
          </w:tcPr>
          <w:p w14:paraId="12881FF8"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2008</w:t>
            </w:r>
          </w:p>
        </w:tc>
        <w:tc>
          <w:tcPr>
            <w:tcW w:w="993" w:type="dxa"/>
            <w:gridSpan w:val="2"/>
            <w:tcBorders>
              <w:top w:val="single" w:sz="4" w:space="0" w:color="auto"/>
              <w:left w:val="nil"/>
              <w:bottom w:val="single" w:sz="4" w:space="0" w:color="auto"/>
              <w:right w:val="nil"/>
            </w:tcBorders>
            <w:noWrap/>
            <w:vAlign w:val="center"/>
          </w:tcPr>
          <w:p w14:paraId="0B3F33E8"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Finland</w:t>
            </w:r>
          </w:p>
        </w:tc>
        <w:tc>
          <w:tcPr>
            <w:tcW w:w="1275" w:type="dxa"/>
            <w:tcBorders>
              <w:top w:val="single" w:sz="4" w:space="0" w:color="auto"/>
              <w:left w:val="nil"/>
              <w:bottom w:val="single" w:sz="4" w:space="0" w:color="auto"/>
              <w:right w:val="nil"/>
            </w:tcBorders>
            <w:vAlign w:val="center"/>
          </w:tcPr>
          <w:p w14:paraId="12B6F159"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0F55A14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Depth of sedation</w:t>
            </w:r>
          </w:p>
        </w:tc>
        <w:tc>
          <w:tcPr>
            <w:tcW w:w="1985" w:type="dxa"/>
            <w:tcBorders>
              <w:top w:val="single" w:sz="4" w:space="0" w:color="auto"/>
              <w:left w:val="nil"/>
              <w:bottom w:val="single" w:sz="4" w:space="0" w:color="auto"/>
              <w:right w:val="nil"/>
            </w:tcBorders>
            <w:vAlign w:val="center"/>
          </w:tcPr>
          <w:p w14:paraId="6319C2C3"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develop and validate a portable device to measure the depth of sedation with</w:t>
            </w:r>
            <w:r w:rsidRPr="00523AB6">
              <w:t xml:space="preserve"> </w:t>
            </w:r>
            <w:r w:rsidRPr="00523AB6">
              <w:rPr>
                <w:rFonts w:ascii="Calibri" w:hAnsi="Calibri" w:cs="Calibri"/>
                <w:lang w:val="en-GB"/>
              </w:rPr>
              <w:t>auditory event-related potentials (ERP).</w:t>
            </w:r>
          </w:p>
        </w:tc>
        <w:tc>
          <w:tcPr>
            <w:tcW w:w="3541" w:type="dxa"/>
            <w:tcBorders>
              <w:top w:val="single" w:sz="4" w:space="0" w:color="auto"/>
              <w:left w:val="nil"/>
              <w:bottom w:val="single" w:sz="4" w:space="0" w:color="auto"/>
              <w:right w:val="nil"/>
            </w:tcBorders>
            <w:vAlign w:val="center"/>
          </w:tcPr>
          <w:p w14:paraId="6E51B117"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Quantitative cross-sectional study with four healthy adults in the laboratory. </w:t>
            </w:r>
            <w:r>
              <w:rPr>
                <w:rFonts w:ascii="Calibri" w:hAnsi="Calibri" w:cs="Calibri"/>
                <w:lang w:val="en-GB"/>
              </w:rPr>
              <w:t xml:space="preserve">Technical validation of the device was performed. </w:t>
            </w:r>
            <w:r w:rsidRPr="00523AB6">
              <w:rPr>
                <w:rFonts w:ascii="Calibri" w:hAnsi="Calibri" w:cs="Calibri"/>
                <w:lang w:val="en-GB"/>
              </w:rPr>
              <w:t>ERP, EEG, ECG, and somatosensory-evoked potentials were measured. The quality of the signals were evaluated by an experienced neurophysiologist.</w:t>
            </w:r>
          </w:p>
        </w:tc>
        <w:tc>
          <w:tcPr>
            <w:tcW w:w="3261" w:type="dxa"/>
            <w:tcBorders>
              <w:top w:val="single" w:sz="4" w:space="0" w:color="auto"/>
              <w:left w:val="nil"/>
              <w:bottom w:val="single" w:sz="4" w:space="0" w:color="auto"/>
            </w:tcBorders>
            <w:vAlign w:val="center"/>
          </w:tcPr>
          <w:p w14:paraId="4F03C208" w14:textId="77777777" w:rsidR="00F904EB" w:rsidRPr="00523AB6" w:rsidRDefault="00F904EB" w:rsidP="007E42ED">
            <w:pPr>
              <w:spacing w:after="0"/>
              <w:rPr>
                <w:rFonts w:ascii="Calibri" w:hAnsi="Calibri" w:cs="Calibri"/>
                <w:lang w:val="en-GB"/>
              </w:rPr>
            </w:pPr>
            <w:r>
              <w:rPr>
                <w:rFonts w:ascii="Calibri" w:hAnsi="Calibri" w:cs="Calibri"/>
                <w:lang w:val="en-GB"/>
              </w:rPr>
              <w:t xml:space="preserve">ERP and </w:t>
            </w:r>
            <w:r w:rsidRPr="00D83859">
              <w:rPr>
                <w:rFonts w:ascii="Calibri" w:hAnsi="Calibri" w:cs="Calibri"/>
                <w:lang w:val="en-GB"/>
              </w:rPr>
              <w:t xml:space="preserve">somatosensory-evoked potential </w:t>
            </w:r>
            <w:r>
              <w:rPr>
                <w:rFonts w:ascii="Calibri" w:hAnsi="Calibri" w:cs="Calibri"/>
                <w:lang w:val="en-GB"/>
              </w:rPr>
              <w:t xml:space="preserve">measurements generated distinct responses. </w:t>
            </w:r>
            <w:r w:rsidRPr="00523AB6">
              <w:rPr>
                <w:rFonts w:ascii="Calibri" w:hAnsi="Calibri" w:cs="Calibri"/>
                <w:lang w:val="en-GB"/>
              </w:rPr>
              <w:t xml:space="preserve">The quality of the signal recordings was good. The noise amplitudes were acceptable. </w:t>
            </w:r>
            <w:r>
              <w:rPr>
                <w:rFonts w:ascii="Calibri" w:hAnsi="Calibri" w:cs="Calibri"/>
                <w:lang w:val="en-GB"/>
              </w:rPr>
              <w:t>The interface was easy to use.</w:t>
            </w:r>
            <w:r w:rsidRPr="00523AB6">
              <w:rPr>
                <w:rFonts w:ascii="Calibri" w:hAnsi="Calibri" w:cs="Calibri"/>
                <w:lang w:val="en-GB"/>
              </w:rPr>
              <w:t xml:space="preserve"> </w:t>
            </w:r>
            <w:r>
              <w:rPr>
                <w:rFonts w:ascii="Calibri" w:hAnsi="Calibri" w:cs="Calibri"/>
                <w:lang w:val="en-GB"/>
              </w:rPr>
              <w:t>(Note: The study reported results of the t</w:t>
            </w:r>
            <w:r w:rsidRPr="00523AB6">
              <w:rPr>
                <w:rFonts w:ascii="Calibri" w:hAnsi="Calibri" w:cs="Calibri"/>
                <w:lang w:val="en-GB"/>
              </w:rPr>
              <w:t>echnical validat</w:t>
            </w:r>
            <w:r>
              <w:rPr>
                <w:rFonts w:ascii="Calibri" w:hAnsi="Calibri" w:cs="Calibri"/>
                <w:lang w:val="en-GB"/>
              </w:rPr>
              <w:t>ion, but no clinimetrics</w:t>
            </w:r>
            <w:r w:rsidRPr="00523AB6">
              <w:rPr>
                <w:rFonts w:ascii="Calibri" w:hAnsi="Calibri" w:cs="Calibri"/>
                <w:lang w:val="en-GB"/>
              </w:rPr>
              <w:t>.</w:t>
            </w:r>
            <w:r>
              <w:rPr>
                <w:rFonts w:ascii="Calibri" w:hAnsi="Calibri" w:cs="Calibri"/>
                <w:lang w:val="en-GB"/>
              </w:rPr>
              <w:t>)</w:t>
            </w:r>
          </w:p>
        </w:tc>
      </w:tr>
      <w:tr w:rsidR="00F904EB" w:rsidRPr="00523AB6" w14:paraId="529B0815" w14:textId="77777777" w:rsidTr="007E42ED">
        <w:trPr>
          <w:trHeight w:val="499"/>
        </w:trPr>
        <w:tc>
          <w:tcPr>
            <w:tcW w:w="13890" w:type="dxa"/>
            <w:gridSpan w:val="9"/>
            <w:tcBorders>
              <w:top w:val="single" w:sz="4" w:space="0" w:color="auto"/>
              <w:bottom w:val="single" w:sz="4" w:space="0" w:color="auto"/>
            </w:tcBorders>
            <w:noWrap/>
            <w:vAlign w:val="center"/>
          </w:tcPr>
          <w:p w14:paraId="11F72D8C" w14:textId="77777777" w:rsidR="00F904EB" w:rsidRPr="00523AB6" w:rsidRDefault="00F904EB" w:rsidP="007E42ED">
            <w:pPr>
              <w:spacing w:after="0"/>
              <w:rPr>
                <w:b/>
                <w:bCs/>
                <w:lang w:val="en-GB"/>
              </w:rPr>
            </w:pPr>
            <w:r w:rsidRPr="00523AB6">
              <w:rPr>
                <w:b/>
                <w:bCs/>
                <w:lang w:val="en-GB"/>
              </w:rPr>
              <w:lastRenderedPageBreak/>
              <w:t>Electrodermal activity (EDA) monitors</w:t>
            </w:r>
          </w:p>
        </w:tc>
      </w:tr>
      <w:tr w:rsidR="00F904EB" w:rsidRPr="00E251B4" w14:paraId="6DF3F66B"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2091FE9F"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Leborgne</w:t>
            </w:r>
          </w:p>
        </w:tc>
        <w:tc>
          <w:tcPr>
            <w:tcW w:w="708" w:type="dxa"/>
            <w:tcBorders>
              <w:top w:val="single" w:sz="4" w:space="0" w:color="auto"/>
              <w:left w:val="nil"/>
              <w:bottom w:val="single" w:sz="4" w:space="0" w:color="auto"/>
              <w:right w:val="nil"/>
            </w:tcBorders>
            <w:noWrap/>
            <w:vAlign w:val="center"/>
          </w:tcPr>
          <w:p w14:paraId="1BE1F04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2023</w:t>
            </w:r>
          </w:p>
        </w:tc>
        <w:tc>
          <w:tcPr>
            <w:tcW w:w="993" w:type="dxa"/>
            <w:gridSpan w:val="2"/>
            <w:tcBorders>
              <w:top w:val="single" w:sz="4" w:space="0" w:color="auto"/>
              <w:left w:val="nil"/>
              <w:bottom w:val="single" w:sz="4" w:space="0" w:color="auto"/>
              <w:right w:val="nil"/>
            </w:tcBorders>
            <w:noWrap/>
            <w:vAlign w:val="center"/>
          </w:tcPr>
          <w:p w14:paraId="45CCB24F"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left w:val="nil"/>
              <w:bottom w:val="single" w:sz="4" w:space="0" w:color="auto"/>
              <w:right w:val="nil"/>
            </w:tcBorders>
            <w:vAlign w:val="center"/>
          </w:tcPr>
          <w:p w14:paraId="58E14F99"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w:t>
            </w:r>
          </w:p>
        </w:tc>
        <w:tc>
          <w:tcPr>
            <w:tcW w:w="1134" w:type="dxa"/>
            <w:tcBorders>
              <w:top w:val="single" w:sz="4" w:space="0" w:color="auto"/>
              <w:left w:val="nil"/>
              <w:bottom w:val="single" w:sz="4" w:space="0" w:color="auto"/>
              <w:right w:val="nil"/>
            </w:tcBorders>
            <w:vAlign w:val="center"/>
          </w:tcPr>
          <w:p w14:paraId="56B784AF"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Stress</w:t>
            </w:r>
          </w:p>
        </w:tc>
        <w:tc>
          <w:tcPr>
            <w:tcW w:w="1985" w:type="dxa"/>
            <w:tcBorders>
              <w:top w:val="single" w:sz="4" w:space="0" w:color="auto"/>
              <w:left w:val="nil"/>
              <w:bottom w:val="single" w:sz="4" w:space="0" w:color="auto"/>
              <w:right w:val="nil"/>
            </w:tcBorders>
            <w:vAlign w:val="center"/>
          </w:tcPr>
          <w:p w14:paraId="596A2130"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develop a sock garment to detect stress in people with intellectual disabilities.</w:t>
            </w:r>
          </w:p>
        </w:tc>
        <w:tc>
          <w:tcPr>
            <w:tcW w:w="3541" w:type="dxa"/>
            <w:tcBorders>
              <w:top w:val="single" w:sz="4" w:space="0" w:color="auto"/>
              <w:left w:val="nil"/>
              <w:bottom w:val="single" w:sz="4" w:space="0" w:color="auto"/>
              <w:right w:val="nil"/>
            </w:tcBorders>
            <w:vAlign w:val="center"/>
          </w:tcPr>
          <w:p w14:paraId="578812B1"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Quantitative non-randomized experimental study. Sixty adults with severe intellectual disabilities in long-term care facilities tried on the garment. It was not clear whether they also participated in the experiment. The feasibility was evaluated by the researchers. </w:t>
            </w:r>
          </w:p>
        </w:tc>
        <w:tc>
          <w:tcPr>
            <w:tcW w:w="3261" w:type="dxa"/>
            <w:tcBorders>
              <w:top w:val="single" w:sz="4" w:space="0" w:color="auto"/>
              <w:left w:val="nil"/>
              <w:bottom w:val="single" w:sz="4" w:space="0" w:color="auto"/>
            </w:tcBorders>
            <w:vAlign w:val="center"/>
          </w:tcPr>
          <w:p w14:paraId="1A41EB7E"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Of the 60 clients, 48 accepted and wore the sock. The others did not wear it due to other garments necessary for their comfort, such as compression socks, or due to  repeated behavior resulting in removing the clothing. The researchers concluded that the sock was comfortable and user-friendly for most people with intellectual disabilities.</w:t>
            </w:r>
          </w:p>
        </w:tc>
      </w:tr>
      <w:tr w:rsidR="00F904EB" w:rsidRPr="00523AB6" w14:paraId="3F6C9207" w14:textId="77777777" w:rsidTr="007E42ED">
        <w:trPr>
          <w:trHeight w:val="499"/>
        </w:trPr>
        <w:tc>
          <w:tcPr>
            <w:tcW w:w="13890" w:type="dxa"/>
            <w:gridSpan w:val="9"/>
            <w:tcBorders>
              <w:top w:val="single" w:sz="4" w:space="0" w:color="auto"/>
              <w:bottom w:val="single" w:sz="4" w:space="0" w:color="auto"/>
            </w:tcBorders>
            <w:noWrap/>
            <w:vAlign w:val="center"/>
          </w:tcPr>
          <w:p w14:paraId="4341692C" w14:textId="77777777" w:rsidR="00F904EB" w:rsidRPr="00523AB6" w:rsidRDefault="00F904EB" w:rsidP="007E42ED">
            <w:pPr>
              <w:spacing w:after="0"/>
              <w:rPr>
                <w:rFonts w:ascii="Calibri" w:hAnsi="Calibri" w:cs="Calibri"/>
                <w:lang w:val="en-GB"/>
              </w:rPr>
            </w:pPr>
            <w:r w:rsidRPr="00523AB6">
              <w:rPr>
                <w:b/>
                <w:bCs/>
                <w:lang w:val="en-GB"/>
              </w:rPr>
              <w:t>Incontinence sensors</w:t>
            </w:r>
          </w:p>
        </w:tc>
      </w:tr>
      <w:tr w:rsidR="00F904EB" w:rsidRPr="00E251B4" w14:paraId="43A7C3AF" w14:textId="77777777" w:rsidTr="007E42ED">
        <w:trPr>
          <w:trHeight w:val="903"/>
        </w:trPr>
        <w:tc>
          <w:tcPr>
            <w:tcW w:w="993" w:type="dxa"/>
            <w:tcBorders>
              <w:top w:val="single" w:sz="4" w:space="0" w:color="auto"/>
              <w:bottom w:val="single" w:sz="4" w:space="0" w:color="auto"/>
            </w:tcBorders>
            <w:noWrap/>
            <w:vAlign w:val="center"/>
          </w:tcPr>
          <w:p w14:paraId="432AF69A"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lang w:val="en-GB"/>
              </w:rPr>
              <w:t>Boerakker</w:t>
            </w:r>
          </w:p>
        </w:tc>
        <w:tc>
          <w:tcPr>
            <w:tcW w:w="708" w:type="dxa"/>
            <w:tcBorders>
              <w:top w:val="single" w:sz="4" w:space="0" w:color="auto"/>
              <w:bottom w:val="single" w:sz="4" w:space="0" w:color="auto"/>
            </w:tcBorders>
            <w:noWrap/>
            <w:vAlign w:val="center"/>
          </w:tcPr>
          <w:p w14:paraId="6243468A"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bottom w:val="single" w:sz="4" w:space="0" w:color="auto"/>
            </w:tcBorders>
            <w:noWrap/>
            <w:vAlign w:val="center"/>
          </w:tcPr>
          <w:p w14:paraId="49F5F8B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bottom w:val="single" w:sz="4" w:space="0" w:color="auto"/>
            </w:tcBorders>
            <w:vAlign w:val="center"/>
          </w:tcPr>
          <w:p w14:paraId="7C547E57"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Abena Nova (Abena Group, Denmark), WeSense (Seneca Sense Technologies, Canada)</w:t>
            </w:r>
          </w:p>
        </w:tc>
        <w:tc>
          <w:tcPr>
            <w:tcW w:w="1134" w:type="dxa"/>
            <w:tcBorders>
              <w:top w:val="single" w:sz="4" w:space="0" w:color="auto"/>
              <w:bottom w:val="single" w:sz="4" w:space="0" w:color="auto"/>
            </w:tcBorders>
            <w:vAlign w:val="center"/>
          </w:tcPr>
          <w:p w14:paraId="507FD055"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bottom w:val="single" w:sz="4" w:space="0" w:color="auto"/>
            </w:tcBorders>
            <w:vAlign w:val="center"/>
          </w:tcPr>
          <w:p w14:paraId="5268291D"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investigate the use of intelligent incontinence material in nursing homes.</w:t>
            </w:r>
          </w:p>
        </w:tc>
        <w:tc>
          <w:tcPr>
            <w:tcW w:w="3541" w:type="dxa"/>
            <w:tcBorders>
              <w:top w:val="single" w:sz="4" w:space="0" w:color="auto"/>
              <w:bottom w:val="single" w:sz="4" w:space="0" w:color="auto"/>
            </w:tcBorders>
            <w:vAlign w:val="center"/>
          </w:tcPr>
          <w:p w14:paraId="00FE2E62"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Mixed-methods pilot study with 25 older adults in nursing homes with urinary incontinence. Abena Nova and WeSense were evaluated by the clients, family caregivers, and staff.</w:t>
            </w:r>
          </w:p>
        </w:tc>
        <w:tc>
          <w:tcPr>
            <w:tcW w:w="3261" w:type="dxa"/>
            <w:tcBorders>
              <w:top w:val="single" w:sz="4" w:space="0" w:color="auto"/>
              <w:bottom w:val="single" w:sz="4" w:space="0" w:color="auto"/>
            </w:tcBorders>
            <w:vAlign w:val="center"/>
          </w:tcPr>
          <w:p w14:paraId="324607D8"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The clients did not feel the presence of extra sensors in the incontinence material. Family caregivers valued less dirty laundry and less unnecessary care moments. The staff reported that the technology is time-saving and they could trust it. The downsides were that the bowel incontinence is not measured and that the sensors are sometimes difficult to attach.</w:t>
            </w:r>
          </w:p>
        </w:tc>
      </w:tr>
      <w:tr w:rsidR="00F904EB" w:rsidRPr="00E251B4" w14:paraId="5B38AE38" w14:textId="77777777" w:rsidTr="007E42ED">
        <w:trPr>
          <w:trHeight w:val="903"/>
        </w:trPr>
        <w:tc>
          <w:tcPr>
            <w:tcW w:w="993" w:type="dxa"/>
            <w:tcBorders>
              <w:top w:val="single" w:sz="4" w:space="0" w:color="auto"/>
              <w:bottom w:val="single" w:sz="4" w:space="0" w:color="auto"/>
            </w:tcBorders>
            <w:noWrap/>
            <w:vAlign w:val="center"/>
          </w:tcPr>
          <w:p w14:paraId="160AEA3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Nikoletti</w:t>
            </w:r>
          </w:p>
        </w:tc>
        <w:tc>
          <w:tcPr>
            <w:tcW w:w="708" w:type="dxa"/>
            <w:tcBorders>
              <w:top w:val="single" w:sz="4" w:space="0" w:color="auto"/>
              <w:bottom w:val="single" w:sz="4" w:space="0" w:color="auto"/>
            </w:tcBorders>
            <w:noWrap/>
            <w:vAlign w:val="center"/>
          </w:tcPr>
          <w:p w14:paraId="3BC8868A"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2004</w:t>
            </w:r>
          </w:p>
        </w:tc>
        <w:tc>
          <w:tcPr>
            <w:tcW w:w="993" w:type="dxa"/>
            <w:gridSpan w:val="2"/>
            <w:tcBorders>
              <w:top w:val="single" w:sz="4" w:space="0" w:color="auto"/>
              <w:bottom w:val="single" w:sz="4" w:space="0" w:color="auto"/>
            </w:tcBorders>
            <w:noWrap/>
            <w:vAlign w:val="center"/>
          </w:tcPr>
          <w:p w14:paraId="16DE4350"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Australia</w:t>
            </w:r>
          </w:p>
        </w:tc>
        <w:tc>
          <w:tcPr>
            <w:tcW w:w="1275" w:type="dxa"/>
            <w:tcBorders>
              <w:top w:val="single" w:sz="4" w:space="0" w:color="auto"/>
              <w:bottom w:val="single" w:sz="4" w:space="0" w:color="auto"/>
            </w:tcBorders>
            <w:vAlign w:val="center"/>
          </w:tcPr>
          <w:p w14:paraId="67C90C1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w:t>
            </w:r>
          </w:p>
        </w:tc>
        <w:tc>
          <w:tcPr>
            <w:tcW w:w="1134" w:type="dxa"/>
            <w:tcBorders>
              <w:top w:val="single" w:sz="4" w:space="0" w:color="auto"/>
              <w:bottom w:val="single" w:sz="4" w:space="0" w:color="auto"/>
            </w:tcBorders>
            <w:vAlign w:val="center"/>
          </w:tcPr>
          <w:p w14:paraId="26E262E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bottom w:val="single" w:sz="4" w:space="0" w:color="auto"/>
            </w:tcBorders>
            <w:vAlign w:val="center"/>
          </w:tcPr>
          <w:p w14:paraId="55F9958E"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evaluate an incontinence alarm in acute elderly care setting.</w:t>
            </w:r>
          </w:p>
        </w:tc>
        <w:tc>
          <w:tcPr>
            <w:tcW w:w="3541" w:type="dxa"/>
            <w:tcBorders>
              <w:top w:val="single" w:sz="4" w:space="0" w:color="auto"/>
              <w:bottom w:val="single" w:sz="4" w:space="0" w:color="auto"/>
            </w:tcBorders>
            <w:vAlign w:val="center"/>
          </w:tcPr>
          <w:p w14:paraId="62EB4DAA"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Mixed-method study with 41 older adults on acute care rehabilitation wards. Incontinence was monitored for 72 hours for each patient.</w:t>
            </w:r>
          </w:p>
        </w:tc>
        <w:tc>
          <w:tcPr>
            <w:tcW w:w="3261" w:type="dxa"/>
            <w:tcBorders>
              <w:top w:val="single" w:sz="4" w:space="0" w:color="auto"/>
              <w:bottom w:val="single" w:sz="4" w:space="0" w:color="auto"/>
            </w:tcBorders>
            <w:vAlign w:val="center"/>
          </w:tcPr>
          <w:p w14:paraId="780F4DDE"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Numerous problems were reported: false alarms, false negatives, shorter transmission range than claimed by the </w:t>
            </w:r>
            <w:r w:rsidRPr="00523AB6">
              <w:rPr>
                <w:rFonts w:ascii="Calibri" w:hAnsi="Calibri" w:cs="Calibri"/>
                <w:lang w:val="en-GB"/>
              </w:rPr>
              <w:lastRenderedPageBreak/>
              <w:t>manufacturer, the need to recharge frequently, and sensors being discarded with pads.</w:t>
            </w:r>
          </w:p>
          <w:p w14:paraId="7E2B390D"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Resolving these issues was time-consuming and frustrating for staff and patients. There was resistance of experienced staff to learn the technology and to change personal routines.</w:t>
            </w:r>
          </w:p>
        </w:tc>
      </w:tr>
      <w:tr w:rsidR="00F904EB" w:rsidRPr="00E251B4" w14:paraId="26E80922" w14:textId="77777777" w:rsidTr="007E42ED">
        <w:trPr>
          <w:trHeight w:val="903"/>
        </w:trPr>
        <w:tc>
          <w:tcPr>
            <w:tcW w:w="993" w:type="dxa"/>
            <w:tcBorders>
              <w:top w:val="single" w:sz="4" w:space="0" w:color="auto"/>
              <w:bottom w:val="single" w:sz="4" w:space="0" w:color="auto"/>
            </w:tcBorders>
            <w:noWrap/>
            <w:vAlign w:val="center"/>
          </w:tcPr>
          <w:p w14:paraId="288075FC"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Toba</w:t>
            </w:r>
          </w:p>
        </w:tc>
        <w:tc>
          <w:tcPr>
            <w:tcW w:w="708" w:type="dxa"/>
            <w:tcBorders>
              <w:top w:val="single" w:sz="4" w:space="0" w:color="auto"/>
              <w:bottom w:val="single" w:sz="4" w:space="0" w:color="auto"/>
            </w:tcBorders>
            <w:noWrap/>
            <w:vAlign w:val="center"/>
          </w:tcPr>
          <w:p w14:paraId="633AFDA4"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1996</w:t>
            </w:r>
          </w:p>
        </w:tc>
        <w:tc>
          <w:tcPr>
            <w:tcW w:w="993" w:type="dxa"/>
            <w:gridSpan w:val="2"/>
            <w:tcBorders>
              <w:top w:val="single" w:sz="4" w:space="0" w:color="auto"/>
              <w:bottom w:val="single" w:sz="4" w:space="0" w:color="auto"/>
            </w:tcBorders>
            <w:noWrap/>
            <w:vAlign w:val="center"/>
          </w:tcPr>
          <w:p w14:paraId="69216626"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Japan</w:t>
            </w:r>
          </w:p>
        </w:tc>
        <w:tc>
          <w:tcPr>
            <w:tcW w:w="1275" w:type="dxa"/>
            <w:tcBorders>
              <w:top w:val="single" w:sz="4" w:space="0" w:color="auto"/>
              <w:bottom w:val="single" w:sz="4" w:space="0" w:color="auto"/>
            </w:tcBorders>
            <w:vAlign w:val="center"/>
          </w:tcPr>
          <w:p w14:paraId="4158BD6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Not reported</w:t>
            </w:r>
          </w:p>
        </w:tc>
        <w:tc>
          <w:tcPr>
            <w:tcW w:w="1134" w:type="dxa"/>
            <w:tcBorders>
              <w:top w:val="single" w:sz="4" w:space="0" w:color="auto"/>
              <w:bottom w:val="single" w:sz="4" w:space="0" w:color="auto"/>
            </w:tcBorders>
            <w:vAlign w:val="center"/>
          </w:tcPr>
          <w:p w14:paraId="046642E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bottom w:val="single" w:sz="4" w:space="0" w:color="auto"/>
            </w:tcBorders>
            <w:vAlign w:val="center"/>
          </w:tcPr>
          <w:p w14:paraId="62224E45"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evaluate the effects of wearing a thin-film urinary drainage sensor in the incontinence material on urinary quality of life and nursing work hours.</w:t>
            </w:r>
          </w:p>
        </w:tc>
        <w:tc>
          <w:tcPr>
            <w:tcW w:w="3541" w:type="dxa"/>
            <w:tcBorders>
              <w:top w:val="single" w:sz="4" w:space="0" w:color="auto"/>
              <w:bottom w:val="single" w:sz="4" w:space="0" w:color="auto"/>
            </w:tcBorders>
            <w:vAlign w:val="center"/>
          </w:tcPr>
          <w:p w14:paraId="5921948B"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Mixed method</w:t>
            </w:r>
            <w:r w:rsidRPr="00523AB6">
              <w:rPr>
                <w:rFonts w:ascii="Calibri" w:hAnsi="Calibri" w:cs="Calibri"/>
              </w:rPr>
              <w:t xml:space="preserve"> cross-sectional study with 4 older adults with urinary incontinence in nursing homes. Participants were asked about the comfort of the sensors once a day for four days. Nursing staff filled in a survey about the burden. </w:t>
            </w:r>
          </w:p>
        </w:tc>
        <w:tc>
          <w:tcPr>
            <w:tcW w:w="3261" w:type="dxa"/>
            <w:tcBorders>
              <w:top w:val="single" w:sz="4" w:space="0" w:color="auto"/>
              <w:bottom w:val="single" w:sz="4" w:space="0" w:color="auto"/>
            </w:tcBorders>
            <w:vAlign w:val="center"/>
          </w:tcPr>
          <w:p w14:paraId="784C6C6A"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Among the 16 responses from the older adults, 14 (87.5%) were "not at all uncomfortable," 2 (12.5%) were "it does not bother me". 3 out of 4 nursing staff commented that the interruption of other working activities led to reduced efficiency. They didn’t perceive the changing and cleaning of the incontinence materials as burdensome.</w:t>
            </w:r>
          </w:p>
        </w:tc>
      </w:tr>
      <w:tr w:rsidR="00F904EB" w:rsidRPr="00523AB6" w14:paraId="5ECD5FE8" w14:textId="77777777" w:rsidTr="007E42ED">
        <w:trPr>
          <w:trHeight w:val="903"/>
        </w:trPr>
        <w:tc>
          <w:tcPr>
            <w:tcW w:w="993" w:type="dxa"/>
            <w:tcBorders>
              <w:top w:val="single" w:sz="4" w:space="0" w:color="auto"/>
              <w:bottom w:val="single" w:sz="4" w:space="0" w:color="auto"/>
            </w:tcBorders>
            <w:noWrap/>
            <w:vAlign w:val="center"/>
          </w:tcPr>
          <w:p w14:paraId="2EB3231C"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Van der Hurk</w:t>
            </w:r>
          </w:p>
        </w:tc>
        <w:tc>
          <w:tcPr>
            <w:tcW w:w="708" w:type="dxa"/>
            <w:tcBorders>
              <w:top w:val="single" w:sz="4" w:space="0" w:color="auto"/>
              <w:bottom w:val="single" w:sz="4" w:space="0" w:color="auto"/>
            </w:tcBorders>
            <w:noWrap/>
            <w:vAlign w:val="center"/>
          </w:tcPr>
          <w:p w14:paraId="2956C72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1998</w:t>
            </w:r>
          </w:p>
        </w:tc>
        <w:tc>
          <w:tcPr>
            <w:tcW w:w="993" w:type="dxa"/>
            <w:gridSpan w:val="2"/>
            <w:tcBorders>
              <w:top w:val="single" w:sz="4" w:space="0" w:color="auto"/>
              <w:bottom w:val="single" w:sz="4" w:space="0" w:color="auto"/>
            </w:tcBorders>
            <w:noWrap/>
            <w:vAlign w:val="center"/>
          </w:tcPr>
          <w:p w14:paraId="012234A7"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Netherlands</w:t>
            </w:r>
          </w:p>
        </w:tc>
        <w:tc>
          <w:tcPr>
            <w:tcW w:w="1275" w:type="dxa"/>
            <w:tcBorders>
              <w:top w:val="single" w:sz="4" w:space="0" w:color="auto"/>
              <w:bottom w:val="single" w:sz="4" w:space="0" w:color="auto"/>
            </w:tcBorders>
            <w:vAlign w:val="center"/>
          </w:tcPr>
          <w:p w14:paraId="184AA138"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bottom w:val="single" w:sz="4" w:space="0" w:color="auto"/>
            </w:tcBorders>
            <w:vAlign w:val="center"/>
          </w:tcPr>
          <w:p w14:paraId="02179DD1"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Incontinence</w:t>
            </w:r>
          </w:p>
        </w:tc>
        <w:tc>
          <w:tcPr>
            <w:tcW w:w="1985" w:type="dxa"/>
            <w:tcBorders>
              <w:top w:val="single" w:sz="4" w:space="0" w:color="auto"/>
              <w:bottom w:val="single" w:sz="4" w:space="0" w:color="auto"/>
            </w:tcBorders>
            <w:vAlign w:val="center"/>
          </w:tcPr>
          <w:p w14:paraId="5F0E09F1"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evaluate the applicability and validity of the Urine Leakage Recording Device.</w:t>
            </w:r>
          </w:p>
        </w:tc>
        <w:tc>
          <w:tcPr>
            <w:tcW w:w="3541" w:type="dxa"/>
            <w:tcBorders>
              <w:top w:val="single" w:sz="4" w:space="0" w:color="auto"/>
              <w:bottom w:val="single" w:sz="4" w:space="0" w:color="auto"/>
            </w:tcBorders>
            <w:vAlign w:val="center"/>
          </w:tcPr>
          <w:p w14:paraId="38A04ECA"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non-randomized experimental study with 5 older adults. Participants were instructed to turn and void during the experiment. The experimenter evaluated the operation of the device. The setting was likely a laboratory, but not reported in the manuscript.</w:t>
            </w:r>
          </w:p>
        </w:tc>
        <w:tc>
          <w:tcPr>
            <w:tcW w:w="3261" w:type="dxa"/>
            <w:tcBorders>
              <w:top w:val="single" w:sz="4" w:space="0" w:color="auto"/>
              <w:bottom w:val="single" w:sz="4" w:space="0" w:color="auto"/>
            </w:tcBorders>
            <w:vAlign w:val="center"/>
          </w:tcPr>
          <w:p w14:paraId="78FB6136"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No restriction nor inconvenience was reported by the participants. The device was easy to operate.</w:t>
            </w:r>
          </w:p>
        </w:tc>
      </w:tr>
      <w:tr w:rsidR="00F904EB" w:rsidRPr="00E251B4" w14:paraId="00114773" w14:textId="77777777" w:rsidTr="007E42ED">
        <w:trPr>
          <w:trHeight w:val="499"/>
        </w:trPr>
        <w:tc>
          <w:tcPr>
            <w:tcW w:w="13890" w:type="dxa"/>
            <w:gridSpan w:val="9"/>
            <w:tcBorders>
              <w:top w:val="single" w:sz="4" w:space="0" w:color="auto"/>
              <w:bottom w:val="single" w:sz="4" w:space="0" w:color="auto"/>
            </w:tcBorders>
            <w:noWrap/>
            <w:vAlign w:val="center"/>
          </w:tcPr>
          <w:p w14:paraId="07E53AE6" w14:textId="77777777" w:rsidR="00F904EB" w:rsidRPr="00523AB6" w:rsidRDefault="00F904EB" w:rsidP="007E42ED">
            <w:pPr>
              <w:spacing w:after="0"/>
              <w:rPr>
                <w:rFonts w:ascii="Calibri" w:hAnsi="Calibri" w:cs="Calibri"/>
              </w:rPr>
            </w:pPr>
            <w:r w:rsidRPr="00523AB6">
              <w:rPr>
                <w:b/>
                <w:bCs/>
                <w:lang w:val="en-GB"/>
              </w:rPr>
              <w:t>Multi-modal monitoring systems – p</w:t>
            </w:r>
            <w:r w:rsidRPr="00523AB6">
              <w:rPr>
                <w:b/>
                <w:bCs/>
              </w:rPr>
              <w:t>olysomnography (PSG)</w:t>
            </w:r>
          </w:p>
        </w:tc>
      </w:tr>
      <w:tr w:rsidR="00F904EB" w:rsidRPr="00523AB6" w14:paraId="193963B9" w14:textId="77777777" w:rsidTr="007E42ED">
        <w:trPr>
          <w:trHeight w:val="903"/>
        </w:trPr>
        <w:tc>
          <w:tcPr>
            <w:tcW w:w="993" w:type="dxa"/>
            <w:tcBorders>
              <w:top w:val="single" w:sz="4" w:space="0" w:color="auto"/>
              <w:bottom w:val="single" w:sz="4" w:space="0" w:color="auto"/>
            </w:tcBorders>
            <w:noWrap/>
            <w:vAlign w:val="center"/>
          </w:tcPr>
          <w:p w14:paraId="31EEBB9A"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lastRenderedPageBreak/>
              <w:t>Abdenbi</w:t>
            </w:r>
          </w:p>
        </w:tc>
        <w:tc>
          <w:tcPr>
            <w:tcW w:w="708" w:type="dxa"/>
            <w:tcBorders>
              <w:top w:val="single" w:sz="4" w:space="0" w:color="auto"/>
              <w:bottom w:val="single" w:sz="4" w:space="0" w:color="auto"/>
            </w:tcBorders>
            <w:noWrap/>
            <w:vAlign w:val="center"/>
          </w:tcPr>
          <w:p w14:paraId="2E9FDEF6"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2002</w:t>
            </w:r>
          </w:p>
        </w:tc>
        <w:tc>
          <w:tcPr>
            <w:tcW w:w="993" w:type="dxa"/>
            <w:gridSpan w:val="2"/>
            <w:tcBorders>
              <w:top w:val="single" w:sz="4" w:space="0" w:color="auto"/>
              <w:bottom w:val="single" w:sz="4" w:space="0" w:color="auto"/>
            </w:tcBorders>
            <w:noWrap/>
            <w:vAlign w:val="center"/>
          </w:tcPr>
          <w:p w14:paraId="46394694"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France</w:t>
            </w:r>
          </w:p>
        </w:tc>
        <w:tc>
          <w:tcPr>
            <w:tcW w:w="1275" w:type="dxa"/>
            <w:tcBorders>
              <w:top w:val="single" w:sz="4" w:space="0" w:color="auto"/>
              <w:bottom w:val="single" w:sz="4" w:space="0" w:color="auto"/>
            </w:tcBorders>
            <w:vAlign w:val="center"/>
          </w:tcPr>
          <w:p w14:paraId="1E5572FC"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CID 102 and CID 108 (CIDELEC, Sainte-Gemmes-sur-Loire, France)</w:t>
            </w:r>
          </w:p>
        </w:tc>
        <w:tc>
          <w:tcPr>
            <w:tcW w:w="1134" w:type="dxa"/>
            <w:tcBorders>
              <w:top w:val="single" w:sz="4" w:space="0" w:color="auto"/>
              <w:bottom w:val="single" w:sz="4" w:space="0" w:color="auto"/>
            </w:tcBorders>
            <w:vAlign w:val="center"/>
          </w:tcPr>
          <w:p w14:paraId="4F28F182"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Sleep</w:t>
            </w:r>
          </w:p>
        </w:tc>
        <w:tc>
          <w:tcPr>
            <w:tcW w:w="1985" w:type="dxa"/>
            <w:tcBorders>
              <w:top w:val="single" w:sz="4" w:space="0" w:color="auto"/>
              <w:bottom w:val="single" w:sz="4" w:space="0" w:color="auto"/>
            </w:tcBorders>
            <w:vAlign w:val="center"/>
          </w:tcPr>
          <w:p w14:paraId="70C5D866" w14:textId="77777777" w:rsidR="00F904EB" w:rsidRPr="00523AB6" w:rsidRDefault="00F904EB" w:rsidP="007E42ED">
            <w:pPr>
              <w:spacing w:after="0"/>
              <w:rPr>
                <w:rFonts w:ascii="Calibri" w:hAnsi="Calibri" w:cs="Calibri"/>
              </w:rPr>
            </w:pPr>
            <w:r w:rsidRPr="00523AB6">
              <w:rPr>
                <w:rFonts w:ascii="Calibri" w:hAnsi="Calibri" w:cs="Calibri"/>
              </w:rPr>
              <w:t>To evaluate an ambulatory sleep monitoring set-up.</w:t>
            </w:r>
          </w:p>
        </w:tc>
        <w:tc>
          <w:tcPr>
            <w:tcW w:w="3541" w:type="dxa"/>
            <w:tcBorders>
              <w:top w:val="single" w:sz="4" w:space="0" w:color="auto"/>
              <w:bottom w:val="single" w:sz="4" w:space="0" w:color="auto"/>
            </w:tcBorders>
            <w:vAlign w:val="center"/>
          </w:tcPr>
          <w:p w14:paraId="710BA887" w14:textId="77777777" w:rsidR="00F904EB" w:rsidRPr="00523AB6" w:rsidRDefault="00F904EB" w:rsidP="007E42ED">
            <w:pPr>
              <w:spacing w:after="0"/>
              <w:rPr>
                <w:rFonts w:ascii="Calibri" w:hAnsi="Calibri" w:cs="Calibri"/>
              </w:rPr>
            </w:pPr>
            <w:r w:rsidRPr="00523AB6">
              <w:rPr>
                <w:rFonts w:ascii="Calibri" w:hAnsi="Calibri" w:cs="Calibri"/>
              </w:rPr>
              <w:t>Quantitative cross-sectional study with 25 adults with possible sleep apnea. 15 had both 102 (respiratory recordings) and 108 (full polysomnographic recordings) at home for one night.</w:t>
            </w:r>
            <w:r w:rsidRPr="00523AB6">
              <w:t xml:space="preserve"> </w:t>
            </w:r>
            <w:r w:rsidRPr="00523AB6">
              <w:rPr>
                <w:rFonts w:ascii="Calibri" w:hAnsi="Calibri" w:cs="Calibri"/>
              </w:rPr>
              <w:t>10 had CID 102 set up at the hospital and recorded at home.</w:t>
            </w:r>
          </w:p>
        </w:tc>
        <w:tc>
          <w:tcPr>
            <w:tcW w:w="3261" w:type="dxa"/>
            <w:tcBorders>
              <w:top w:val="single" w:sz="4" w:space="0" w:color="auto"/>
              <w:bottom w:val="single" w:sz="4" w:space="0" w:color="auto"/>
            </w:tcBorders>
            <w:vAlign w:val="center"/>
          </w:tcPr>
          <w:p w14:paraId="674D3D66" w14:textId="77777777" w:rsidR="00F904EB" w:rsidRPr="00523AB6" w:rsidRDefault="00F904EB" w:rsidP="007E42ED">
            <w:pPr>
              <w:spacing w:after="0"/>
              <w:rPr>
                <w:rFonts w:ascii="Calibri" w:hAnsi="Calibri" w:cs="Calibri"/>
              </w:rPr>
            </w:pPr>
            <w:r w:rsidRPr="00523AB6">
              <w:rPr>
                <w:rFonts w:ascii="Calibri" w:hAnsi="Calibri" w:cs="Calibri"/>
              </w:rPr>
              <w:t>Technical failures occurred in 2/15 with CID 108. No failure with CID 102.</w:t>
            </w:r>
          </w:p>
        </w:tc>
      </w:tr>
      <w:tr w:rsidR="00F904EB" w:rsidRPr="00E251B4" w14:paraId="416B11EA" w14:textId="77777777" w:rsidTr="007E42ED">
        <w:trPr>
          <w:trHeight w:val="903"/>
        </w:trPr>
        <w:tc>
          <w:tcPr>
            <w:tcW w:w="993" w:type="dxa"/>
            <w:tcBorders>
              <w:top w:val="single" w:sz="4" w:space="0" w:color="auto"/>
              <w:bottom w:val="single" w:sz="4" w:space="0" w:color="auto"/>
            </w:tcBorders>
            <w:noWrap/>
            <w:vAlign w:val="center"/>
          </w:tcPr>
          <w:p w14:paraId="49B378BD"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Koskinen</w:t>
            </w:r>
          </w:p>
        </w:tc>
        <w:tc>
          <w:tcPr>
            <w:tcW w:w="708" w:type="dxa"/>
            <w:tcBorders>
              <w:top w:val="single" w:sz="4" w:space="0" w:color="auto"/>
              <w:bottom w:val="single" w:sz="4" w:space="0" w:color="auto"/>
            </w:tcBorders>
            <w:noWrap/>
            <w:vAlign w:val="center"/>
          </w:tcPr>
          <w:p w14:paraId="052BBDE9"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2021</w:t>
            </w:r>
          </w:p>
        </w:tc>
        <w:tc>
          <w:tcPr>
            <w:tcW w:w="993" w:type="dxa"/>
            <w:gridSpan w:val="2"/>
            <w:tcBorders>
              <w:top w:val="single" w:sz="4" w:space="0" w:color="auto"/>
              <w:bottom w:val="single" w:sz="4" w:space="0" w:color="auto"/>
            </w:tcBorders>
            <w:noWrap/>
            <w:vAlign w:val="center"/>
          </w:tcPr>
          <w:p w14:paraId="7A213F8D"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Finland</w:t>
            </w:r>
          </w:p>
        </w:tc>
        <w:tc>
          <w:tcPr>
            <w:tcW w:w="1275" w:type="dxa"/>
            <w:tcBorders>
              <w:top w:val="single" w:sz="4" w:space="0" w:color="auto"/>
              <w:bottom w:val="single" w:sz="4" w:space="0" w:color="auto"/>
            </w:tcBorders>
            <w:vAlign w:val="center"/>
          </w:tcPr>
          <w:p w14:paraId="688FEEFE"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Collare (Nukute Ltd, Finland)</w:t>
            </w:r>
          </w:p>
        </w:tc>
        <w:tc>
          <w:tcPr>
            <w:tcW w:w="1134" w:type="dxa"/>
            <w:tcBorders>
              <w:top w:val="single" w:sz="4" w:space="0" w:color="auto"/>
              <w:bottom w:val="single" w:sz="4" w:space="0" w:color="auto"/>
            </w:tcBorders>
            <w:vAlign w:val="center"/>
          </w:tcPr>
          <w:p w14:paraId="74D08054"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Sleep - apnea</w:t>
            </w:r>
          </w:p>
        </w:tc>
        <w:tc>
          <w:tcPr>
            <w:tcW w:w="1985" w:type="dxa"/>
            <w:tcBorders>
              <w:top w:val="single" w:sz="4" w:space="0" w:color="auto"/>
              <w:bottom w:val="single" w:sz="4" w:space="0" w:color="auto"/>
            </w:tcBorders>
            <w:vAlign w:val="center"/>
          </w:tcPr>
          <w:p w14:paraId="7DD81298" w14:textId="77777777" w:rsidR="00F904EB" w:rsidRPr="00523AB6" w:rsidRDefault="00F904EB" w:rsidP="007E42ED">
            <w:pPr>
              <w:spacing w:after="0"/>
              <w:rPr>
                <w:rFonts w:ascii="Calibri" w:hAnsi="Calibri" w:cs="Calibri"/>
              </w:rPr>
            </w:pPr>
            <w:r w:rsidRPr="00523AB6">
              <w:rPr>
                <w:rFonts w:ascii="Calibri" w:hAnsi="Calibri" w:cs="Calibri"/>
              </w:rPr>
              <w:t>To validate the Nukute Collare in diagnosing sleep apnea.</w:t>
            </w:r>
          </w:p>
        </w:tc>
        <w:tc>
          <w:tcPr>
            <w:tcW w:w="3541" w:type="dxa"/>
            <w:tcBorders>
              <w:top w:val="single" w:sz="4" w:space="0" w:color="auto"/>
              <w:bottom w:val="single" w:sz="4" w:space="0" w:color="auto"/>
            </w:tcBorders>
            <w:vAlign w:val="center"/>
          </w:tcPr>
          <w:p w14:paraId="654E49A0" w14:textId="77777777" w:rsidR="00F904EB" w:rsidRPr="00523AB6" w:rsidRDefault="00F904EB" w:rsidP="007E42ED">
            <w:pPr>
              <w:spacing w:after="0"/>
              <w:rPr>
                <w:rFonts w:ascii="Calibri" w:hAnsi="Calibri" w:cs="Calibri"/>
              </w:rPr>
            </w:pPr>
            <w:r w:rsidRPr="00523AB6">
              <w:rPr>
                <w:rFonts w:ascii="Calibri" w:hAnsi="Calibri" w:cs="Calibri"/>
              </w:rPr>
              <w:t>Mixed-methods cross-sectional study with 71 adults with or without sleep apnea. Collare measurement was compared with standard PSG. Participants filled in a questionnaire to evaluate the device.*</w:t>
            </w:r>
          </w:p>
        </w:tc>
        <w:tc>
          <w:tcPr>
            <w:tcW w:w="3261" w:type="dxa"/>
            <w:tcBorders>
              <w:top w:val="single" w:sz="4" w:space="0" w:color="auto"/>
              <w:bottom w:val="single" w:sz="4" w:space="0" w:color="auto"/>
            </w:tcBorders>
            <w:vAlign w:val="center"/>
          </w:tcPr>
          <w:p w14:paraId="076B7B6F" w14:textId="77777777" w:rsidR="00F904EB" w:rsidRPr="00523AB6" w:rsidRDefault="00F904EB" w:rsidP="007E42ED">
            <w:pPr>
              <w:spacing w:after="0"/>
              <w:rPr>
                <w:rFonts w:ascii="Calibri" w:hAnsi="Calibri" w:cs="Calibri"/>
              </w:rPr>
            </w:pPr>
            <w:r w:rsidRPr="00523AB6">
              <w:rPr>
                <w:rFonts w:ascii="Calibri" w:hAnsi="Calibri" w:cs="Calibri"/>
              </w:rPr>
              <w:t xml:space="preserve">45 out of 71 measurements were completed valid. Most participants (93%) considered Collare easy to use, 85% reported that it did not disturb their sleep, 90% did not feel pain or tenderness in the neck after the measurement, 75% considered Nukute Collare more comfortable than the standard PSG, 85% said that they would use it again.  </w:t>
            </w:r>
          </w:p>
        </w:tc>
      </w:tr>
      <w:tr w:rsidR="00F904EB" w:rsidRPr="00E251B4" w14:paraId="21093770" w14:textId="77777777" w:rsidTr="007E42ED">
        <w:trPr>
          <w:trHeight w:val="903"/>
        </w:trPr>
        <w:tc>
          <w:tcPr>
            <w:tcW w:w="993" w:type="dxa"/>
            <w:tcBorders>
              <w:top w:val="single" w:sz="4" w:space="0" w:color="auto"/>
              <w:bottom w:val="single" w:sz="4" w:space="0" w:color="auto"/>
            </w:tcBorders>
            <w:noWrap/>
            <w:vAlign w:val="center"/>
          </w:tcPr>
          <w:p w14:paraId="439B0783"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Morales</w:t>
            </w:r>
          </w:p>
        </w:tc>
        <w:tc>
          <w:tcPr>
            <w:tcW w:w="708" w:type="dxa"/>
            <w:tcBorders>
              <w:top w:val="single" w:sz="4" w:space="0" w:color="auto"/>
              <w:bottom w:val="single" w:sz="4" w:space="0" w:color="auto"/>
            </w:tcBorders>
            <w:noWrap/>
            <w:vAlign w:val="center"/>
          </w:tcPr>
          <w:p w14:paraId="2D7C0DB3"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2012</w:t>
            </w:r>
          </w:p>
        </w:tc>
        <w:tc>
          <w:tcPr>
            <w:tcW w:w="993" w:type="dxa"/>
            <w:gridSpan w:val="2"/>
            <w:tcBorders>
              <w:top w:val="single" w:sz="4" w:space="0" w:color="auto"/>
              <w:bottom w:val="single" w:sz="4" w:space="0" w:color="auto"/>
            </w:tcBorders>
            <w:noWrap/>
            <w:vAlign w:val="center"/>
          </w:tcPr>
          <w:p w14:paraId="0B264F17"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USA</w:t>
            </w:r>
          </w:p>
        </w:tc>
        <w:tc>
          <w:tcPr>
            <w:tcW w:w="1275" w:type="dxa"/>
            <w:tcBorders>
              <w:top w:val="single" w:sz="4" w:space="0" w:color="auto"/>
              <w:bottom w:val="single" w:sz="4" w:space="0" w:color="auto"/>
            </w:tcBorders>
            <w:vAlign w:val="center"/>
          </w:tcPr>
          <w:p w14:paraId="57B4EEA2"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ResCare AutoSet™ (ResMed, Sydney, Australia)</w:t>
            </w:r>
          </w:p>
        </w:tc>
        <w:tc>
          <w:tcPr>
            <w:tcW w:w="1134" w:type="dxa"/>
            <w:tcBorders>
              <w:top w:val="single" w:sz="4" w:space="0" w:color="auto"/>
              <w:bottom w:val="single" w:sz="4" w:space="0" w:color="auto"/>
            </w:tcBorders>
            <w:vAlign w:val="center"/>
          </w:tcPr>
          <w:p w14:paraId="5333AF6B"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Sleep - apnea</w:t>
            </w:r>
          </w:p>
        </w:tc>
        <w:tc>
          <w:tcPr>
            <w:tcW w:w="1985" w:type="dxa"/>
            <w:tcBorders>
              <w:top w:val="single" w:sz="4" w:space="0" w:color="auto"/>
              <w:bottom w:val="single" w:sz="4" w:space="0" w:color="auto"/>
            </w:tcBorders>
            <w:vAlign w:val="center"/>
          </w:tcPr>
          <w:p w14:paraId="00DD6B4D" w14:textId="77777777" w:rsidR="00F904EB" w:rsidRPr="00523AB6" w:rsidRDefault="00F904EB" w:rsidP="007E42ED">
            <w:pPr>
              <w:spacing w:after="0"/>
              <w:rPr>
                <w:rFonts w:ascii="Calibri" w:hAnsi="Calibri" w:cs="Calibri"/>
              </w:rPr>
            </w:pPr>
            <w:r w:rsidRPr="00523AB6">
              <w:rPr>
                <w:rFonts w:ascii="Calibri" w:hAnsi="Calibri" w:cs="Calibri"/>
              </w:rPr>
              <w:t>To assess the feasibility of a two-stage screening procedure for obstructive sleep apnea syndrome (OSAS).</w:t>
            </w:r>
          </w:p>
        </w:tc>
        <w:tc>
          <w:tcPr>
            <w:tcW w:w="3541" w:type="dxa"/>
            <w:tcBorders>
              <w:top w:val="single" w:sz="4" w:space="0" w:color="auto"/>
              <w:bottom w:val="single" w:sz="4" w:space="0" w:color="auto"/>
            </w:tcBorders>
            <w:vAlign w:val="center"/>
          </w:tcPr>
          <w:p w14:paraId="496A0AC4" w14:textId="77777777" w:rsidR="00F904EB" w:rsidRPr="00523AB6" w:rsidRDefault="00F904EB" w:rsidP="007E42ED">
            <w:pPr>
              <w:spacing w:after="0"/>
              <w:rPr>
                <w:rFonts w:ascii="Calibri" w:hAnsi="Calibri" w:cs="Calibri"/>
              </w:rPr>
            </w:pPr>
            <w:r w:rsidRPr="00523AB6">
              <w:rPr>
                <w:rFonts w:ascii="Calibri" w:hAnsi="Calibri" w:cs="Calibri"/>
              </w:rPr>
              <w:t>Quantitative cross-sectional study with 452 older adults in the community. Participants conducted an overnight home recording of nasal pressure on their own, kept a diary and received a separate, standard PSG.</w:t>
            </w:r>
          </w:p>
        </w:tc>
        <w:tc>
          <w:tcPr>
            <w:tcW w:w="3261" w:type="dxa"/>
            <w:tcBorders>
              <w:top w:val="single" w:sz="4" w:space="0" w:color="auto"/>
              <w:bottom w:val="single" w:sz="4" w:space="0" w:color="auto"/>
            </w:tcBorders>
            <w:vAlign w:val="center"/>
          </w:tcPr>
          <w:p w14:paraId="042BD7FA" w14:textId="77777777" w:rsidR="00F904EB" w:rsidRPr="00523AB6" w:rsidRDefault="00F904EB" w:rsidP="007E42ED">
            <w:pPr>
              <w:spacing w:after="0"/>
              <w:rPr>
                <w:rFonts w:ascii="Calibri" w:hAnsi="Calibri" w:cs="Calibri"/>
              </w:rPr>
            </w:pPr>
            <w:r w:rsidRPr="00523AB6">
              <w:rPr>
                <w:rFonts w:ascii="Calibri" w:hAnsi="Calibri" w:cs="Calibri"/>
              </w:rPr>
              <w:t>Complete data on 442 of 452 (98%) home recordings</w:t>
            </w:r>
          </w:p>
        </w:tc>
      </w:tr>
      <w:tr w:rsidR="00F904EB" w:rsidRPr="00E251B4" w14:paraId="4983D71D" w14:textId="77777777" w:rsidTr="007E42ED">
        <w:trPr>
          <w:trHeight w:val="903"/>
        </w:trPr>
        <w:tc>
          <w:tcPr>
            <w:tcW w:w="993" w:type="dxa"/>
            <w:tcBorders>
              <w:top w:val="single" w:sz="4" w:space="0" w:color="auto"/>
              <w:bottom w:val="single" w:sz="4" w:space="0" w:color="auto"/>
            </w:tcBorders>
            <w:noWrap/>
            <w:vAlign w:val="center"/>
          </w:tcPr>
          <w:p w14:paraId="79A07E34"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Silvia</w:t>
            </w:r>
          </w:p>
        </w:tc>
        <w:tc>
          <w:tcPr>
            <w:tcW w:w="708" w:type="dxa"/>
            <w:tcBorders>
              <w:top w:val="single" w:sz="4" w:space="0" w:color="auto"/>
              <w:bottom w:val="single" w:sz="4" w:space="0" w:color="auto"/>
            </w:tcBorders>
            <w:noWrap/>
            <w:vAlign w:val="center"/>
          </w:tcPr>
          <w:p w14:paraId="1D168BC7"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2014</w:t>
            </w:r>
          </w:p>
        </w:tc>
        <w:tc>
          <w:tcPr>
            <w:tcW w:w="993" w:type="dxa"/>
            <w:gridSpan w:val="2"/>
            <w:tcBorders>
              <w:top w:val="single" w:sz="4" w:space="0" w:color="auto"/>
              <w:bottom w:val="single" w:sz="4" w:space="0" w:color="auto"/>
            </w:tcBorders>
            <w:noWrap/>
            <w:vAlign w:val="center"/>
          </w:tcPr>
          <w:p w14:paraId="04FD0094"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USA</w:t>
            </w:r>
          </w:p>
        </w:tc>
        <w:tc>
          <w:tcPr>
            <w:tcW w:w="1275" w:type="dxa"/>
            <w:tcBorders>
              <w:top w:val="single" w:sz="4" w:space="0" w:color="auto"/>
              <w:bottom w:val="single" w:sz="4" w:space="0" w:color="auto"/>
            </w:tcBorders>
            <w:vAlign w:val="center"/>
          </w:tcPr>
          <w:p w14:paraId="790BD27A"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M1 (SleepImage, Denver, CO, USA)</w:t>
            </w:r>
          </w:p>
        </w:tc>
        <w:tc>
          <w:tcPr>
            <w:tcW w:w="1134" w:type="dxa"/>
            <w:tcBorders>
              <w:top w:val="single" w:sz="4" w:space="0" w:color="auto"/>
              <w:bottom w:val="single" w:sz="4" w:space="0" w:color="auto"/>
            </w:tcBorders>
            <w:vAlign w:val="center"/>
          </w:tcPr>
          <w:p w14:paraId="559692AC"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Sleep - insomnia</w:t>
            </w:r>
          </w:p>
        </w:tc>
        <w:tc>
          <w:tcPr>
            <w:tcW w:w="1985" w:type="dxa"/>
            <w:tcBorders>
              <w:top w:val="single" w:sz="4" w:space="0" w:color="auto"/>
              <w:bottom w:val="single" w:sz="4" w:space="0" w:color="auto"/>
            </w:tcBorders>
            <w:vAlign w:val="center"/>
          </w:tcPr>
          <w:p w14:paraId="0C85B02C" w14:textId="77777777" w:rsidR="00F904EB" w:rsidRPr="00523AB6" w:rsidRDefault="00F904EB" w:rsidP="007E42ED">
            <w:pPr>
              <w:spacing w:after="0"/>
              <w:rPr>
                <w:rFonts w:ascii="Calibri" w:hAnsi="Calibri" w:cs="Calibri"/>
              </w:rPr>
            </w:pPr>
            <w:r w:rsidRPr="00523AB6">
              <w:rPr>
                <w:rFonts w:ascii="Calibri" w:hAnsi="Calibri" w:cs="Calibri"/>
              </w:rPr>
              <w:t xml:space="preserve">To evaluate a brief sleep intervention and to investigate the feasibility and </w:t>
            </w:r>
            <w:r w:rsidRPr="00523AB6">
              <w:rPr>
                <w:rFonts w:ascii="Calibri" w:hAnsi="Calibri" w:cs="Calibri"/>
              </w:rPr>
              <w:lastRenderedPageBreak/>
              <w:t>effectiveness of sleep monitoring of the M1 device.</w:t>
            </w:r>
          </w:p>
        </w:tc>
        <w:tc>
          <w:tcPr>
            <w:tcW w:w="3541" w:type="dxa"/>
            <w:tcBorders>
              <w:top w:val="single" w:sz="4" w:space="0" w:color="auto"/>
              <w:bottom w:val="single" w:sz="4" w:space="0" w:color="auto"/>
            </w:tcBorders>
            <w:vAlign w:val="center"/>
          </w:tcPr>
          <w:p w14:paraId="7FC439BC" w14:textId="77777777" w:rsidR="00F904EB" w:rsidRPr="00523AB6" w:rsidRDefault="00F904EB" w:rsidP="007E42ED">
            <w:pPr>
              <w:spacing w:after="0"/>
              <w:rPr>
                <w:rFonts w:ascii="Calibri" w:hAnsi="Calibri" w:cs="Calibri"/>
              </w:rPr>
            </w:pPr>
            <w:r w:rsidRPr="00523AB6">
              <w:rPr>
                <w:rFonts w:ascii="Calibri" w:hAnsi="Calibri" w:cs="Calibri"/>
              </w:rPr>
              <w:lastRenderedPageBreak/>
              <w:t xml:space="preserve">Quantitative cross-sectional study with 8 adults with bipolar disorder. Participants wore the device for two seven-night periods at home and kept </w:t>
            </w:r>
            <w:r w:rsidRPr="00523AB6">
              <w:rPr>
                <w:rFonts w:ascii="Calibri" w:hAnsi="Calibri" w:cs="Calibri"/>
              </w:rPr>
              <w:lastRenderedPageBreak/>
              <w:t>a sleep diary. They filled in a M1 acceptability questionnaire after each week of wearing the device.</w:t>
            </w:r>
          </w:p>
        </w:tc>
        <w:tc>
          <w:tcPr>
            <w:tcW w:w="3261" w:type="dxa"/>
            <w:tcBorders>
              <w:top w:val="single" w:sz="4" w:space="0" w:color="auto"/>
              <w:bottom w:val="single" w:sz="4" w:space="0" w:color="auto"/>
            </w:tcBorders>
            <w:vAlign w:val="center"/>
          </w:tcPr>
          <w:p w14:paraId="25E7D284" w14:textId="77777777" w:rsidR="00F904EB" w:rsidRPr="00523AB6" w:rsidRDefault="00F904EB" w:rsidP="007E42ED">
            <w:pPr>
              <w:spacing w:after="0"/>
              <w:rPr>
                <w:rFonts w:ascii="Calibri" w:hAnsi="Calibri" w:cs="Calibri"/>
              </w:rPr>
            </w:pPr>
            <w:r w:rsidRPr="00523AB6">
              <w:rPr>
                <w:rFonts w:ascii="Calibri" w:hAnsi="Calibri" w:cs="Calibri"/>
              </w:rPr>
              <w:lastRenderedPageBreak/>
              <w:t xml:space="preserve">The M1 device was evaluated as easy to use, easy to apply and did not interfere with the participants’ sleep. The device was worn for at </w:t>
            </w:r>
            <w:r w:rsidRPr="00523AB6">
              <w:rPr>
                <w:rFonts w:ascii="Calibri" w:hAnsi="Calibri" w:cs="Calibri"/>
              </w:rPr>
              <w:lastRenderedPageBreak/>
              <w:t>least two nights by all participants and on average 6.12 and 5.50 days in each week. The willingness to wear the device again declined after the second week, but was still high.</w:t>
            </w:r>
          </w:p>
        </w:tc>
      </w:tr>
      <w:tr w:rsidR="00F904EB" w:rsidRPr="00E251B4" w14:paraId="72222BFD" w14:textId="77777777" w:rsidTr="007E42ED">
        <w:trPr>
          <w:trHeight w:val="903"/>
        </w:trPr>
        <w:tc>
          <w:tcPr>
            <w:tcW w:w="993" w:type="dxa"/>
            <w:tcBorders>
              <w:top w:val="single" w:sz="4" w:space="0" w:color="auto"/>
              <w:bottom w:val="single" w:sz="4" w:space="0" w:color="auto"/>
            </w:tcBorders>
            <w:noWrap/>
            <w:vAlign w:val="center"/>
          </w:tcPr>
          <w:p w14:paraId="61E0401C"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lastRenderedPageBreak/>
              <w:t>Lazazzera</w:t>
            </w:r>
          </w:p>
        </w:tc>
        <w:tc>
          <w:tcPr>
            <w:tcW w:w="708" w:type="dxa"/>
            <w:tcBorders>
              <w:top w:val="single" w:sz="4" w:space="0" w:color="auto"/>
              <w:bottom w:val="single" w:sz="4" w:space="0" w:color="auto"/>
            </w:tcBorders>
            <w:noWrap/>
            <w:vAlign w:val="center"/>
          </w:tcPr>
          <w:p w14:paraId="7308646F"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2022</w:t>
            </w:r>
          </w:p>
        </w:tc>
        <w:tc>
          <w:tcPr>
            <w:tcW w:w="819" w:type="dxa"/>
            <w:tcBorders>
              <w:top w:val="single" w:sz="4" w:space="0" w:color="auto"/>
              <w:bottom w:val="single" w:sz="4" w:space="0" w:color="auto"/>
            </w:tcBorders>
            <w:noWrap/>
            <w:vAlign w:val="center"/>
          </w:tcPr>
          <w:p w14:paraId="2401F69A"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France</w:t>
            </w:r>
          </w:p>
        </w:tc>
        <w:tc>
          <w:tcPr>
            <w:tcW w:w="1449" w:type="dxa"/>
            <w:gridSpan w:val="2"/>
            <w:tcBorders>
              <w:top w:val="single" w:sz="4" w:space="0" w:color="auto"/>
              <w:bottom w:val="single" w:sz="4" w:space="0" w:color="auto"/>
            </w:tcBorders>
            <w:vAlign w:val="center"/>
          </w:tcPr>
          <w:p w14:paraId="7A5E4A95"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UpNEA (developed by the authors)</w:t>
            </w:r>
          </w:p>
        </w:tc>
        <w:tc>
          <w:tcPr>
            <w:tcW w:w="1134" w:type="dxa"/>
            <w:tcBorders>
              <w:top w:val="single" w:sz="4" w:space="0" w:color="auto"/>
              <w:bottom w:val="single" w:sz="4" w:space="0" w:color="auto"/>
            </w:tcBorders>
            <w:vAlign w:val="center"/>
          </w:tcPr>
          <w:p w14:paraId="0E6031C4"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Sleep - apnea</w:t>
            </w:r>
          </w:p>
        </w:tc>
        <w:tc>
          <w:tcPr>
            <w:tcW w:w="1985" w:type="dxa"/>
            <w:tcBorders>
              <w:top w:val="single" w:sz="4" w:space="0" w:color="auto"/>
              <w:bottom w:val="single" w:sz="4" w:space="0" w:color="auto"/>
            </w:tcBorders>
            <w:vAlign w:val="center"/>
          </w:tcPr>
          <w:p w14:paraId="1B61D498" w14:textId="77777777" w:rsidR="00F904EB" w:rsidRPr="00523AB6" w:rsidRDefault="00F904EB" w:rsidP="007E42ED">
            <w:pPr>
              <w:spacing w:after="0"/>
              <w:rPr>
                <w:rFonts w:ascii="Calibri" w:hAnsi="Calibri" w:cs="Calibri"/>
              </w:rPr>
            </w:pPr>
            <w:r w:rsidRPr="00523AB6">
              <w:rPr>
                <w:rFonts w:ascii="Calibri" w:hAnsi="Calibri" w:cs="Calibri"/>
              </w:rPr>
              <w:t>To present a system aimed to predict respiratory and cardiovascular disorders. UpNEA was part of the whole system.</w:t>
            </w:r>
          </w:p>
        </w:tc>
        <w:tc>
          <w:tcPr>
            <w:tcW w:w="3541" w:type="dxa"/>
            <w:tcBorders>
              <w:top w:val="single" w:sz="4" w:space="0" w:color="auto"/>
              <w:bottom w:val="single" w:sz="4" w:space="0" w:color="auto"/>
            </w:tcBorders>
            <w:vAlign w:val="center"/>
          </w:tcPr>
          <w:p w14:paraId="13257B07" w14:textId="77777777" w:rsidR="00F904EB" w:rsidRPr="00523AB6" w:rsidRDefault="00F904EB" w:rsidP="007E42ED">
            <w:pPr>
              <w:spacing w:after="0"/>
              <w:rPr>
                <w:rFonts w:ascii="Calibri" w:hAnsi="Calibri" w:cs="Calibri"/>
              </w:rPr>
            </w:pPr>
            <w:r w:rsidRPr="00523AB6">
              <w:rPr>
                <w:rFonts w:ascii="Calibri" w:hAnsi="Calibri" w:cs="Calibri"/>
              </w:rPr>
              <w:t>Quantitative cross-sectional study with one healthy adult. The participant wore the glove-life device for four nights and reported on its comfort.*</w:t>
            </w:r>
          </w:p>
        </w:tc>
        <w:tc>
          <w:tcPr>
            <w:tcW w:w="3261" w:type="dxa"/>
            <w:tcBorders>
              <w:top w:val="single" w:sz="4" w:space="0" w:color="auto"/>
              <w:bottom w:val="single" w:sz="4" w:space="0" w:color="auto"/>
            </w:tcBorders>
            <w:vAlign w:val="center"/>
          </w:tcPr>
          <w:p w14:paraId="1FED6AAD" w14:textId="77777777" w:rsidR="00F904EB" w:rsidRPr="00523AB6" w:rsidRDefault="00F904EB" w:rsidP="007E42ED">
            <w:pPr>
              <w:spacing w:after="0"/>
              <w:rPr>
                <w:rFonts w:ascii="Calibri" w:hAnsi="Calibri" w:cs="Calibri"/>
              </w:rPr>
            </w:pPr>
            <w:r w:rsidRPr="00523AB6">
              <w:rPr>
                <w:rFonts w:ascii="Calibri" w:hAnsi="Calibri" w:cs="Calibri"/>
              </w:rPr>
              <w:t>The device did not cause discomfort to the participant.</w:t>
            </w:r>
          </w:p>
        </w:tc>
      </w:tr>
      <w:tr w:rsidR="00F904EB" w:rsidRPr="00E251B4" w14:paraId="72612302" w14:textId="77777777" w:rsidTr="007E42ED">
        <w:tblPrEx>
          <w:tblBorders>
            <w:insideH w:val="single" w:sz="4" w:space="0" w:color="auto"/>
            <w:insideV w:val="single" w:sz="4" w:space="0" w:color="auto"/>
          </w:tblBorders>
        </w:tblPrEx>
        <w:trPr>
          <w:trHeight w:val="511"/>
        </w:trPr>
        <w:tc>
          <w:tcPr>
            <w:tcW w:w="13890" w:type="dxa"/>
            <w:gridSpan w:val="9"/>
            <w:tcBorders>
              <w:top w:val="single" w:sz="4" w:space="0" w:color="auto"/>
              <w:bottom w:val="single" w:sz="4" w:space="0" w:color="auto"/>
            </w:tcBorders>
            <w:noWrap/>
            <w:vAlign w:val="center"/>
          </w:tcPr>
          <w:p w14:paraId="23FE6B25" w14:textId="77777777" w:rsidR="00F904EB" w:rsidRPr="00523AB6" w:rsidRDefault="00F904EB" w:rsidP="007E42ED">
            <w:pPr>
              <w:spacing w:after="0"/>
              <w:rPr>
                <w:b/>
                <w:bCs/>
                <w:lang w:val="en-GB"/>
              </w:rPr>
            </w:pPr>
            <w:r w:rsidRPr="00523AB6">
              <w:rPr>
                <w:b/>
                <w:bCs/>
                <w:lang w:val="en-GB"/>
              </w:rPr>
              <w:t>Multi-modal monitoring systems – with environmental sensors</w:t>
            </w:r>
          </w:p>
        </w:tc>
      </w:tr>
      <w:tr w:rsidR="00F904EB" w:rsidRPr="00E251B4" w14:paraId="52CE9B5D"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13890940"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Au-Yeung</w:t>
            </w:r>
          </w:p>
        </w:tc>
        <w:tc>
          <w:tcPr>
            <w:tcW w:w="708" w:type="dxa"/>
            <w:tcBorders>
              <w:top w:val="single" w:sz="4" w:space="0" w:color="auto"/>
              <w:left w:val="nil"/>
              <w:bottom w:val="single" w:sz="4" w:space="0" w:color="auto"/>
              <w:right w:val="nil"/>
            </w:tcBorders>
            <w:noWrap/>
            <w:vAlign w:val="center"/>
          </w:tcPr>
          <w:p w14:paraId="0B34AA1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left w:val="nil"/>
              <w:bottom w:val="single" w:sz="4" w:space="0" w:color="auto"/>
              <w:right w:val="nil"/>
            </w:tcBorders>
            <w:noWrap/>
            <w:vAlign w:val="center"/>
          </w:tcPr>
          <w:p w14:paraId="7E6E76B7"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6ECD516C"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Ambient sensors: model not reported (NYCE Sensors, Vancouver, BC),</w:t>
            </w:r>
          </w:p>
          <w:p w14:paraId="55B9A1A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Pressure mats: model not reported (Emfit, Finland),</w:t>
            </w:r>
          </w:p>
          <w:p w14:paraId="4D7C7D6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 xml:space="preserve">Actigraphy: Actiwatch Spectrums </w:t>
            </w:r>
            <w:r w:rsidRPr="00523AB6">
              <w:rPr>
                <w:rFonts w:ascii="Calibri" w:eastAsia="Times New Roman" w:hAnsi="Calibri" w:cs="Calibri"/>
                <w:lang w:val="en-GB"/>
              </w:rPr>
              <w:lastRenderedPageBreak/>
              <w:t>(Philips Respironics, Murrysville, PA),</w:t>
            </w:r>
          </w:p>
          <w:p w14:paraId="3BE2E507"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Environmental sensors: Thunderboard Sense 2-SLTB004A (Silicon Labs, Austin, TX)</w:t>
            </w:r>
          </w:p>
        </w:tc>
        <w:tc>
          <w:tcPr>
            <w:tcW w:w="1134" w:type="dxa"/>
            <w:tcBorders>
              <w:top w:val="single" w:sz="4" w:space="0" w:color="auto"/>
              <w:left w:val="nil"/>
              <w:bottom w:val="single" w:sz="4" w:space="0" w:color="auto"/>
              <w:right w:val="nil"/>
            </w:tcBorders>
            <w:vAlign w:val="center"/>
          </w:tcPr>
          <w:p w14:paraId="0A7921E0"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Agitation</w:t>
            </w:r>
          </w:p>
        </w:tc>
        <w:tc>
          <w:tcPr>
            <w:tcW w:w="1985" w:type="dxa"/>
            <w:tcBorders>
              <w:top w:val="single" w:sz="4" w:space="0" w:color="auto"/>
              <w:left w:val="nil"/>
              <w:bottom w:val="single" w:sz="4" w:space="0" w:color="auto"/>
              <w:right w:val="nil"/>
            </w:tcBorders>
            <w:vAlign w:val="center"/>
          </w:tcPr>
          <w:p w14:paraId="64154A2A"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provide a proof of concept of monitoring and predicting agitation in memory care facilities with by monitoring the activity, sleep, and the environment (temperature, light, sound, humidity).</w:t>
            </w:r>
          </w:p>
        </w:tc>
        <w:tc>
          <w:tcPr>
            <w:tcW w:w="3541" w:type="dxa"/>
            <w:tcBorders>
              <w:top w:val="single" w:sz="4" w:space="0" w:color="auto"/>
              <w:left w:val="nil"/>
              <w:bottom w:val="single" w:sz="4" w:space="0" w:color="auto"/>
              <w:right w:val="nil"/>
            </w:tcBorders>
            <w:vAlign w:val="center"/>
          </w:tcPr>
          <w:p w14:paraId="1FCB2B84"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case study with one adult with dementia in a memory care unit. The participant was continuously monitored by the system for 138 days. Agitation was recorded by nurses. The feasibility was evaluated by the researchers.</w:t>
            </w:r>
          </w:p>
        </w:tc>
        <w:tc>
          <w:tcPr>
            <w:tcW w:w="3261" w:type="dxa"/>
            <w:tcBorders>
              <w:top w:val="single" w:sz="4" w:space="0" w:color="auto"/>
              <w:left w:val="nil"/>
              <w:bottom w:val="single" w:sz="4" w:space="0" w:color="auto"/>
            </w:tcBorders>
            <w:vAlign w:val="center"/>
          </w:tcPr>
          <w:p w14:paraId="50511CE7"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Ambient motion sensors functioned well with no technical problems. Sleep was successfully monitored for 91 out of 137 nights due to Wi-Fi problems or the participant not sleeping on the bed. Actigraphy was off-wrist 2% of the time. Environmental data was successfully collected 48% of the time.</w:t>
            </w:r>
          </w:p>
        </w:tc>
      </w:tr>
      <w:tr w:rsidR="00F904EB" w:rsidRPr="00E251B4" w14:paraId="695FE175"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5B2B29A2"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Khan</w:t>
            </w:r>
          </w:p>
        </w:tc>
        <w:tc>
          <w:tcPr>
            <w:tcW w:w="708" w:type="dxa"/>
            <w:tcBorders>
              <w:top w:val="single" w:sz="4" w:space="0" w:color="auto"/>
              <w:left w:val="nil"/>
              <w:bottom w:val="single" w:sz="4" w:space="0" w:color="auto"/>
              <w:right w:val="nil"/>
            </w:tcBorders>
            <w:noWrap/>
            <w:vAlign w:val="center"/>
          </w:tcPr>
          <w:p w14:paraId="21E90671"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03A8E7AF"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01CCD4C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2A0AC216"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79C494E4"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develop a system to automatically detect agitation in people with dementia. The proposed system includes actigraphy, EDA monitor, pressure mat, video cameras, environmental motion sensors, and door sensors.</w:t>
            </w:r>
          </w:p>
        </w:tc>
        <w:tc>
          <w:tcPr>
            <w:tcW w:w="3541" w:type="dxa"/>
            <w:tcBorders>
              <w:top w:val="single" w:sz="4" w:space="0" w:color="auto"/>
              <w:left w:val="nil"/>
              <w:bottom w:val="single" w:sz="4" w:space="0" w:color="auto"/>
              <w:right w:val="nil"/>
            </w:tcBorders>
            <w:vAlign w:val="center"/>
          </w:tcPr>
          <w:p w14:paraId="0590E9F0"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cross-sectional study with two older adults with dementia at a rehabilitation institute. The participants were monitored for 15 and 13 days respectively. Agitation episodes were noted by nurses. Different algorithms were tested using different combinations of sensor data. The feasibility was evaluated by the authors.</w:t>
            </w:r>
          </w:p>
        </w:tc>
        <w:tc>
          <w:tcPr>
            <w:tcW w:w="3261" w:type="dxa"/>
            <w:tcBorders>
              <w:top w:val="single" w:sz="4" w:space="0" w:color="auto"/>
              <w:left w:val="nil"/>
              <w:bottom w:val="single" w:sz="4" w:space="0" w:color="auto"/>
            </w:tcBorders>
            <w:vAlign w:val="center"/>
          </w:tcPr>
          <w:p w14:paraId="236B6073"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The system was feasible to monitor people with dementia.</w:t>
            </w:r>
          </w:p>
        </w:tc>
      </w:tr>
      <w:tr w:rsidR="00F904EB" w:rsidRPr="00E251B4" w14:paraId="01447AD8"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1E5942DC"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Davidoff</w:t>
            </w:r>
          </w:p>
        </w:tc>
        <w:tc>
          <w:tcPr>
            <w:tcW w:w="708" w:type="dxa"/>
            <w:tcBorders>
              <w:top w:val="single" w:sz="4" w:space="0" w:color="auto"/>
              <w:left w:val="nil"/>
              <w:bottom w:val="single" w:sz="4" w:space="0" w:color="auto"/>
              <w:right w:val="nil"/>
            </w:tcBorders>
            <w:noWrap/>
            <w:vAlign w:val="center"/>
          </w:tcPr>
          <w:p w14:paraId="6166C757"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left w:val="nil"/>
              <w:bottom w:val="single" w:sz="4" w:space="0" w:color="auto"/>
              <w:right w:val="nil"/>
            </w:tcBorders>
            <w:noWrap/>
            <w:vAlign w:val="center"/>
          </w:tcPr>
          <w:p w14:paraId="3EFA3124"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Belgium, Netherlands</w:t>
            </w:r>
          </w:p>
        </w:tc>
        <w:tc>
          <w:tcPr>
            <w:tcW w:w="1275" w:type="dxa"/>
            <w:tcBorders>
              <w:top w:val="single" w:sz="4" w:space="0" w:color="auto"/>
              <w:left w:val="nil"/>
              <w:bottom w:val="single" w:sz="4" w:space="0" w:color="auto"/>
              <w:right w:val="nil"/>
            </w:tcBorders>
            <w:vAlign w:val="center"/>
          </w:tcPr>
          <w:p w14:paraId="1F3C186F"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Wearables: Chill+, LYS (LYS Technologies), Blooloc tracker;</w:t>
            </w:r>
          </w:p>
          <w:p w14:paraId="5F82127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Pressure mat: EMFIT QS (EMFIT, Finland);</w:t>
            </w:r>
          </w:p>
          <w:p w14:paraId="1C0A7B21"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Environmental sensors: Metatracker (MbientLab), micrphone: Nokia 6.1 Android phone, Blooloc</w:t>
            </w:r>
          </w:p>
        </w:tc>
        <w:tc>
          <w:tcPr>
            <w:tcW w:w="1134" w:type="dxa"/>
            <w:tcBorders>
              <w:top w:val="single" w:sz="4" w:space="0" w:color="auto"/>
              <w:left w:val="nil"/>
              <w:bottom w:val="single" w:sz="4" w:space="0" w:color="auto"/>
              <w:right w:val="nil"/>
            </w:tcBorders>
            <w:vAlign w:val="center"/>
          </w:tcPr>
          <w:p w14:paraId="5922610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Anxiety</w:t>
            </w:r>
          </w:p>
        </w:tc>
        <w:tc>
          <w:tcPr>
            <w:tcW w:w="1985" w:type="dxa"/>
            <w:tcBorders>
              <w:top w:val="single" w:sz="4" w:space="0" w:color="auto"/>
              <w:left w:val="nil"/>
              <w:bottom w:val="single" w:sz="4" w:space="0" w:color="auto"/>
              <w:right w:val="nil"/>
            </w:tcBorders>
            <w:vAlign w:val="center"/>
          </w:tcPr>
          <w:p w14:paraId="16F2152E"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To pilot test a system that identifies physiological markers and contextual triggers </w:t>
            </w:r>
            <w:r w:rsidRPr="00523AB6">
              <w:rPr>
                <w:rFonts w:ascii="Calibri" w:hAnsi="Calibri" w:cs="Calibri"/>
                <w:lang w:val="en-GB"/>
              </w:rPr>
              <w:lastRenderedPageBreak/>
              <w:t>of agitation in people with dementia. EDA, heart rate, activity, skin temperature, light, sleep, position of the participant, and environmental sound were monitored.</w:t>
            </w:r>
          </w:p>
        </w:tc>
        <w:tc>
          <w:tcPr>
            <w:tcW w:w="3541" w:type="dxa"/>
            <w:tcBorders>
              <w:top w:val="single" w:sz="4" w:space="0" w:color="auto"/>
              <w:left w:val="nil"/>
              <w:bottom w:val="single" w:sz="4" w:space="0" w:color="auto"/>
              <w:right w:val="nil"/>
            </w:tcBorders>
            <w:vAlign w:val="center"/>
          </w:tcPr>
          <w:p w14:paraId="602336F0" w14:textId="77777777" w:rsidR="00F904EB" w:rsidRPr="00523AB6" w:rsidRDefault="00F904EB" w:rsidP="007E42ED">
            <w:pPr>
              <w:spacing w:after="0"/>
              <w:rPr>
                <w:rFonts w:ascii="Calibri" w:hAnsi="Calibri" w:cs="Calibri"/>
                <w:lang w:val="en-GB"/>
              </w:rPr>
            </w:pPr>
            <w:r w:rsidRPr="00523AB6">
              <w:rPr>
                <w:rFonts w:ascii="Calibri" w:hAnsi="Calibri" w:cs="Calibri"/>
              </w:rPr>
              <w:lastRenderedPageBreak/>
              <w:t xml:space="preserve">Quantitative cross-sectional study with older adults with dementia with severe behavioral symptoms in a neuropsychiatric ward. The number of participants was not reported. Agitation was scored by the nurse at </w:t>
            </w:r>
            <w:r w:rsidRPr="00523AB6">
              <w:rPr>
                <w:rFonts w:ascii="Calibri" w:hAnsi="Calibri" w:cs="Calibri"/>
              </w:rPr>
              <w:lastRenderedPageBreak/>
              <w:t>nine random moments per day using the</w:t>
            </w:r>
            <w:r w:rsidRPr="00523AB6">
              <w:t xml:space="preserve"> </w:t>
            </w:r>
            <w:r w:rsidRPr="00523AB6">
              <w:rPr>
                <w:rFonts w:ascii="Calibri" w:hAnsi="Calibri" w:cs="Calibri"/>
              </w:rPr>
              <w:t>Pittsburgh Agitation Scale and the</w:t>
            </w:r>
            <w:r w:rsidRPr="00523AB6">
              <w:rPr>
                <w:rFonts w:ascii="Calibri" w:hAnsi="Calibri" w:cs="Calibri"/>
                <w:lang w:val="en-GB"/>
              </w:rPr>
              <w:t xml:space="preserve"> Richmond Agitation Sedation Scale</w:t>
            </w:r>
            <w:r w:rsidRPr="00523AB6">
              <w:rPr>
                <w:rFonts w:ascii="Calibri" w:hAnsi="Calibri" w:cs="Calibri"/>
              </w:rPr>
              <w:t>.</w:t>
            </w:r>
          </w:p>
        </w:tc>
        <w:tc>
          <w:tcPr>
            <w:tcW w:w="3261" w:type="dxa"/>
            <w:tcBorders>
              <w:top w:val="single" w:sz="4" w:space="0" w:color="auto"/>
              <w:left w:val="nil"/>
              <w:bottom w:val="single" w:sz="4" w:space="0" w:color="auto"/>
            </w:tcBorders>
            <w:vAlign w:val="center"/>
          </w:tcPr>
          <w:p w14:paraId="41FF7BFD"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lastRenderedPageBreak/>
              <w:t xml:space="preserve">Some participants took off the wearables when they were most agitated. Connectivity problems and some rooms not installing the devices complicated the data collection. Synchronizing all the </w:t>
            </w:r>
            <w:r w:rsidRPr="00523AB6">
              <w:rPr>
                <w:rFonts w:ascii="Calibri" w:hAnsi="Calibri" w:cs="Calibri"/>
                <w:lang w:val="en-GB"/>
              </w:rPr>
              <w:lastRenderedPageBreak/>
              <w:t>data was intensive and errors lead to loss of data.</w:t>
            </w:r>
          </w:p>
        </w:tc>
      </w:tr>
      <w:tr w:rsidR="00F904EB" w:rsidRPr="00E251B4" w14:paraId="3B9D2B0E"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3B297375"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lastRenderedPageBreak/>
              <w:t>Davoudi</w:t>
            </w:r>
          </w:p>
        </w:tc>
        <w:tc>
          <w:tcPr>
            <w:tcW w:w="708" w:type="dxa"/>
            <w:tcBorders>
              <w:top w:val="single" w:sz="4" w:space="0" w:color="auto"/>
              <w:left w:val="nil"/>
              <w:bottom w:val="single" w:sz="4" w:space="0" w:color="auto"/>
              <w:right w:val="nil"/>
            </w:tcBorders>
            <w:noWrap/>
            <w:vAlign w:val="center"/>
          </w:tcPr>
          <w:p w14:paraId="403F11D1"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2019</w:t>
            </w:r>
          </w:p>
        </w:tc>
        <w:tc>
          <w:tcPr>
            <w:tcW w:w="993" w:type="dxa"/>
            <w:gridSpan w:val="2"/>
            <w:tcBorders>
              <w:top w:val="single" w:sz="4" w:space="0" w:color="auto"/>
              <w:left w:val="nil"/>
              <w:bottom w:val="single" w:sz="4" w:space="0" w:color="auto"/>
              <w:right w:val="nil"/>
            </w:tcBorders>
            <w:noWrap/>
            <w:vAlign w:val="center"/>
          </w:tcPr>
          <w:p w14:paraId="4E9B5AB6"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38F3E58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Developed by the authors</w:t>
            </w:r>
          </w:p>
        </w:tc>
        <w:tc>
          <w:tcPr>
            <w:tcW w:w="1134" w:type="dxa"/>
            <w:tcBorders>
              <w:top w:val="single" w:sz="4" w:space="0" w:color="auto"/>
              <w:left w:val="nil"/>
              <w:bottom w:val="single" w:sz="4" w:space="0" w:color="auto"/>
              <w:right w:val="nil"/>
            </w:tcBorders>
            <w:vAlign w:val="center"/>
          </w:tcPr>
          <w:p w14:paraId="7FB8B3E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Delirium</w:t>
            </w:r>
          </w:p>
        </w:tc>
        <w:tc>
          <w:tcPr>
            <w:tcW w:w="1985" w:type="dxa"/>
            <w:tcBorders>
              <w:top w:val="single" w:sz="4" w:space="0" w:color="auto"/>
              <w:left w:val="nil"/>
              <w:bottom w:val="single" w:sz="4" w:space="0" w:color="auto"/>
              <w:right w:val="nil"/>
            </w:tcBorders>
            <w:vAlign w:val="center"/>
          </w:tcPr>
          <w:p w14:paraId="6BDB3CB3"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pilot test a system that includes a camera, three actigraphy, a light sensor, and a microphone in the ICU.</w:t>
            </w:r>
          </w:p>
        </w:tc>
        <w:tc>
          <w:tcPr>
            <w:tcW w:w="3541" w:type="dxa"/>
            <w:tcBorders>
              <w:top w:val="single" w:sz="4" w:space="0" w:color="auto"/>
              <w:left w:val="nil"/>
              <w:bottom w:val="single" w:sz="4" w:space="0" w:color="auto"/>
              <w:right w:val="nil"/>
            </w:tcBorders>
            <w:vAlign w:val="center"/>
          </w:tcPr>
          <w:p w14:paraId="54B48275"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cross-sectional study with 17 older adults in the surgical ICU, nine of them had delirium. Participants were monitored continuously for a maximum of seven days. The feasibility was evaluated by the authors.</w:t>
            </w:r>
          </w:p>
        </w:tc>
        <w:tc>
          <w:tcPr>
            <w:tcW w:w="3261" w:type="dxa"/>
            <w:tcBorders>
              <w:top w:val="single" w:sz="4" w:space="0" w:color="auto"/>
              <w:left w:val="nil"/>
              <w:bottom w:val="single" w:sz="4" w:space="0" w:color="auto"/>
            </w:tcBorders>
            <w:vAlign w:val="center"/>
          </w:tcPr>
          <w:p w14:paraId="2BFD9DD8"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The system was feasible to monitor critically ill patients in the ICU. </w:t>
            </w:r>
          </w:p>
        </w:tc>
      </w:tr>
      <w:tr w:rsidR="00F904EB" w:rsidRPr="00523AB6" w14:paraId="5A7C8E28"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17898BC9"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Rose</w:t>
            </w:r>
          </w:p>
        </w:tc>
        <w:tc>
          <w:tcPr>
            <w:tcW w:w="708" w:type="dxa"/>
            <w:tcBorders>
              <w:top w:val="single" w:sz="4" w:space="0" w:color="auto"/>
              <w:left w:val="nil"/>
              <w:bottom w:val="single" w:sz="4" w:space="0" w:color="auto"/>
              <w:right w:val="nil"/>
            </w:tcBorders>
            <w:noWrap/>
            <w:vAlign w:val="center"/>
          </w:tcPr>
          <w:p w14:paraId="12C44D61"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2015</w:t>
            </w:r>
          </w:p>
        </w:tc>
        <w:tc>
          <w:tcPr>
            <w:tcW w:w="993" w:type="dxa"/>
            <w:gridSpan w:val="2"/>
            <w:tcBorders>
              <w:top w:val="single" w:sz="4" w:space="0" w:color="auto"/>
              <w:left w:val="nil"/>
              <w:bottom w:val="single" w:sz="4" w:space="0" w:color="auto"/>
              <w:right w:val="nil"/>
            </w:tcBorders>
            <w:noWrap/>
            <w:vAlign w:val="center"/>
          </w:tcPr>
          <w:p w14:paraId="0FD92DE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19C38C9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Tab-like bed sensor: Wireless Identification and Sensing Platform (WISP, brand not reported);</w:t>
            </w:r>
            <w:r w:rsidRPr="00523AB6">
              <w:t xml:space="preserve"> Watch: </w:t>
            </w:r>
            <w:r w:rsidRPr="00523AB6">
              <w:rPr>
                <w:rFonts w:ascii="Calibri" w:eastAsia="Times New Roman" w:hAnsi="Calibri" w:cs="Calibri"/>
                <w:lang w:val="en-GB"/>
              </w:rPr>
              <w:t>Technology-</w:t>
            </w:r>
            <w:r w:rsidRPr="00523AB6">
              <w:rPr>
                <w:rFonts w:ascii="Calibri" w:eastAsia="Times New Roman" w:hAnsi="Calibri" w:cs="Calibri"/>
                <w:lang w:val="en-GB"/>
              </w:rPr>
              <w:lastRenderedPageBreak/>
              <w:t>Enabled Medical Precision Observation (TEMPO, brand not reported); Incontinence sensor: DryBuddy (brand not reported)</w:t>
            </w:r>
          </w:p>
          <w:p w14:paraId="7DF5CFE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Microphone: model and brand not reported</w:t>
            </w:r>
          </w:p>
        </w:tc>
        <w:tc>
          <w:tcPr>
            <w:tcW w:w="1134" w:type="dxa"/>
            <w:tcBorders>
              <w:top w:val="single" w:sz="4" w:space="0" w:color="auto"/>
              <w:left w:val="nil"/>
              <w:bottom w:val="single" w:sz="4" w:space="0" w:color="auto"/>
              <w:right w:val="nil"/>
            </w:tcBorders>
            <w:vAlign w:val="center"/>
          </w:tcPr>
          <w:p w14:paraId="5A36AB16"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lastRenderedPageBreak/>
              <w:t>Sleep, agitation, and urinary incontinence</w:t>
            </w:r>
          </w:p>
        </w:tc>
        <w:tc>
          <w:tcPr>
            <w:tcW w:w="1985" w:type="dxa"/>
            <w:tcBorders>
              <w:top w:val="single" w:sz="4" w:space="0" w:color="auto"/>
              <w:left w:val="nil"/>
              <w:bottom w:val="single" w:sz="4" w:space="0" w:color="auto"/>
              <w:right w:val="nil"/>
            </w:tcBorders>
            <w:vAlign w:val="center"/>
          </w:tcPr>
          <w:p w14:paraId="7E4E4BB9"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To investigate the feasibility and acceptability of the wireless devices, including a tab-like bed sensor, a smart watch, an incontinence sensor, and a microphone, in community-dwelling </w:t>
            </w:r>
            <w:r w:rsidRPr="00523AB6">
              <w:rPr>
                <w:rFonts w:ascii="Calibri" w:hAnsi="Calibri" w:cs="Calibri"/>
                <w:lang w:val="en-GB"/>
              </w:rPr>
              <w:lastRenderedPageBreak/>
              <w:t xml:space="preserve">people with dementia.  </w:t>
            </w:r>
          </w:p>
        </w:tc>
        <w:tc>
          <w:tcPr>
            <w:tcW w:w="3541" w:type="dxa"/>
            <w:tcBorders>
              <w:top w:val="single" w:sz="4" w:space="0" w:color="auto"/>
              <w:left w:val="nil"/>
              <w:bottom w:val="single" w:sz="4" w:space="0" w:color="auto"/>
              <w:right w:val="nil"/>
            </w:tcBorders>
            <w:vAlign w:val="center"/>
          </w:tcPr>
          <w:p w14:paraId="1CBBE528"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lastRenderedPageBreak/>
              <w:t>Quantitative cross-sectional study with 50 community-dwelling older adults with dementia. Participants were monitored for five to seven days. Family caregivers set up the devices with help from the study team via the phone and they received an interview about the feasibility after the study.</w:t>
            </w:r>
          </w:p>
        </w:tc>
        <w:tc>
          <w:tcPr>
            <w:tcW w:w="3261" w:type="dxa"/>
            <w:tcBorders>
              <w:top w:val="single" w:sz="4" w:space="0" w:color="auto"/>
              <w:left w:val="nil"/>
              <w:bottom w:val="single" w:sz="4" w:space="0" w:color="auto"/>
            </w:tcBorders>
            <w:vAlign w:val="center"/>
          </w:tcPr>
          <w:p w14:paraId="6F52E733"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Minimal effort was required to operate the system, but it was still challenging for caregivers who were not very familiar with technology. Troubleshooting via the phone was challenging, but reviewing the data helped. Adding another bedside receiver solved problems with the incontinence sensors. </w:t>
            </w:r>
            <w:bookmarkStart w:id="2" w:name="_Hlk136615049"/>
            <w:r w:rsidRPr="00523AB6">
              <w:rPr>
                <w:rFonts w:ascii="Calibri" w:hAnsi="Calibri" w:cs="Calibri"/>
                <w:lang w:val="en-GB"/>
              </w:rPr>
              <w:t xml:space="preserve">Bowel incontinence complicated the measurement. </w:t>
            </w:r>
            <w:bookmarkEnd w:id="2"/>
          </w:p>
        </w:tc>
      </w:tr>
      <w:tr w:rsidR="00F904EB" w:rsidRPr="00E251B4" w14:paraId="2F8285BD" w14:textId="77777777" w:rsidTr="007E42ED">
        <w:tblPrEx>
          <w:tblBorders>
            <w:insideH w:val="single" w:sz="4" w:space="0" w:color="auto"/>
            <w:insideV w:val="single" w:sz="4" w:space="0" w:color="auto"/>
          </w:tblBorders>
        </w:tblPrEx>
        <w:trPr>
          <w:trHeight w:val="511"/>
        </w:trPr>
        <w:tc>
          <w:tcPr>
            <w:tcW w:w="13890" w:type="dxa"/>
            <w:gridSpan w:val="9"/>
            <w:tcBorders>
              <w:top w:val="single" w:sz="4" w:space="0" w:color="auto"/>
              <w:bottom w:val="single" w:sz="4" w:space="0" w:color="auto"/>
            </w:tcBorders>
            <w:noWrap/>
            <w:vAlign w:val="center"/>
          </w:tcPr>
          <w:p w14:paraId="77666D78" w14:textId="77777777" w:rsidR="00F904EB" w:rsidRPr="00523AB6" w:rsidRDefault="00F904EB" w:rsidP="007E42ED">
            <w:pPr>
              <w:spacing w:after="0"/>
              <w:rPr>
                <w:b/>
                <w:bCs/>
                <w:lang w:val="en-GB"/>
              </w:rPr>
            </w:pPr>
            <w:r w:rsidRPr="00523AB6">
              <w:rPr>
                <w:b/>
                <w:bCs/>
                <w:lang w:val="en-GB"/>
              </w:rPr>
              <w:t>Multi-modal monitoring systems – other multi-modal systems</w:t>
            </w:r>
          </w:p>
        </w:tc>
      </w:tr>
      <w:tr w:rsidR="00F904EB" w:rsidRPr="00E251B4" w14:paraId="248A9F3B"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3D5161ED"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Iaboni</w:t>
            </w:r>
          </w:p>
        </w:tc>
        <w:tc>
          <w:tcPr>
            <w:tcW w:w="708" w:type="dxa"/>
            <w:tcBorders>
              <w:top w:val="single" w:sz="4" w:space="0" w:color="auto"/>
              <w:left w:val="nil"/>
              <w:bottom w:val="single" w:sz="4" w:space="0" w:color="auto"/>
              <w:right w:val="nil"/>
            </w:tcBorders>
            <w:noWrap/>
            <w:vAlign w:val="center"/>
          </w:tcPr>
          <w:p w14:paraId="762698C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2022</w:t>
            </w:r>
          </w:p>
        </w:tc>
        <w:tc>
          <w:tcPr>
            <w:tcW w:w="993" w:type="dxa"/>
            <w:gridSpan w:val="2"/>
            <w:tcBorders>
              <w:top w:val="single" w:sz="4" w:space="0" w:color="auto"/>
              <w:left w:val="nil"/>
              <w:bottom w:val="single" w:sz="4" w:space="0" w:color="auto"/>
              <w:right w:val="nil"/>
            </w:tcBorders>
            <w:noWrap/>
            <w:vAlign w:val="center"/>
          </w:tcPr>
          <w:p w14:paraId="41BF5E9C"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Canada</w:t>
            </w:r>
          </w:p>
        </w:tc>
        <w:tc>
          <w:tcPr>
            <w:tcW w:w="1275" w:type="dxa"/>
            <w:tcBorders>
              <w:top w:val="single" w:sz="4" w:space="0" w:color="auto"/>
              <w:left w:val="nil"/>
              <w:bottom w:val="single" w:sz="4" w:space="0" w:color="auto"/>
              <w:right w:val="nil"/>
            </w:tcBorders>
            <w:vAlign w:val="center"/>
          </w:tcPr>
          <w:p w14:paraId="659D648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Empatica E4 (Empatica)</w:t>
            </w:r>
          </w:p>
        </w:tc>
        <w:tc>
          <w:tcPr>
            <w:tcW w:w="1134" w:type="dxa"/>
            <w:tcBorders>
              <w:top w:val="single" w:sz="4" w:space="0" w:color="auto"/>
              <w:left w:val="nil"/>
              <w:bottom w:val="single" w:sz="4" w:space="0" w:color="auto"/>
              <w:right w:val="nil"/>
            </w:tcBorders>
            <w:vAlign w:val="center"/>
          </w:tcPr>
          <w:p w14:paraId="62278C47"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hAnsi="Calibri" w:cs="Calibri"/>
                <w:lang w:val="en-GB"/>
              </w:rPr>
              <w:t>Agitation and aggression</w:t>
            </w:r>
          </w:p>
        </w:tc>
        <w:tc>
          <w:tcPr>
            <w:tcW w:w="1985" w:type="dxa"/>
            <w:tcBorders>
              <w:top w:val="single" w:sz="4" w:space="0" w:color="auto"/>
              <w:left w:val="nil"/>
              <w:bottom w:val="single" w:sz="4" w:space="0" w:color="auto"/>
              <w:right w:val="nil"/>
            </w:tcBorders>
            <w:vAlign w:val="center"/>
          </w:tcPr>
          <w:p w14:paraId="223D60D4"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develop personalized machine learning models for detecting  behavioral and psychological symptoms of dementia (BPSD). The device monitored motion, blood volume pulse, EDA, and skin temperature.</w:t>
            </w:r>
          </w:p>
        </w:tc>
        <w:tc>
          <w:tcPr>
            <w:tcW w:w="3541" w:type="dxa"/>
            <w:tcBorders>
              <w:top w:val="single" w:sz="4" w:space="0" w:color="auto"/>
              <w:left w:val="nil"/>
              <w:bottom w:val="single" w:sz="4" w:space="0" w:color="auto"/>
              <w:right w:val="nil"/>
            </w:tcBorders>
            <w:vAlign w:val="center"/>
          </w:tcPr>
          <w:p w14:paraId="27B8611C" w14:textId="77777777" w:rsidR="00F904EB" w:rsidRPr="00523AB6" w:rsidRDefault="00F904EB" w:rsidP="007E42ED">
            <w:pPr>
              <w:spacing w:after="0"/>
              <w:rPr>
                <w:rFonts w:ascii="Calibri" w:hAnsi="Calibri" w:cs="Calibri"/>
                <w:lang w:val="en-GB"/>
              </w:rPr>
            </w:pPr>
            <w:r w:rsidRPr="00523AB6">
              <w:rPr>
                <w:rFonts w:ascii="Calibri" w:hAnsi="Calibri" w:cs="Calibri"/>
              </w:rPr>
              <w:t>Quantitative cross-sectional study with 17 older adults with dementia and BPSD in a dementia care unit. Participants wore the Empatica wristband for eight weeks during waking hours. Agitation and aggression events were annotated by trained nurses.</w:t>
            </w:r>
          </w:p>
        </w:tc>
        <w:tc>
          <w:tcPr>
            <w:tcW w:w="3261" w:type="dxa"/>
            <w:tcBorders>
              <w:top w:val="single" w:sz="4" w:space="0" w:color="auto"/>
              <w:left w:val="nil"/>
              <w:bottom w:val="single" w:sz="4" w:space="0" w:color="auto"/>
            </w:tcBorders>
            <w:vAlign w:val="center"/>
          </w:tcPr>
          <w:p w14:paraId="67723C92"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The models could recognize the presence of motor agitation (median Area under the receiver-operating characteristic curves (AUC) = 90%), verbal aggression (median AUC = 86%), and physical aggression (median AUC = 82%)</w:t>
            </w:r>
          </w:p>
        </w:tc>
      </w:tr>
      <w:tr w:rsidR="00F904EB" w:rsidRPr="00E251B4" w14:paraId="6B3E5536"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750B6D60"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lastRenderedPageBreak/>
              <w:t>Rajasekaran</w:t>
            </w:r>
          </w:p>
        </w:tc>
        <w:tc>
          <w:tcPr>
            <w:tcW w:w="708" w:type="dxa"/>
            <w:tcBorders>
              <w:top w:val="single" w:sz="4" w:space="0" w:color="auto"/>
              <w:left w:val="nil"/>
              <w:bottom w:val="single" w:sz="4" w:space="0" w:color="auto"/>
              <w:right w:val="nil"/>
            </w:tcBorders>
            <w:noWrap/>
            <w:vAlign w:val="center"/>
          </w:tcPr>
          <w:p w14:paraId="526FFF00"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2011</w:t>
            </w:r>
          </w:p>
        </w:tc>
        <w:tc>
          <w:tcPr>
            <w:tcW w:w="993" w:type="dxa"/>
            <w:gridSpan w:val="2"/>
            <w:tcBorders>
              <w:top w:val="single" w:sz="4" w:space="0" w:color="auto"/>
              <w:left w:val="nil"/>
              <w:bottom w:val="single" w:sz="4" w:space="0" w:color="auto"/>
              <w:right w:val="nil"/>
            </w:tcBorders>
            <w:noWrap/>
            <w:vAlign w:val="center"/>
          </w:tcPr>
          <w:p w14:paraId="2D96780C"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00881E0F"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Portable Autonomous Multisensory Intervention Device (PAMID, developed by the authors)</w:t>
            </w:r>
          </w:p>
        </w:tc>
        <w:tc>
          <w:tcPr>
            <w:tcW w:w="1134" w:type="dxa"/>
            <w:tcBorders>
              <w:top w:val="single" w:sz="4" w:space="0" w:color="auto"/>
              <w:left w:val="nil"/>
              <w:bottom w:val="single" w:sz="4" w:space="0" w:color="auto"/>
              <w:right w:val="nil"/>
            </w:tcBorders>
            <w:vAlign w:val="center"/>
          </w:tcPr>
          <w:p w14:paraId="00F5D3AF"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left w:val="nil"/>
              <w:bottom w:val="single" w:sz="4" w:space="0" w:color="auto"/>
              <w:right w:val="nil"/>
            </w:tcBorders>
            <w:vAlign w:val="center"/>
          </w:tcPr>
          <w:p w14:paraId="71C696D2"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test the reliability of the chest belt which integrated measurements for heart rate, skin temperature and EDA, and to evaluate its appearance and comfortability.</w:t>
            </w:r>
          </w:p>
        </w:tc>
        <w:tc>
          <w:tcPr>
            <w:tcW w:w="3541" w:type="dxa"/>
            <w:tcBorders>
              <w:top w:val="single" w:sz="4" w:space="0" w:color="auto"/>
              <w:left w:val="nil"/>
              <w:bottom w:val="single" w:sz="4" w:space="0" w:color="auto"/>
              <w:right w:val="nil"/>
            </w:tcBorders>
            <w:vAlign w:val="center"/>
          </w:tcPr>
          <w:p w14:paraId="6A94EF1B"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Quantitative non-randomized experimental study with six community-dwelling older adults in the laboratory. During a 40-minute experiment, participants took four sets of STROOP tests while being monitored by the device and conventional instruments. The appearance and comfort of the device were evaluated by the participants. </w:t>
            </w:r>
          </w:p>
        </w:tc>
        <w:tc>
          <w:tcPr>
            <w:tcW w:w="3261" w:type="dxa"/>
            <w:tcBorders>
              <w:top w:val="single" w:sz="4" w:space="0" w:color="auto"/>
              <w:left w:val="nil"/>
              <w:bottom w:val="single" w:sz="4" w:space="0" w:color="auto"/>
            </w:tcBorders>
            <w:vAlign w:val="center"/>
          </w:tcPr>
          <w:p w14:paraId="6EA5D737"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The appearance of the device was rated 2.7 out of 3, and the comfortability was rated 2.8 out of 3.</w:t>
            </w:r>
          </w:p>
        </w:tc>
      </w:tr>
      <w:tr w:rsidR="00F904EB" w:rsidRPr="00523AB6" w14:paraId="4F10EBF2" w14:textId="77777777" w:rsidTr="007E42ED">
        <w:tblPrEx>
          <w:tblBorders>
            <w:insideH w:val="single" w:sz="4" w:space="0" w:color="auto"/>
            <w:insideV w:val="single" w:sz="4" w:space="0" w:color="auto"/>
          </w:tblBorders>
        </w:tblPrEx>
        <w:trPr>
          <w:trHeight w:val="903"/>
        </w:trPr>
        <w:tc>
          <w:tcPr>
            <w:tcW w:w="993" w:type="dxa"/>
            <w:tcBorders>
              <w:top w:val="single" w:sz="4" w:space="0" w:color="auto"/>
              <w:bottom w:val="single" w:sz="4" w:space="0" w:color="auto"/>
              <w:right w:val="nil"/>
            </w:tcBorders>
            <w:noWrap/>
            <w:vAlign w:val="center"/>
          </w:tcPr>
          <w:p w14:paraId="5157D8C0" w14:textId="77777777" w:rsidR="00F904EB" w:rsidRPr="00523AB6" w:rsidRDefault="00F904EB" w:rsidP="007E42ED">
            <w:pPr>
              <w:spacing w:after="0" w:line="240" w:lineRule="auto"/>
              <w:rPr>
                <w:rFonts w:ascii="Calibri" w:eastAsia="Times New Roman" w:hAnsi="Calibri" w:cs="Calibri"/>
              </w:rPr>
            </w:pPr>
            <w:r w:rsidRPr="00523AB6">
              <w:rPr>
                <w:rFonts w:ascii="Calibri" w:eastAsia="Times New Roman" w:hAnsi="Calibri" w:cs="Calibri"/>
              </w:rPr>
              <w:t>Miranda</w:t>
            </w:r>
          </w:p>
        </w:tc>
        <w:tc>
          <w:tcPr>
            <w:tcW w:w="708" w:type="dxa"/>
            <w:tcBorders>
              <w:top w:val="single" w:sz="4" w:space="0" w:color="auto"/>
              <w:left w:val="nil"/>
              <w:bottom w:val="single" w:sz="4" w:space="0" w:color="auto"/>
              <w:right w:val="nil"/>
            </w:tcBorders>
            <w:noWrap/>
            <w:vAlign w:val="center"/>
          </w:tcPr>
          <w:p w14:paraId="3223196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2016</w:t>
            </w:r>
          </w:p>
        </w:tc>
        <w:tc>
          <w:tcPr>
            <w:tcW w:w="993" w:type="dxa"/>
            <w:gridSpan w:val="2"/>
            <w:tcBorders>
              <w:top w:val="single" w:sz="4" w:space="0" w:color="auto"/>
              <w:left w:val="nil"/>
              <w:bottom w:val="single" w:sz="4" w:space="0" w:color="auto"/>
              <w:right w:val="nil"/>
            </w:tcBorders>
            <w:noWrap/>
            <w:vAlign w:val="center"/>
          </w:tcPr>
          <w:p w14:paraId="0791CA6D"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USA</w:t>
            </w:r>
          </w:p>
        </w:tc>
        <w:tc>
          <w:tcPr>
            <w:tcW w:w="1275" w:type="dxa"/>
            <w:tcBorders>
              <w:top w:val="single" w:sz="4" w:space="0" w:color="auto"/>
              <w:left w:val="nil"/>
              <w:bottom w:val="single" w:sz="4" w:space="0" w:color="auto"/>
              <w:right w:val="nil"/>
            </w:tcBorders>
            <w:vAlign w:val="center"/>
          </w:tcPr>
          <w:p w14:paraId="7F0F7ACE"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Heart rate: Hxm (Zephyr); EDA: Empatica E3; EEG: Muse band</w:t>
            </w:r>
          </w:p>
        </w:tc>
        <w:tc>
          <w:tcPr>
            <w:tcW w:w="1134" w:type="dxa"/>
            <w:tcBorders>
              <w:top w:val="single" w:sz="4" w:space="0" w:color="auto"/>
              <w:left w:val="nil"/>
              <w:bottom w:val="single" w:sz="4" w:space="0" w:color="auto"/>
              <w:right w:val="nil"/>
            </w:tcBorders>
            <w:vAlign w:val="center"/>
          </w:tcPr>
          <w:p w14:paraId="0FE72E6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Anxiety</w:t>
            </w:r>
          </w:p>
        </w:tc>
        <w:tc>
          <w:tcPr>
            <w:tcW w:w="1985" w:type="dxa"/>
            <w:tcBorders>
              <w:top w:val="single" w:sz="4" w:space="0" w:color="auto"/>
              <w:left w:val="nil"/>
              <w:bottom w:val="single" w:sz="4" w:space="0" w:color="auto"/>
              <w:right w:val="nil"/>
            </w:tcBorders>
            <w:vAlign w:val="center"/>
          </w:tcPr>
          <w:p w14:paraId="32EC82D5"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describe an experiment eliciting anxiety in informal caregivers for people with dementia, while measuring heart rate, EDA, and EEG.</w:t>
            </w:r>
          </w:p>
        </w:tc>
        <w:tc>
          <w:tcPr>
            <w:tcW w:w="3541" w:type="dxa"/>
            <w:tcBorders>
              <w:top w:val="single" w:sz="4" w:space="0" w:color="auto"/>
              <w:left w:val="nil"/>
              <w:bottom w:val="single" w:sz="4" w:space="0" w:color="auto"/>
              <w:right w:val="nil"/>
            </w:tcBorders>
            <w:vAlign w:val="center"/>
          </w:tcPr>
          <w:p w14:paraId="3663F58E"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non-randomized experimental study with 10 healthy adults in the laboratory. During 30-min sessions, participants had a relaxation stage and performed therapy with a simulated person with dementia. The level of anxiety was recorded by the participants and researchers. Models were developed using the physiological parameters to predict the presence of anxiety. The feasibility was evaluated by the authors.</w:t>
            </w:r>
          </w:p>
        </w:tc>
        <w:tc>
          <w:tcPr>
            <w:tcW w:w="3261" w:type="dxa"/>
            <w:tcBorders>
              <w:top w:val="single" w:sz="4" w:space="0" w:color="auto"/>
              <w:left w:val="nil"/>
              <w:bottom w:val="single" w:sz="4" w:space="0" w:color="auto"/>
            </w:tcBorders>
            <w:vAlign w:val="center"/>
          </w:tcPr>
          <w:p w14:paraId="33D009B3"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When participants moved during the sessions, EEG signal was poor. No reliability information was reported about the other sensors.</w:t>
            </w:r>
          </w:p>
        </w:tc>
      </w:tr>
      <w:tr w:rsidR="00F904EB" w:rsidRPr="00E251B4" w14:paraId="2F9AACD1" w14:textId="77777777" w:rsidTr="007E42ED">
        <w:trPr>
          <w:trHeight w:val="499"/>
        </w:trPr>
        <w:tc>
          <w:tcPr>
            <w:tcW w:w="13890" w:type="dxa"/>
            <w:gridSpan w:val="9"/>
            <w:tcBorders>
              <w:top w:val="single" w:sz="4" w:space="0" w:color="auto"/>
              <w:bottom w:val="single" w:sz="4" w:space="0" w:color="auto"/>
            </w:tcBorders>
            <w:noWrap/>
            <w:vAlign w:val="center"/>
          </w:tcPr>
          <w:p w14:paraId="57388D89" w14:textId="77777777" w:rsidR="00F904EB" w:rsidRPr="00523AB6" w:rsidRDefault="00F904EB" w:rsidP="007E42ED">
            <w:pPr>
              <w:spacing w:after="0"/>
              <w:rPr>
                <w:rFonts w:ascii="Calibri" w:hAnsi="Calibri" w:cs="Calibri"/>
                <w:lang w:val="en-GB"/>
              </w:rPr>
            </w:pPr>
            <w:r w:rsidRPr="00523AB6">
              <w:rPr>
                <w:b/>
                <w:bCs/>
                <w:lang w:val="en-GB"/>
              </w:rPr>
              <w:t>Non-contact monitoring systems – pressure mats</w:t>
            </w:r>
          </w:p>
        </w:tc>
      </w:tr>
      <w:tr w:rsidR="00F904EB" w:rsidRPr="00E251B4" w14:paraId="66C6A4A5" w14:textId="77777777" w:rsidTr="007E42ED">
        <w:trPr>
          <w:trHeight w:val="903"/>
        </w:trPr>
        <w:tc>
          <w:tcPr>
            <w:tcW w:w="993" w:type="dxa"/>
            <w:tcBorders>
              <w:top w:val="single" w:sz="4" w:space="0" w:color="auto"/>
              <w:bottom w:val="single" w:sz="4" w:space="0" w:color="auto"/>
            </w:tcBorders>
            <w:noWrap/>
            <w:vAlign w:val="center"/>
          </w:tcPr>
          <w:p w14:paraId="5BE4A4E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Sakai</w:t>
            </w:r>
          </w:p>
        </w:tc>
        <w:tc>
          <w:tcPr>
            <w:tcW w:w="708" w:type="dxa"/>
            <w:tcBorders>
              <w:top w:val="single" w:sz="4" w:space="0" w:color="auto"/>
              <w:bottom w:val="single" w:sz="4" w:space="0" w:color="auto"/>
            </w:tcBorders>
            <w:noWrap/>
            <w:vAlign w:val="center"/>
          </w:tcPr>
          <w:p w14:paraId="6D97A0C9"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2009</w:t>
            </w:r>
          </w:p>
        </w:tc>
        <w:tc>
          <w:tcPr>
            <w:tcW w:w="993" w:type="dxa"/>
            <w:gridSpan w:val="2"/>
            <w:tcBorders>
              <w:top w:val="single" w:sz="4" w:space="0" w:color="auto"/>
              <w:bottom w:val="single" w:sz="4" w:space="0" w:color="auto"/>
            </w:tcBorders>
            <w:noWrap/>
            <w:vAlign w:val="center"/>
          </w:tcPr>
          <w:p w14:paraId="6D0041E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Japan</w:t>
            </w:r>
          </w:p>
        </w:tc>
        <w:tc>
          <w:tcPr>
            <w:tcW w:w="1275" w:type="dxa"/>
            <w:tcBorders>
              <w:top w:val="single" w:sz="4" w:space="0" w:color="auto"/>
              <w:bottom w:val="single" w:sz="4" w:space="0" w:color="auto"/>
            </w:tcBorders>
            <w:vAlign w:val="center"/>
          </w:tcPr>
          <w:p w14:paraId="3DEDBACC"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KINOTEX sensor (NITTA Corp. Osaka, Japan)</w:t>
            </w:r>
          </w:p>
        </w:tc>
        <w:tc>
          <w:tcPr>
            <w:tcW w:w="1134" w:type="dxa"/>
            <w:tcBorders>
              <w:top w:val="single" w:sz="4" w:space="0" w:color="auto"/>
              <w:bottom w:val="single" w:sz="4" w:space="0" w:color="auto"/>
            </w:tcBorders>
            <w:vAlign w:val="center"/>
          </w:tcPr>
          <w:p w14:paraId="642409A3"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Risk of pressure ulcers</w:t>
            </w:r>
          </w:p>
        </w:tc>
        <w:tc>
          <w:tcPr>
            <w:tcW w:w="1985" w:type="dxa"/>
            <w:tcBorders>
              <w:top w:val="single" w:sz="4" w:space="0" w:color="auto"/>
              <w:bottom w:val="single" w:sz="4" w:space="0" w:color="auto"/>
            </w:tcBorders>
            <w:vAlign w:val="center"/>
          </w:tcPr>
          <w:p w14:paraId="559290C6"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To examine the feasibility of using continuous interface pressure monitoring to </w:t>
            </w:r>
            <w:r w:rsidRPr="00523AB6">
              <w:rPr>
                <w:rFonts w:ascii="Calibri" w:hAnsi="Calibri" w:cs="Calibri"/>
                <w:lang w:val="en-GB"/>
              </w:rPr>
              <w:lastRenderedPageBreak/>
              <w:t>prevent pressure ulcers in the ICU.</w:t>
            </w:r>
          </w:p>
        </w:tc>
        <w:tc>
          <w:tcPr>
            <w:tcW w:w="3541" w:type="dxa"/>
            <w:tcBorders>
              <w:top w:val="single" w:sz="4" w:space="0" w:color="auto"/>
              <w:bottom w:val="single" w:sz="4" w:space="0" w:color="auto"/>
            </w:tcBorders>
            <w:vAlign w:val="center"/>
          </w:tcPr>
          <w:p w14:paraId="72C8DE9C" w14:textId="77777777" w:rsidR="00F904EB" w:rsidRPr="00523AB6" w:rsidRDefault="00F904EB" w:rsidP="007E42ED">
            <w:pPr>
              <w:spacing w:after="0"/>
              <w:rPr>
                <w:rFonts w:ascii="Calibri" w:hAnsi="Calibri" w:cs="Calibri"/>
                <w:lang w:val="en-GB"/>
              </w:rPr>
            </w:pPr>
            <w:r w:rsidRPr="00523AB6">
              <w:rPr>
                <w:rFonts w:ascii="Calibri" w:hAnsi="Calibri" w:cs="Calibri"/>
              </w:rPr>
              <w:lastRenderedPageBreak/>
              <w:t xml:space="preserve">Quantitative cross-sectional study with 30 postoperative patients in the ICU. They were monitored </w:t>
            </w:r>
            <w:r w:rsidRPr="00523AB6">
              <w:rPr>
                <w:rFonts w:ascii="Calibri" w:hAnsi="Calibri" w:cs="Calibri"/>
                <w:lang w:val="en-GB"/>
              </w:rPr>
              <w:t>for up to 48 hours.</w:t>
            </w:r>
          </w:p>
        </w:tc>
        <w:tc>
          <w:tcPr>
            <w:tcW w:w="3261" w:type="dxa"/>
            <w:tcBorders>
              <w:top w:val="single" w:sz="4" w:space="0" w:color="auto"/>
              <w:bottom w:val="single" w:sz="4" w:space="0" w:color="auto"/>
            </w:tcBorders>
            <w:vAlign w:val="center"/>
          </w:tcPr>
          <w:p w14:paraId="1F10E8FB"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Continuous monitoring of the intensity and duration of whole-body interface pressure using the KINOTEX sensor is feasible in intensive care patients.</w:t>
            </w:r>
          </w:p>
        </w:tc>
      </w:tr>
      <w:tr w:rsidR="00F904EB" w:rsidRPr="00E251B4" w14:paraId="45905D12" w14:textId="77777777" w:rsidTr="007E42ED">
        <w:tblPrEx>
          <w:tblBorders>
            <w:insideH w:val="single" w:sz="4" w:space="0" w:color="auto"/>
            <w:insideV w:val="single" w:sz="4" w:space="0" w:color="auto"/>
          </w:tblBorders>
        </w:tblPrEx>
        <w:trPr>
          <w:trHeight w:val="511"/>
        </w:trPr>
        <w:tc>
          <w:tcPr>
            <w:tcW w:w="13890" w:type="dxa"/>
            <w:gridSpan w:val="9"/>
            <w:tcBorders>
              <w:top w:val="single" w:sz="4" w:space="0" w:color="auto"/>
              <w:bottom w:val="single" w:sz="4" w:space="0" w:color="auto"/>
            </w:tcBorders>
            <w:noWrap/>
            <w:vAlign w:val="center"/>
          </w:tcPr>
          <w:p w14:paraId="6DA7485F" w14:textId="77777777" w:rsidR="00F904EB" w:rsidRPr="00523AB6" w:rsidRDefault="00F904EB" w:rsidP="007E42ED">
            <w:pPr>
              <w:spacing w:after="0"/>
              <w:rPr>
                <w:b/>
                <w:bCs/>
                <w:lang w:val="en-GB"/>
              </w:rPr>
            </w:pPr>
            <w:r w:rsidRPr="00523AB6">
              <w:rPr>
                <w:b/>
                <w:bCs/>
                <w:lang w:val="en-GB"/>
              </w:rPr>
              <w:t>Non-contact monitoring systems – multiple sensors</w:t>
            </w:r>
          </w:p>
        </w:tc>
      </w:tr>
      <w:tr w:rsidR="00F904EB" w:rsidRPr="00E251B4" w14:paraId="1F173C5A" w14:textId="77777777" w:rsidTr="007E42ED">
        <w:trPr>
          <w:trHeight w:val="903"/>
        </w:trPr>
        <w:tc>
          <w:tcPr>
            <w:tcW w:w="993" w:type="dxa"/>
            <w:tcBorders>
              <w:top w:val="single" w:sz="4" w:space="0" w:color="auto"/>
              <w:bottom w:val="single" w:sz="18" w:space="0" w:color="auto"/>
            </w:tcBorders>
            <w:noWrap/>
            <w:vAlign w:val="center"/>
          </w:tcPr>
          <w:p w14:paraId="4E4F5F6B"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Kroll</w:t>
            </w:r>
          </w:p>
        </w:tc>
        <w:tc>
          <w:tcPr>
            <w:tcW w:w="708" w:type="dxa"/>
            <w:tcBorders>
              <w:top w:val="single" w:sz="4" w:space="0" w:color="auto"/>
              <w:bottom w:val="single" w:sz="18" w:space="0" w:color="auto"/>
            </w:tcBorders>
            <w:noWrap/>
            <w:vAlign w:val="center"/>
          </w:tcPr>
          <w:p w14:paraId="560C6A94"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2020</w:t>
            </w:r>
          </w:p>
        </w:tc>
        <w:tc>
          <w:tcPr>
            <w:tcW w:w="993" w:type="dxa"/>
            <w:gridSpan w:val="2"/>
            <w:tcBorders>
              <w:top w:val="single" w:sz="4" w:space="0" w:color="auto"/>
              <w:bottom w:val="single" w:sz="18" w:space="0" w:color="auto"/>
            </w:tcBorders>
            <w:noWrap/>
            <w:vAlign w:val="center"/>
          </w:tcPr>
          <w:p w14:paraId="3561A062"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Germany</w:t>
            </w:r>
          </w:p>
        </w:tc>
        <w:tc>
          <w:tcPr>
            <w:tcW w:w="1275" w:type="dxa"/>
            <w:tcBorders>
              <w:top w:val="single" w:sz="4" w:space="0" w:color="auto"/>
              <w:bottom w:val="single" w:sz="18" w:space="0" w:color="auto"/>
            </w:tcBorders>
            <w:vAlign w:val="center"/>
          </w:tcPr>
          <w:p w14:paraId="7D52A9A9"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Camera: Mini-Webcam (Conrad Electronics SE, Hirschau, Germany);</w:t>
            </w:r>
          </w:p>
          <w:p w14:paraId="6743C555"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Acoustic sensor: ME32 (Olympus Imaging Europa GmbH, Hamburg, Germany)</w:t>
            </w:r>
          </w:p>
          <w:p w14:paraId="2DF64158"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Pressure mat: SafeBed IP system (Emfit® Ltd., Vaajakoski, Finland)</w:t>
            </w:r>
          </w:p>
        </w:tc>
        <w:tc>
          <w:tcPr>
            <w:tcW w:w="1134" w:type="dxa"/>
            <w:tcBorders>
              <w:top w:val="single" w:sz="4" w:space="0" w:color="auto"/>
              <w:bottom w:val="single" w:sz="18" w:space="0" w:color="auto"/>
            </w:tcBorders>
            <w:vAlign w:val="center"/>
          </w:tcPr>
          <w:p w14:paraId="5B35A349" w14:textId="77777777" w:rsidR="00F904EB" w:rsidRPr="00523AB6"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lang w:val="en-GB"/>
              </w:rPr>
              <w:t>Agitation</w:t>
            </w:r>
          </w:p>
        </w:tc>
        <w:tc>
          <w:tcPr>
            <w:tcW w:w="1985" w:type="dxa"/>
            <w:tcBorders>
              <w:top w:val="single" w:sz="4" w:space="0" w:color="auto"/>
              <w:bottom w:val="single" w:sz="18" w:space="0" w:color="auto"/>
            </w:tcBorders>
            <w:vAlign w:val="center"/>
          </w:tcPr>
          <w:p w14:paraId="33C60AF3"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To validate the non-contact monitoring system and a tent-like shelter for people with dementia.</w:t>
            </w:r>
          </w:p>
        </w:tc>
        <w:tc>
          <w:tcPr>
            <w:tcW w:w="3541" w:type="dxa"/>
            <w:tcBorders>
              <w:top w:val="single" w:sz="4" w:space="0" w:color="auto"/>
              <w:bottom w:val="single" w:sz="18" w:space="0" w:color="auto"/>
            </w:tcBorders>
            <w:vAlign w:val="center"/>
          </w:tcPr>
          <w:p w14:paraId="4F9EE78A"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Quantitative cross-sectional study with six healthy adult volunteers in the laboratory and 19 patients, most of whom had dementia, in the emergency department and a</w:t>
            </w:r>
            <w:r w:rsidRPr="00523AB6">
              <w:t xml:space="preserve"> </w:t>
            </w:r>
            <w:r w:rsidRPr="00523AB6">
              <w:rPr>
                <w:rFonts w:ascii="Calibri" w:hAnsi="Calibri" w:cs="Calibri"/>
                <w:lang w:val="en-GB"/>
              </w:rPr>
              <w:t>geriatric-gerontopsychiatric ward. Participants were monitored for two hours, the first hour without the tent-like shelter, the second hour with it.</w:t>
            </w:r>
          </w:p>
        </w:tc>
        <w:tc>
          <w:tcPr>
            <w:tcW w:w="3261" w:type="dxa"/>
            <w:tcBorders>
              <w:top w:val="single" w:sz="4" w:space="0" w:color="auto"/>
              <w:bottom w:val="single" w:sz="18" w:space="0" w:color="auto"/>
            </w:tcBorders>
            <w:vAlign w:val="center"/>
          </w:tcPr>
          <w:p w14:paraId="1E257C1E" w14:textId="77777777" w:rsidR="00F904EB" w:rsidRPr="00523AB6" w:rsidRDefault="00F904EB" w:rsidP="007E42ED">
            <w:pPr>
              <w:spacing w:after="0"/>
              <w:rPr>
                <w:rFonts w:ascii="Calibri" w:hAnsi="Calibri" w:cs="Calibri"/>
                <w:lang w:val="en-GB"/>
              </w:rPr>
            </w:pPr>
            <w:r w:rsidRPr="00523AB6">
              <w:rPr>
                <w:rFonts w:ascii="Calibri" w:hAnsi="Calibri" w:cs="Calibri"/>
                <w:lang w:val="en-GB"/>
              </w:rPr>
              <w:t xml:space="preserve">There were little perturbations during the measurements in the emergency department and geriatric-gerontopsychiatric ward. One out of 19 measurements did not take place because of non-cooperation of the patient. </w:t>
            </w:r>
          </w:p>
        </w:tc>
      </w:tr>
      <w:tr w:rsidR="00F904EB" w:rsidRPr="00E251B4" w14:paraId="2570241D" w14:textId="77777777" w:rsidTr="007E42ED">
        <w:trPr>
          <w:trHeight w:val="903"/>
        </w:trPr>
        <w:tc>
          <w:tcPr>
            <w:tcW w:w="13890" w:type="dxa"/>
            <w:gridSpan w:val="9"/>
            <w:tcBorders>
              <w:top w:val="single" w:sz="18" w:space="0" w:color="auto"/>
            </w:tcBorders>
            <w:noWrap/>
            <w:vAlign w:val="center"/>
          </w:tcPr>
          <w:p w14:paraId="59731E0A" w14:textId="77777777" w:rsidR="00F904EB" w:rsidRDefault="00F904EB" w:rsidP="007E42ED">
            <w:pPr>
              <w:spacing w:after="0" w:line="240" w:lineRule="auto"/>
              <w:rPr>
                <w:rFonts w:ascii="Calibri" w:eastAsia="Times New Roman" w:hAnsi="Calibri" w:cs="Calibri"/>
                <w:lang w:val="en-GB"/>
              </w:rPr>
            </w:pPr>
            <w:r w:rsidRPr="00523AB6">
              <w:rPr>
                <w:rFonts w:ascii="Calibri" w:eastAsia="Times New Roman" w:hAnsi="Calibri" w:cs="Calibri"/>
                <w:i/>
                <w:iCs/>
                <w:lang w:val="en-GB"/>
              </w:rPr>
              <w:t>Notes:</w:t>
            </w:r>
            <w:r w:rsidRPr="00523AB6">
              <w:rPr>
                <w:rFonts w:ascii="Calibri" w:eastAsia="Times New Roman" w:hAnsi="Calibri" w:cs="Calibri"/>
                <w:lang w:val="en-GB"/>
              </w:rPr>
              <w:t xml:space="preserve">  Adults = mean age between 18 and 65; Older adults = mean age over 65; ICU = intensive care unit.</w:t>
            </w:r>
          </w:p>
          <w:p w14:paraId="30543B34" w14:textId="77777777" w:rsidR="00F904EB" w:rsidRPr="00523AB6" w:rsidRDefault="00F904EB" w:rsidP="007E42ED">
            <w:pPr>
              <w:spacing w:after="0" w:line="240" w:lineRule="auto"/>
              <w:rPr>
                <w:rFonts w:ascii="Calibri" w:eastAsia="Times New Roman" w:hAnsi="Calibri" w:cs="Calibri"/>
                <w:lang w:val="en-GB"/>
              </w:rPr>
            </w:pPr>
            <w:r>
              <w:rPr>
                <w:rFonts w:ascii="Calibri" w:eastAsia="Times New Roman" w:hAnsi="Calibri" w:cs="Calibri"/>
                <w:lang w:val="en-GB"/>
              </w:rPr>
              <w:t xml:space="preserve">References can be found in Supplement IV. </w:t>
            </w:r>
          </w:p>
          <w:p w14:paraId="2A6FFE01" w14:textId="77777777" w:rsidR="00F904EB" w:rsidRPr="00523AB6" w:rsidRDefault="00F904EB" w:rsidP="007E42ED">
            <w:pPr>
              <w:spacing w:after="0" w:line="240" w:lineRule="auto"/>
              <w:rPr>
                <w:rFonts w:ascii="Calibri" w:hAnsi="Calibri" w:cs="Calibri"/>
                <w:lang w:val="en-GB"/>
              </w:rPr>
            </w:pPr>
            <w:r w:rsidRPr="00523AB6">
              <w:rPr>
                <w:rFonts w:ascii="Calibri" w:eastAsia="Times New Roman" w:hAnsi="Calibri" w:cs="Calibri"/>
                <w:lang w:val="en-GB"/>
              </w:rPr>
              <w:t>*The setting was not reported.</w:t>
            </w:r>
          </w:p>
        </w:tc>
      </w:tr>
    </w:tbl>
    <w:p w14:paraId="78F0405E" w14:textId="77777777" w:rsidR="00F904EB" w:rsidRDefault="00F904EB" w:rsidP="00F904EB"/>
    <w:sectPr w:rsidR="00F904EB" w:rsidSect="00F904E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40"/>
    <w:rsid w:val="004E19B6"/>
    <w:rsid w:val="005200A0"/>
    <w:rsid w:val="00621F40"/>
    <w:rsid w:val="007D2CA4"/>
    <w:rsid w:val="00AE6D59"/>
    <w:rsid w:val="00F904E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969A5"/>
  <w15:chartTrackingRefBased/>
  <w15:docId w15:val="{2DA30042-D094-4E1F-86D8-0657E6E24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904E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3663</Words>
  <Characters>20150</Characters>
  <Application>Microsoft Office Word</Application>
  <DocSecurity>0</DocSecurity>
  <Lines>167</Lines>
  <Paragraphs>47</Paragraphs>
  <ScaleCrop>false</ScaleCrop>
  <Company/>
  <LinksUpToDate>false</LinksUpToDate>
  <CharactersWithSpaces>23766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J. (PHEG)</dc:creator>
  <cp:keywords/>
  <dc:description/>
  <cp:lastModifiedBy>Xu, J. (PHEG)</cp:lastModifiedBy>
  <cp:revision>3</cp:revision>
  <dcterms:created xsi:type="dcterms:W3CDTF">2023-12-01T09:59:00Z</dcterms:created>
  <dcterms:modified xsi:type="dcterms:W3CDTF">2023-12-01T10:05:00Z</dcterms:modified>
</cp:coreProperties>
</file>