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E5C07" w14:textId="18F770A8" w:rsidR="005A499B" w:rsidRPr="001E6273" w:rsidRDefault="005A499B" w:rsidP="005A499B">
      <w:pPr>
        <w:rPr>
          <w:b/>
          <w:bCs/>
          <w:lang w:val="en-US"/>
        </w:rPr>
      </w:pPr>
      <w:r>
        <w:rPr>
          <w:b/>
          <w:bCs/>
          <w:lang w:val="en-US"/>
        </w:rPr>
        <w:t>Supplement</w:t>
      </w:r>
      <w:r w:rsidRPr="00523AB6">
        <w:rPr>
          <w:b/>
          <w:bCs/>
          <w:lang w:val="en-US"/>
        </w:rPr>
        <w:t>s</w:t>
      </w:r>
      <w:r>
        <w:rPr>
          <w:b/>
          <w:bCs/>
          <w:lang w:val="en-US"/>
        </w:rPr>
        <w:t xml:space="preserve"> I </w:t>
      </w:r>
      <w:r w:rsidR="001E6273" w:rsidRPr="001E6273">
        <w:rPr>
          <w:b/>
          <w:bCs/>
          <w:lang w:val="en-US"/>
        </w:rPr>
        <w:t xml:space="preserve">of “Noninvasive monitoring technologies to identify discomfort and distressing symptoms in persons with limited communication at the end of life: A scoping review”    </w:t>
      </w:r>
    </w:p>
    <w:p w14:paraId="0B1EBB6E" w14:textId="64E8E151" w:rsidR="005A499B" w:rsidRPr="00597A8E" w:rsidRDefault="005A499B" w:rsidP="005A499B">
      <w:pPr>
        <w:rPr>
          <w:b/>
          <w:bCs/>
          <w:lang w:val="en-GB"/>
        </w:rPr>
      </w:pPr>
    </w:p>
    <w:tbl>
      <w:tblPr>
        <w:tblpPr w:leftFromText="141" w:rightFromText="141" w:bottomFromText="160" w:vertAnchor="text" w:horzAnchor="margin" w:tblpY="35"/>
        <w:tblW w:w="13890"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708"/>
        <w:gridCol w:w="819"/>
        <w:gridCol w:w="174"/>
        <w:gridCol w:w="1275"/>
        <w:gridCol w:w="1134"/>
        <w:gridCol w:w="1985"/>
        <w:gridCol w:w="3541"/>
        <w:gridCol w:w="3261"/>
      </w:tblGrid>
      <w:tr w:rsidR="005A499B" w:rsidRPr="001E6273" w14:paraId="4A7E38F3" w14:textId="77777777" w:rsidTr="007E42ED">
        <w:trPr>
          <w:trHeight w:val="699"/>
        </w:trPr>
        <w:tc>
          <w:tcPr>
            <w:tcW w:w="13890" w:type="dxa"/>
            <w:gridSpan w:val="9"/>
            <w:tcBorders>
              <w:top w:val="nil"/>
              <w:bottom w:val="single" w:sz="18" w:space="0" w:color="auto"/>
            </w:tcBorders>
            <w:noWrap/>
            <w:vAlign w:val="center"/>
            <w:hideMark/>
          </w:tcPr>
          <w:p w14:paraId="3509161F" w14:textId="77777777" w:rsidR="005A499B" w:rsidRPr="00523AB6" w:rsidRDefault="005A499B" w:rsidP="007E42ED">
            <w:pPr>
              <w:spacing w:after="0"/>
              <w:rPr>
                <w:lang w:val="en-GB"/>
              </w:rPr>
            </w:pPr>
            <w:r>
              <w:rPr>
                <w:lang w:val="en-GB"/>
              </w:rPr>
              <w:t>e</w:t>
            </w:r>
            <w:r w:rsidRPr="00523AB6">
              <w:rPr>
                <w:lang w:val="en-GB"/>
              </w:rPr>
              <w:t xml:space="preserve">Table </w:t>
            </w:r>
            <w:r>
              <w:rPr>
                <w:lang w:val="en-GB"/>
              </w:rPr>
              <w:t>1</w:t>
            </w:r>
          </w:p>
          <w:p w14:paraId="38A26EB7" w14:textId="77777777" w:rsidR="005A499B" w:rsidRPr="00C80028" w:rsidRDefault="005A499B" w:rsidP="007E42ED">
            <w:pPr>
              <w:spacing w:after="0"/>
              <w:rPr>
                <w:rFonts w:ascii="Calibri" w:hAnsi="Calibri" w:cs="Calibri"/>
                <w:i/>
                <w:iCs/>
                <w:lang w:val="en-US"/>
              </w:rPr>
            </w:pPr>
            <w:r w:rsidRPr="00523AB6">
              <w:rPr>
                <w:i/>
                <w:iCs/>
                <w:lang w:val="en-GB"/>
              </w:rPr>
              <w:t xml:space="preserve">Manuscripts reporting </w:t>
            </w:r>
            <w:r>
              <w:rPr>
                <w:i/>
                <w:iCs/>
                <w:lang w:val="en-GB"/>
              </w:rPr>
              <w:t>clinimetrics</w:t>
            </w:r>
            <w:r w:rsidRPr="00523AB6">
              <w:rPr>
                <w:i/>
                <w:iCs/>
                <w:lang w:val="en-GB"/>
              </w:rPr>
              <w:t xml:space="preserve"> of the monitoring technologies</w:t>
            </w:r>
            <w:r>
              <w:rPr>
                <w:i/>
                <w:iCs/>
                <w:lang w:val="en-GB"/>
              </w:rPr>
              <w:t xml:space="preserve"> to detect distress and discomfort</w:t>
            </w:r>
          </w:p>
        </w:tc>
      </w:tr>
      <w:tr w:rsidR="005A499B" w:rsidRPr="001E6273" w14:paraId="4E41D786" w14:textId="77777777" w:rsidTr="007E42ED">
        <w:trPr>
          <w:trHeight w:val="903"/>
        </w:trPr>
        <w:tc>
          <w:tcPr>
            <w:tcW w:w="993" w:type="dxa"/>
            <w:tcBorders>
              <w:top w:val="single" w:sz="4" w:space="0" w:color="auto"/>
              <w:bottom w:val="single" w:sz="4" w:space="0" w:color="auto"/>
              <w:right w:val="nil"/>
            </w:tcBorders>
            <w:noWrap/>
            <w:vAlign w:val="center"/>
            <w:hideMark/>
          </w:tcPr>
          <w:p w14:paraId="675B8D47"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First author</w:t>
            </w:r>
          </w:p>
        </w:tc>
        <w:tc>
          <w:tcPr>
            <w:tcW w:w="708" w:type="dxa"/>
            <w:tcBorders>
              <w:top w:val="single" w:sz="4" w:space="0" w:color="auto"/>
              <w:left w:val="nil"/>
              <w:bottom w:val="single" w:sz="4" w:space="0" w:color="auto"/>
              <w:right w:val="nil"/>
            </w:tcBorders>
            <w:noWrap/>
            <w:vAlign w:val="center"/>
            <w:hideMark/>
          </w:tcPr>
          <w:p w14:paraId="3E47D62D"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Year</w:t>
            </w:r>
          </w:p>
        </w:tc>
        <w:tc>
          <w:tcPr>
            <w:tcW w:w="993" w:type="dxa"/>
            <w:gridSpan w:val="2"/>
            <w:tcBorders>
              <w:top w:val="single" w:sz="4" w:space="0" w:color="auto"/>
              <w:left w:val="nil"/>
              <w:bottom w:val="single" w:sz="4" w:space="0" w:color="auto"/>
              <w:right w:val="nil"/>
            </w:tcBorders>
            <w:noWrap/>
            <w:vAlign w:val="center"/>
            <w:hideMark/>
          </w:tcPr>
          <w:p w14:paraId="64F06013"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Country</w:t>
            </w:r>
          </w:p>
        </w:tc>
        <w:tc>
          <w:tcPr>
            <w:tcW w:w="1275" w:type="dxa"/>
            <w:tcBorders>
              <w:top w:val="single" w:sz="4" w:space="0" w:color="auto"/>
              <w:left w:val="nil"/>
              <w:bottom w:val="single" w:sz="4" w:space="0" w:color="auto"/>
              <w:right w:val="nil"/>
            </w:tcBorders>
            <w:vAlign w:val="center"/>
            <w:hideMark/>
          </w:tcPr>
          <w:p w14:paraId="74A2B009"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Monitoring technology (model and brand)</w:t>
            </w:r>
          </w:p>
        </w:tc>
        <w:tc>
          <w:tcPr>
            <w:tcW w:w="1134" w:type="dxa"/>
            <w:tcBorders>
              <w:top w:val="single" w:sz="4" w:space="0" w:color="auto"/>
              <w:left w:val="nil"/>
              <w:bottom w:val="single" w:sz="4" w:space="0" w:color="auto"/>
              <w:right w:val="nil"/>
            </w:tcBorders>
            <w:vAlign w:val="center"/>
            <w:hideMark/>
          </w:tcPr>
          <w:p w14:paraId="20484222"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 xml:space="preserve"> Symptom monitored</w:t>
            </w:r>
          </w:p>
        </w:tc>
        <w:tc>
          <w:tcPr>
            <w:tcW w:w="1985" w:type="dxa"/>
            <w:tcBorders>
              <w:top w:val="single" w:sz="4" w:space="0" w:color="auto"/>
              <w:left w:val="nil"/>
              <w:bottom w:val="single" w:sz="4" w:space="0" w:color="auto"/>
              <w:right w:val="nil"/>
            </w:tcBorders>
            <w:vAlign w:val="center"/>
            <w:hideMark/>
          </w:tcPr>
          <w:p w14:paraId="0F1DC562" w14:textId="77777777" w:rsidR="005A499B" w:rsidRPr="00523AB6" w:rsidRDefault="005A499B" w:rsidP="007E42ED">
            <w:pPr>
              <w:spacing w:after="0"/>
              <w:jc w:val="center"/>
              <w:rPr>
                <w:lang w:val="en-GB"/>
              </w:rPr>
            </w:pPr>
            <w:r w:rsidRPr="00523AB6">
              <w:rPr>
                <w:rFonts w:ascii="Calibri" w:hAnsi="Calibri" w:cs="Calibri"/>
                <w:lang w:val="en-GB"/>
              </w:rPr>
              <w:t>Aim of study</w:t>
            </w:r>
          </w:p>
        </w:tc>
        <w:tc>
          <w:tcPr>
            <w:tcW w:w="3541" w:type="dxa"/>
            <w:tcBorders>
              <w:top w:val="single" w:sz="4" w:space="0" w:color="auto"/>
              <w:left w:val="nil"/>
              <w:bottom w:val="single" w:sz="4" w:space="0" w:color="auto"/>
              <w:right w:val="nil"/>
            </w:tcBorders>
            <w:vAlign w:val="center"/>
            <w:hideMark/>
          </w:tcPr>
          <w:p w14:paraId="0429E878" w14:textId="77777777" w:rsidR="005A499B" w:rsidRPr="00523AB6" w:rsidRDefault="005A499B" w:rsidP="007E42ED">
            <w:pPr>
              <w:spacing w:after="0"/>
              <w:jc w:val="center"/>
              <w:rPr>
                <w:lang w:val="en-US"/>
              </w:rPr>
            </w:pPr>
            <w:r w:rsidRPr="00523AB6">
              <w:rPr>
                <w:rFonts w:ascii="Calibri" w:hAnsi="Calibri" w:cs="Calibri"/>
                <w:lang w:val="en-GB"/>
              </w:rPr>
              <w:t xml:space="preserve">Methods: Study design; Participants (age, disease, </w:t>
            </w:r>
            <w:r w:rsidRPr="00523AB6">
              <w:rPr>
                <w:rFonts w:ascii="Calibri" w:hAnsi="Calibri"/>
                <w:lang w:val="en-GB"/>
              </w:rPr>
              <w:t>setting</w:t>
            </w:r>
            <w:r w:rsidRPr="00523AB6">
              <w:rPr>
                <w:rFonts w:ascii="Calibri" w:hAnsi="Calibri" w:cs="Calibri"/>
                <w:lang w:val="en-GB"/>
              </w:rPr>
              <w:t>); Procedures</w:t>
            </w:r>
          </w:p>
        </w:tc>
        <w:tc>
          <w:tcPr>
            <w:tcW w:w="3261" w:type="dxa"/>
            <w:tcBorders>
              <w:top w:val="single" w:sz="4" w:space="0" w:color="auto"/>
              <w:left w:val="nil"/>
              <w:bottom w:val="single" w:sz="4" w:space="0" w:color="auto"/>
            </w:tcBorders>
            <w:vAlign w:val="center"/>
            <w:hideMark/>
          </w:tcPr>
          <w:p w14:paraId="56C7E8FB" w14:textId="77777777" w:rsidR="005A499B" w:rsidRPr="00523AB6" w:rsidRDefault="005A499B" w:rsidP="007E42ED">
            <w:pPr>
              <w:spacing w:after="0"/>
              <w:jc w:val="center"/>
              <w:rPr>
                <w:lang w:val="en-GB"/>
              </w:rPr>
            </w:pPr>
            <w:r>
              <w:rPr>
                <w:rFonts w:ascii="Calibri" w:hAnsi="Calibri" w:cs="Calibri"/>
                <w:lang w:val="en-GB"/>
              </w:rPr>
              <w:t>Clinimetrics</w:t>
            </w:r>
            <w:r w:rsidRPr="00523AB6">
              <w:rPr>
                <w:rFonts w:ascii="Calibri" w:hAnsi="Calibri" w:cs="Calibri"/>
                <w:lang w:val="en-GB"/>
              </w:rPr>
              <w:t xml:space="preserve"> of the technology (validity, sensitivity, reliability, specificity, responsiveness)</w:t>
            </w:r>
          </w:p>
        </w:tc>
      </w:tr>
      <w:tr w:rsidR="005A499B" w:rsidRPr="00523AB6" w14:paraId="50E638D5" w14:textId="77777777" w:rsidTr="007E42ED">
        <w:trPr>
          <w:trHeight w:val="511"/>
        </w:trPr>
        <w:tc>
          <w:tcPr>
            <w:tcW w:w="13890" w:type="dxa"/>
            <w:gridSpan w:val="9"/>
            <w:tcBorders>
              <w:top w:val="single" w:sz="4" w:space="0" w:color="auto"/>
              <w:bottom w:val="single" w:sz="4" w:space="0" w:color="auto"/>
            </w:tcBorders>
            <w:noWrap/>
            <w:vAlign w:val="center"/>
          </w:tcPr>
          <w:p w14:paraId="4EF61090" w14:textId="77777777" w:rsidR="005A499B" w:rsidRPr="00523AB6" w:rsidRDefault="005A499B" w:rsidP="007E42ED">
            <w:pPr>
              <w:spacing w:after="0"/>
              <w:rPr>
                <w:rFonts w:ascii="Calibri" w:hAnsi="Calibri" w:cs="Calibri"/>
                <w:lang w:val="en-GB"/>
              </w:rPr>
            </w:pPr>
            <w:r w:rsidRPr="00523AB6">
              <w:rPr>
                <w:b/>
                <w:bCs/>
                <w:lang w:val="en-GB"/>
              </w:rPr>
              <w:t>Actigraphy</w:t>
            </w:r>
          </w:p>
        </w:tc>
      </w:tr>
      <w:tr w:rsidR="005A499B" w:rsidRPr="001E6273" w14:paraId="6CB5702A" w14:textId="77777777" w:rsidTr="007E42ED">
        <w:trPr>
          <w:trHeight w:val="903"/>
        </w:trPr>
        <w:tc>
          <w:tcPr>
            <w:tcW w:w="993" w:type="dxa"/>
            <w:tcBorders>
              <w:top w:val="single" w:sz="4" w:space="0" w:color="auto"/>
              <w:bottom w:val="single" w:sz="4" w:space="0" w:color="auto"/>
              <w:right w:val="nil"/>
            </w:tcBorders>
            <w:noWrap/>
            <w:vAlign w:val="center"/>
          </w:tcPr>
          <w:p w14:paraId="2B1F190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Alam</w:t>
            </w:r>
          </w:p>
        </w:tc>
        <w:tc>
          <w:tcPr>
            <w:tcW w:w="708" w:type="dxa"/>
            <w:tcBorders>
              <w:top w:val="single" w:sz="4" w:space="0" w:color="auto"/>
              <w:left w:val="nil"/>
              <w:bottom w:val="single" w:sz="4" w:space="0" w:color="auto"/>
              <w:right w:val="nil"/>
            </w:tcBorders>
            <w:noWrap/>
            <w:vAlign w:val="center"/>
          </w:tcPr>
          <w:p w14:paraId="630FC642"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6F35ABF6"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79130256"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Pebble watch (Pebble Technology, Corp., Taiwan), Pixie app</w:t>
            </w:r>
          </w:p>
        </w:tc>
        <w:tc>
          <w:tcPr>
            <w:tcW w:w="1134" w:type="dxa"/>
            <w:tcBorders>
              <w:top w:val="single" w:sz="4" w:space="0" w:color="auto"/>
              <w:left w:val="nil"/>
              <w:bottom w:val="single" w:sz="4" w:space="0" w:color="auto"/>
              <w:right w:val="nil"/>
            </w:tcBorders>
            <w:vAlign w:val="center"/>
          </w:tcPr>
          <w:p w14:paraId="694D94C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60507F29" w14:textId="77777777" w:rsidR="005A499B" w:rsidRPr="00523AB6" w:rsidRDefault="005A499B" w:rsidP="007E42ED">
            <w:pPr>
              <w:spacing w:after="0"/>
              <w:jc w:val="center"/>
              <w:rPr>
                <w:rFonts w:ascii="Calibri" w:hAnsi="Calibri" w:cs="Calibri"/>
                <w:lang w:val="en-GB"/>
              </w:rPr>
            </w:pPr>
            <w:r w:rsidRPr="00523AB6">
              <w:rPr>
                <w:rFonts w:ascii="Calibri" w:hAnsi="Calibri" w:cs="Calibri"/>
                <w:lang w:val="en-GB"/>
              </w:rPr>
              <w:t>To predict agitation of people with dementia using multiple-instance learning models.</w:t>
            </w:r>
          </w:p>
        </w:tc>
        <w:tc>
          <w:tcPr>
            <w:tcW w:w="3541" w:type="dxa"/>
            <w:tcBorders>
              <w:top w:val="single" w:sz="4" w:space="0" w:color="auto"/>
              <w:left w:val="nil"/>
              <w:bottom w:val="single" w:sz="4" w:space="0" w:color="auto"/>
              <w:right w:val="nil"/>
            </w:tcBorders>
            <w:vAlign w:val="center"/>
          </w:tcPr>
          <w:p w14:paraId="0B2B39F0" w14:textId="77777777" w:rsidR="005A499B" w:rsidRPr="00523AB6" w:rsidRDefault="005A499B" w:rsidP="007E42ED">
            <w:pPr>
              <w:spacing w:after="0"/>
              <w:jc w:val="center"/>
              <w:rPr>
                <w:rFonts w:ascii="Calibri" w:hAnsi="Calibri" w:cs="Calibri"/>
                <w:lang w:val="en-GB"/>
              </w:rPr>
            </w:pPr>
            <w:r w:rsidRPr="00523AB6">
              <w:rPr>
                <w:rFonts w:ascii="Calibri" w:hAnsi="Calibri" w:cs="Calibri"/>
                <w:lang w:val="en-GB"/>
              </w:rPr>
              <w:t>Quantitative cross-sectional study with 10 older adults with mild to severe dementia living at home. Participants wore the Pebble watch for 30 days. Agitation events were marked by family caregivers.</w:t>
            </w:r>
          </w:p>
        </w:tc>
        <w:tc>
          <w:tcPr>
            <w:tcW w:w="3261" w:type="dxa"/>
            <w:tcBorders>
              <w:top w:val="single" w:sz="4" w:space="0" w:color="auto"/>
              <w:left w:val="nil"/>
              <w:bottom w:val="single" w:sz="4" w:space="0" w:color="auto"/>
            </w:tcBorders>
            <w:vAlign w:val="center"/>
          </w:tcPr>
          <w:p w14:paraId="145A713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Accuracy: 76% - 87%. F-score: 0.69-0.73. Area under the receiver-operating characteristic curves (AUC): 0.78-0.92, indicating significantly higher true positive rates compared with single instance learning models.</w:t>
            </w:r>
          </w:p>
        </w:tc>
      </w:tr>
      <w:tr w:rsidR="005A499B" w:rsidRPr="001E6273" w14:paraId="2764D052" w14:textId="77777777" w:rsidTr="007E42ED">
        <w:trPr>
          <w:trHeight w:val="903"/>
        </w:trPr>
        <w:tc>
          <w:tcPr>
            <w:tcW w:w="993" w:type="dxa"/>
            <w:tcBorders>
              <w:top w:val="single" w:sz="4" w:space="0" w:color="auto"/>
              <w:bottom w:val="single" w:sz="4" w:space="0" w:color="auto"/>
              <w:right w:val="nil"/>
            </w:tcBorders>
            <w:noWrap/>
            <w:vAlign w:val="center"/>
          </w:tcPr>
          <w:p w14:paraId="079CF5C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Bankole</w:t>
            </w:r>
          </w:p>
        </w:tc>
        <w:tc>
          <w:tcPr>
            <w:tcW w:w="708" w:type="dxa"/>
            <w:tcBorders>
              <w:top w:val="single" w:sz="4" w:space="0" w:color="auto"/>
              <w:left w:val="nil"/>
              <w:bottom w:val="single" w:sz="4" w:space="0" w:color="auto"/>
              <w:right w:val="nil"/>
            </w:tcBorders>
            <w:noWrap/>
            <w:vAlign w:val="center"/>
          </w:tcPr>
          <w:p w14:paraId="2B8D3972"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left w:val="nil"/>
              <w:bottom w:val="single" w:sz="4" w:space="0" w:color="auto"/>
              <w:right w:val="nil"/>
            </w:tcBorders>
            <w:noWrap/>
            <w:vAlign w:val="center"/>
          </w:tcPr>
          <w:p w14:paraId="63E18AB3"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E92EF62"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TEMPO 3.1 (developed by University of Virginia)</w:t>
            </w:r>
          </w:p>
        </w:tc>
        <w:tc>
          <w:tcPr>
            <w:tcW w:w="1134" w:type="dxa"/>
            <w:tcBorders>
              <w:top w:val="single" w:sz="4" w:space="0" w:color="auto"/>
              <w:left w:val="nil"/>
              <w:bottom w:val="single" w:sz="4" w:space="0" w:color="auto"/>
              <w:right w:val="nil"/>
            </w:tcBorders>
            <w:vAlign w:val="center"/>
          </w:tcPr>
          <w:p w14:paraId="45F6743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1AD463BB" w14:textId="77777777" w:rsidR="005A499B" w:rsidRPr="00523AB6" w:rsidRDefault="005A499B" w:rsidP="007E42ED">
            <w:pPr>
              <w:spacing w:after="0"/>
              <w:jc w:val="center"/>
              <w:rPr>
                <w:rFonts w:ascii="Calibri" w:hAnsi="Calibri" w:cs="Calibri"/>
                <w:lang w:val="en-GB"/>
              </w:rPr>
            </w:pPr>
            <w:r w:rsidRPr="00523AB6">
              <w:rPr>
                <w:rFonts w:ascii="Calibri" w:hAnsi="Calibri" w:cs="Calibri"/>
                <w:lang w:val="en-GB"/>
              </w:rPr>
              <w:t>To validate the Body Sensor Network (BSN) in measuring agitation.</w:t>
            </w:r>
          </w:p>
        </w:tc>
        <w:tc>
          <w:tcPr>
            <w:tcW w:w="3541" w:type="dxa"/>
            <w:tcBorders>
              <w:top w:val="single" w:sz="4" w:space="0" w:color="auto"/>
              <w:left w:val="nil"/>
              <w:bottom w:val="single" w:sz="4" w:space="0" w:color="auto"/>
              <w:right w:val="nil"/>
            </w:tcBorders>
            <w:vAlign w:val="center"/>
          </w:tcPr>
          <w:p w14:paraId="6102ADEF" w14:textId="77777777" w:rsidR="005A499B" w:rsidRPr="00523AB6" w:rsidRDefault="005A499B" w:rsidP="007E42ED">
            <w:pPr>
              <w:spacing w:after="0"/>
              <w:jc w:val="center"/>
              <w:rPr>
                <w:rFonts w:ascii="Calibri" w:hAnsi="Calibri" w:cs="Calibri"/>
                <w:lang w:val="en-GB"/>
              </w:rPr>
            </w:pPr>
            <w:r w:rsidRPr="00523AB6">
              <w:rPr>
                <w:rFonts w:ascii="Calibri" w:hAnsi="Calibri" w:cs="Calibri"/>
                <w:lang w:val="en-GB"/>
              </w:rPr>
              <w:t>Quantitative cross-sectional study with 6 older adults with dementia in nursing homes. Each participant wore the devices in the morning, afternoon and evening for 3 hours per session.  The Cohen-Mansfield Agitation Inventory (CMAI), the Aggressive Behavior Scale (ABS) and the</w:t>
            </w:r>
            <w:r w:rsidRPr="00523AB6">
              <w:rPr>
                <w:lang w:val="en-US"/>
              </w:rPr>
              <w:t xml:space="preserve"> </w:t>
            </w:r>
            <w:bookmarkStart w:id="0" w:name="_Hlk116576558"/>
            <w:r w:rsidRPr="00523AB6">
              <w:rPr>
                <w:rFonts w:ascii="Calibri" w:hAnsi="Calibri" w:cs="Calibri"/>
                <w:lang w:val="en-GB"/>
              </w:rPr>
              <w:t>Mini-Mental State Examination</w:t>
            </w:r>
            <w:bookmarkEnd w:id="0"/>
            <w:r w:rsidRPr="00523AB6">
              <w:rPr>
                <w:rFonts w:ascii="Calibri" w:hAnsi="Calibri" w:cs="Calibri"/>
                <w:lang w:val="en-GB"/>
              </w:rPr>
              <w:t xml:space="preserve"> (MMSE) were assessed at each session. </w:t>
            </w:r>
          </w:p>
        </w:tc>
        <w:tc>
          <w:tcPr>
            <w:tcW w:w="3261" w:type="dxa"/>
            <w:tcBorders>
              <w:top w:val="single" w:sz="4" w:space="0" w:color="auto"/>
              <w:left w:val="nil"/>
              <w:bottom w:val="single" w:sz="4" w:space="0" w:color="auto"/>
            </w:tcBorders>
            <w:vAlign w:val="center"/>
          </w:tcPr>
          <w:p w14:paraId="3ED7A21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Convergent validity (BSN vs. CMAI and ABS): acceptable for morning sessions, less for afternoon and evening sessions.  </w:t>
            </w:r>
          </w:p>
          <w:p w14:paraId="7171EDE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Discriminant validity (BSN vs. MMSE): strong.</w:t>
            </w:r>
          </w:p>
          <w:p w14:paraId="3AC15EF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Secondary validation (Teager scores calculated from the BSN measurements during agitation vs. pre- and post-agitation): strong support </w:t>
            </w:r>
          </w:p>
        </w:tc>
      </w:tr>
      <w:tr w:rsidR="005A499B" w:rsidRPr="001E6273" w14:paraId="72B32505" w14:textId="77777777" w:rsidTr="007E42ED">
        <w:trPr>
          <w:trHeight w:val="903"/>
        </w:trPr>
        <w:tc>
          <w:tcPr>
            <w:tcW w:w="993" w:type="dxa"/>
            <w:tcBorders>
              <w:top w:val="single" w:sz="4" w:space="0" w:color="auto"/>
              <w:bottom w:val="single" w:sz="4" w:space="0" w:color="auto"/>
              <w:right w:val="nil"/>
            </w:tcBorders>
            <w:noWrap/>
            <w:vAlign w:val="center"/>
          </w:tcPr>
          <w:p w14:paraId="6198A22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Chikhaoui</w:t>
            </w:r>
          </w:p>
        </w:tc>
        <w:tc>
          <w:tcPr>
            <w:tcW w:w="708" w:type="dxa"/>
            <w:tcBorders>
              <w:top w:val="single" w:sz="4" w:space="0" w:color="auto"/>
              <w:left w:val="nil"/>
              <w:bottom w:val="single" w:sz="4" w:space="0" w:color="auto"/>
              <w:right w:val="nil"/>
            </w:tcBorders>
            <w:noWrap/>
            <w:vAlign w:val="center"/>
          </w:tcPr>
          <w:p w14:paraId="3792374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7F6012C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23BC8681" w14:textId="77777777" w:rsidR="005A499B" w:rsidRPr="00523AB6" w:rsidRDefault="005A499B" w:rsidP="007E42ED">
            <w:pPr>
              <w:rPr>
                <w:rFonts w:ascii="Calibri" w:hAnsi="Calibri" w:cs="Calibri"/>
              </w:rPr>
            </w:pPr>
            <w:r w:rsidRPr="00523AB6">
              <w:rPr>
                <w:rFonts w:ascii="Calibri" w:hAnsi="Calibri" w:cs="Calibri"/>
              </w:rPr>
              <w:t>Shimmer3 GSR (Shimmer, Dublin, Ireland)</w:t>
            </w:r>
          </w:p>
        </w:tc>
        <w:tc>
          <w:tcPr>
            <w:tcW w:w="1134" w:type="dxa"/>
            <w:tcBorders>
              <w:top w:val="single" w:sz="4" w:space="0" w:color="auto"/>
              <w:left w:val="nil"/>
              <w:bottom w:val="single" w:sz="4" w:space="0" w:color="auto"/>
              <w:right w:val="nil"/>
            </w:tcBorders>
            <w:vAlign w:val="center"/>
          </w:tcPr>
          <w:p w14:paraId="1280B73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 and aggression</w:t>
            </w:r>
          </w:p>
        </w:tc>
        <w:tc>
          <w:tcPr>
            <w:tcW w:w="1985" w:type="dxa"/>
            <w:tcBorders>
              <w:top w:val="single" w:sz="4" w:space="0" w:color="auto"/>
              <w:left w:val="nil"/>
              <w:bottom w:val="single" w:sz="4" w:space="0" w:color="auto"/>
              <w:right w:val="nil"/>
            </w:tcBorders>
            <w:vAlign w:val="center"/>
          </w:tcPr>
          <w:p w14:paraId="6F0277B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compare Microsoft Kinect sensor and actigraphy in detecting aggressive and agitation behaviors, and to develop and validate corresponding algorisms.</w:t>
            </w:r>
          </w:p>
        </w:tc>
        <w:tc>
          <w:tcPr>
            <w:tcW w:w="3541" w:type="dxa"/>
            <w:tcBorders>
              <w:top w:val="single" w:sz="4" w:space="0" w:color="auto"/>
              <w:left w:val="nil"/>
              <w:bottom w:val="single" w:sz="4" w:space="0" w:color="auto"/>
              <w:right w:val="nil"/>
            </w:tcBorders>
            <w:vAlign w:val="center"/>
          </w:tcPr>
          <w:p w14:paraId="4CB7E8D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 adults</w:t>
            </w:r>
            <w:r w:rsidRPr="00523AB6">
              <w:rPr>
                <w:rFonts w:ascii="Calibri" w:hAnsi="Calibri" w:cs="Calibri"/>
                <w:lang w:val="en-US"/>
              </w:rPr>
              <w:t>.</w:t>
            </w:r>
            <w:r w:rsidRPr="00523AB6">
              <w:rPr>
                <w:rFonts w:ascii="Calibri" w:hAnsi="Calibri" w:cs="Calibri"/>
                <w:lang w:val="en-GB"/>
              </w:rPr>
              <w:t xml:space="preserve"> They performed aggressive and agitated behaviors wearing the device. All actions were performed 5 times.*</w:t>
            </w:r>
          </w:p>
        </w:tc>
        <w:tc>
          <w:tcPr>
            <w:tcW w:w="3261" w:type="dxa"/>
            <w:tcBorders>
              <w:top w:val="single" w:sz="4" w:space="0" w:color="auto"/>
              <w:left w:val="nil"/>
              <w:bottom w:val="single" w:sz="4" w:space="0" w:color="auto"/>
            </w:tcBorders>
            <w:vAlign w:val="center"/>
          </w:tcPr>
          <w:p w14:paraId="466D85C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algorism developed by the researchers using actigraphic data could recognize aggressive and agitated behaviors (F-Measure = 0.85 – 0.94)</w:t>
            </w:r>
          </w:p>
        </w:tc>
      </w:tr>
      <w:tr w:rsidR="005A499B" w:rsidRPr="001E6273" w14:paraId="19E9FC99" w14:textId="77777777" w:rsidTr="007E42ED">
        <w:trPr>
          <w:trHeight w:val="903"/>
        </w:trPr>
        <w:tc>
          <w:tcPr>
            <w:tcW w:w="993" w:type="dxa"/>
            <w:tcBorders>
              <w:top w:val="single" w:sz="4" w:space="0" w:color="auto"/>
              <w:bottom w:val="single" w:sz="4" w:space="0" w:color="auto"/>
              <w:right w:val="nil"/>
            </w:tcBorders>
            <w:noWrap/>
            <w:vAlign w:val="center"/>
          </w:tcPr>
          <w:p w14:paraId="5DA0345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Grap</w:t>
            </w:r>
          </w:p>
        </w:tc>
        <w:tc>
          <w:tcPr>
            <w:tcW w:w="708" w:type="dxa"/>
            <w:tcBorders>
              <w:top w:val="single" w:sz="4" w:space="0" w:color="auto"/>
              <w:left w:val="nil"/>
              <w:bottom w:val="single" w:sz="4" w:space="0" w:color="auto"/>
              <w:right w:val="nil"/>
            </w:tcBorders>
            <w:noWrap/>
            <w:vAlign w:val="center"/>
          </w:tcPr>
          <w:p w14:paraId="6603D8D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3CA3CDD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731D4B8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Basic Motionlogger (Ambulatory Monitoring Inc, Ardsley, NY)</w:t>
            </w:r>
          </w:p>
        </w:tc>
        <w:tc>
          <w:tcPr>
            <w:tcW w:w="1134" w:type="dxa"/>
            <w:tcBorders>
              <w:top w:val="single" w:sz="4" w:space="0" w:color="auto"/>
              <w:left w:val="nil"/>
              <w:bottom w:val="single" w:sz="4" w:space="0" w:color="auto"/>
              <w:right w:val="nil"/>
            </w:tcBorders>
            <w:vAlign w:val="center"/>
          </w:tcPr>
          <w:p w14:paraId="45E6AB3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3D4359E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differentiate behavioral states common in the critically ill population.</w:t>
            </w:r>
          </w:p>
        </w:tc>
        <w:tc>
          <w:tcPr>
            <w:tcW w:w="3541" w:type="dxa"/>
            <w:tcBorders>
              <w:top w:val="single" w:sz="4" w:space="0" w:color="auto"/>
              <w:left w:val="nil"/>
              <w:bottom w:val="single" w:sz="4" w:space="0" w:color="auto"/>
              <w:right w:val="nil"/>
            </w:tcBorders>
            <w:vAlign w:val="center"/>
          </w:tcPr>
          <w:p w14:paraId="5BDC2B6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30 adult healthy volunteers in the laboratory. Participants wore the device on the wrist and ankle and simulated states of calmness, restlessness, and agitation for 10 minutes.</w:t>
            </w:r>
          </w:p>
        </w:tc>
        <w:tc>
          <w:tcPr>
            <w:tcW w:w="3261" w:type="dxa"/>
            <w:tcBorders>
              <w:top w:val="single" w:sz="4" w:space="0" w:color="auto"/>
              <w:left w:val="nil"/>
              <w:bottom w:val="single" w:sz="4" w:space="0" w:color="auto"/>
            </w:tcBorders>
            <w:vAlign w:val="center"/>
          </w:tcPr>
          <w:p w14:paraId="287B369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average movement is significantly different among the three states and between wrist and ankle measurements.</w:t>
            </w:r>
          </w:p>
        </w:tc>
      </w:tr>
      <w:tr w:rsidR="005A499B" w:rsidRPr="001E6273" w14:paraId="2E91008B" w14:textId="77777777" w:rsidTr="007E42ED">
        <w:trPr>
          <w:trHeight w:val="903"/>
        </w:trPr>
        <w:tc>
          <w:tcPr>
            <w:tcW w:w="993" w:type="dxa"/>
            <w:tcBorders>
              <w:top w:val="single" w:sz="4" w:space="0" w:color="auto"/>
              <w:bottom w:val="single" w:sz="4" w:space="0" w:color="auto"/>
              <w:right w:val="nil"/>
            </w:tcBorders>
            <w:noWrap/>
            <w:vAlign w:val="center"/>
          </w:tcPr>
          <w:p w14:paraId="408C46D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Knuff</w:t>
            </w:r>
          </w:p>
        </w:tc>
        <w:tc>
          <w:tcPr>
            <w:tcW w:w="708" w:type="dxa"/>
            <w:tcBorders>
              <w:top w:val="single" w:sz="4" w:space="0" w:color="auto"/>
              <w:left w:val="nil"/>
              <w:bottom w:val="single" w:sz="4" w:space="0" w:color="auto"/>
              <w:right w:val="nil"/>
            </w:tcBorders>
            <w:noWrap/>
            <w:vAlign w:val="center"/>
          </w:tcPr>
          <w:p w14:paraId="60863DA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18F74B0B" w14:textId="77777777" w:rsidR="005A499B" w:rsidRPr="00523AB6" w:rsidRDefault="005A499B" w:rsidP="007E42ED">
            <w:pPr>
              <w:spacing w:after="0"/>
              <w:rPr>
                <w:rFonts w:ascii="Calibri" w:hAnsi="Calibri" w:cs="Calibri"/>
              </w:rPr>
            </w:pPr>
            <w:r w:rsidRPr="00523AB6">
              <w:rPr>
                <w:rFonts w:ascii="Calibri" w:hAnsi="Calibri" w:cs="Calibri"/>
              </w:rPr>
              <w:t>USA</w:t>
            </w:r>
          </w:p>
        </w:tc>
        <w:tc>
          <w:tcPr>
            <w:tcW w:w="1275" w:type="dxa"/>
            <w:tcBorders>
              <w:top w:val="single" w:sz="4" w:space="0" w:color="auto"/>
              <w:left w:val="nil"/>
              <w:bottom w:val="single" w:sz="4" w:space="0" w:color="auto"/>
              <w:right w:val="nil"/>
            </w:tcBorders>
            <w:vAlign w:val="center"/>
          </w:tcPr>
          <w:p w14:paraId="62069AA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wGT3x+ activity monitors</w:t>
            </w:r>
            <w:r w:rsidRPr="00523AB6">
              <w:rPr>
                <w:lang w:val="en-US"/>
              </w:rPr>
              <w:t xml:space="preserve"> (</w:t>
            </w:r>
            <w:r w:rsidRPr="00523AB6">
              <w:rPr>
                <w:rFonts w:ascii="Calibri" w:eastAsia="Times New Roman" w:hAnsi="Calibri" w:cs="Calibri"/>
                <w:lang w:val="en-GB"/>
              </w:rPr>
              <w:t>Actigraph,</w:t>
            </w:r>
          </w:p>
          <w:p w14:paraId="326787E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LLC, Pensacola, FL)</w:t>
            </w:r>
          </w:p>
        </w:tc>
        <w:tc>
          <w:tcPr>
            <w:tcW w:w="1134" w:type="dxa"/>
            <w:tcBorders>
              <w:top w:val="single" w:sz="4" w:space="0" w:color="auto"/>
              <w:left w:val="nil"/>
              <w:bottom w:val="single" w:sz="4" w:space="0" w:color="auto"/>
              <w:right w:val="nil"/>
            </w:tcBorders>
            <w:vAlign w:val="center"/>
          </w:tcPr>
          <w:p w14:paraId="48D497B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1ECCD3D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feasibility and validity of actigraphy as a measurement of agitation in dementia.</w:t>
            </w:r>
          </w:p>
        </w:tc>
        <w:tc>
          <w:tcPr>
            <w:tcW w:w="3541" w:type="dxa"/>
            <w:tcBorders>
              <w:top w:val="single" w:sz="4" w:space="0" w:color="auto"/>
              <w:left w:val="nil"/>
              <w:bottom w:val="single" w:sz="4" w:space="0" w:color="auto"/>
              <w:right w:val="nil"/>
            </w:tcBorders>
            <w:vAlign w:val="center"/>
          </w:tcPr>
          <w:p w14:paraId="32E7DE2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20 older adults with dementia living in long-term care facilities wore the wristband continuously for a minimum of 24 hours and maximum of 7 days. </w:t>
            </w:r>
          </w:p>
        </w:tc>
        <w:tc>
          <w:tcPr>
            <w:tcW w:w="3261" w:type="dxa"/>
            <w:tcBorders>
              <w:top w:val="single" w:sz="4" w:space="0" w:color="auto"/>
              <w:left w:val="nil"/>
              <w:bottom w:val="single" w:sz="4" w:space="0" w:color="auto"/>
            </w:tcBorders>
            <w:vAlign w:val="center"/>
          </w:tcPr>
          <w:p w14:paraId="04438D5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Significant difference in motor activity between the low- and high-agitation groups. Most actigraphic data, except for night time measurements, significantly correlated with </w:t>
            </w:r>
            <w:r w:rsidRPr="00523AB6">
              <w:rPr>
                <w:lang w:val="en-US"/>
              </w:rPr>
              <w:t xml:space="preserve">the </w:t>
            </w:r>
            <w:r w:rsidRPr="00523AB6">
              <w:rPr>
                <w:rFonts w:ascii="Calibri" w:hAnsi="Calibri" w:cs="Calibri"/>
                <w:lang w:val="en-GB"/>
              </w:rPr>
              <w:t>CMAI (</w:t>
            </w:r>
            <w:r w:rsidRPr="00523AB6">
              <w:rPr>
                <w:rFonts w:ascii="Calibri" w:hAnsi="Calibri" w:cs="Calibri"/>
                <w:i/>
                <w:iCs/>
                <w:lang w:val="en-GB"/>
              </w:rPr>
              <w:t>r</w:t>
            </w:r>
            <w:r w:rsidRPr="00523AB6">
              <w:rPr>
                <w:rFonts w:ascii="Calibri" w:hAnsi="Calibri" w:cs="Calibri"/>
                <w:lang w:val="en-GB"/>
              </w:rPr>
              <w:t xml:space="preserve"> = 0.74 - 0.77, </w:t>
            </w:r>
            <w:r w:rsidRPr="00523AB6">
              <w:rPr>
                <w:rFonts w:ascii="Calibri" w:hAnsi="Calibri" w:cs="Calibri"/>
                <w:i/>
                <w:iCs/>
                <w:lang w:val="en-GB"/>
              </w:rPr>
              <w:t>p</w:t>
            </w:r>
            <w:r w:rsidRPr="00523AB6">
              <w:rPr>
                <w:rFonts w:ascii="Calibri" w:hAnsi="Calibri" w:cs="Calibri"/>
                <w:lang w:val="en-GB"/>
              </w:rPr>
              <w:t xml:space="preserve"> &lt; 0.001) and the Neuropsychiatric Inventory (NPI, </w:t>
            </w:r>
            <w:r w:rsidRPr="00523AB6">
              <w:rPr>
                <w:rFonts w:ascii="Calibri" w:hAnsi="Calibri" w:cs="Calibri"/>
                <w:i/>
                <w:iCs/>
                <w:lang w:val="en-GB"/>
              </w:rPr>
              <w:t>r</w:t>
            </w:r>
            <w:r w:rsidRPr="00523AB6">
              <w:rPr>
                <w:rFonts w:ascii="Calibri" w:hAnsi="Calibri" w:cs="Calibri"/>
                <w:lang w:val="en-GB"/>
              </w:rPr>
              <w:t xml:space="preserve"> = 0.47 - 0.56, </w:t>
            </w:r>
            <w:r w:rsidRPr="00523AB6">
              <w:rPr>
                <w:rFonts w:ascii="Calibri" w:hAnsi="Calibri" w:cs="Calibri"/>
                <w:i/>
                <w:iCs/>
                <w:lang w:val="en-GB"/>
              </w:rPr>
              <w:t>p</w:t>
            </w:r>
            <w:r w:rsidRPr="00523AB6">
              <w:rPr>
                <w:rFonts w:ascii="Calibri" w:hAnsi="Calibri" w:cs="Calibri"/>
                <w:lang w:val="en-GB"/>
              </w:rPr>
              <w:t xml:space="preserve"> = 0.01 – 0.04)</w:t>
            </w:r>
          </w:p>
        </w:tc>
      </w:tr>
      <w:tr w:rsidR="005A499B" w:rsidRPr="00523AB6" w14:paraId="608E8302" w14:textId="77777777" w:rsidTr="007E42ED">
        <w:trPr>
          <w:trHeight w:val="903"/>
        </w:trPr>
        <w:tc>
          <w:tcPr>
            <w:tcW w:w="993" w:type="dxa"/>
            <w:tcBorders>
              <w:top w:val="single" w:sz="4" w:space="0" w:color="auto"/>
              <w:bottom w:val="single" w:sz="4" w:space="0" w:color="auto"/>
              <w:right w:val="nil"/>
            </w:tcBorders>
            <w:noWrap/>
            <w:vAlign w:val="center"/>
          </w:tcPr>
          <w:p w14:paraId="0BCE9D1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Mahlberg</w:t>
            </w:r>
          </w:p>
        </w:tc>
        <w:tc>
          <w:tcPr>
            <w:tcW w:w="708" w:type="dxa"/>
            <w:tcBorders>
              <w:top w:val="single" w:sz="4" w:space="0" w:color="auto"/>
              <w:left w:val="nil"/>
              <w:bottom w:val="single" w:sz="4" w:space="0" w:color="auto"/>
              <w:right w:val="nil"/>
            </w:tcBorders>
            <w:noWrap/>
            <w:vAlign w:val="center"/>
          </w:tcPr>
          <w:p w14:paraId="106DC8A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2007</w:t>
            </w:r>
          </w:p>
        </w:tc>
        <w:tc>
          <w:tcPr>
            <w:tcW w:w="993" w:type="dxa"/>
            <w:gridSpan w:val="2"/>
            <w:tcBorders>
              <w:top w:val="single" w:sz="4" w:space="0" w:color="auto"/>
              <w:left w:val="nil"/>
              <w:bottom w:val="single" w:sz="4" w:space="0" w:color="auto"/>
              <w:right w:val="nil"/>
            </w:tcBorders>
            <w:noWrap/>
            <w:vAlign w:val="center"/>
          </w:tcPr>
          <w:p w14:paraId="5EB7C98B" w14:textId="77777777" w:rsidR="005A499B" w:rsidRPr="00523AB6" w:rsidRDefault="005A499B" w:rsidP="007E42ED">
            <w:pPr>
              <w:spacing w:after="0"/>
              <w:rPr>
                <w:rFonts w:ascii="Calibri" w:hAnsi="Calibri" w:cs="Calibri"/>
              </w:rPr>
            </w:pPr>
            <w:r w:rsidRPr="00523AB6">
              <w:rPr>
                <w:rFonts w:ascii="Calibri" w:eastAsia="Times New Roman" w:hAnsi="Calibri" w:cs="Calibri"/>
                <w:lang w:val="en-GB"/>
              </w:rPr>
              <w:t>Germany</w:t>
            </w:r>
          </w:p>
        </w:tc>
        <w:tc>
          <w:tcPr>
            <w:tcW w:w="1275" w:type="dxa"/>
            <w:tcBorders>
              <w:top w:val="single" w:sz="4" w:space="0" w:color="auto"/>
              <w:left w:val="nil"/>
              <w:bottom w:val="single" w:sz="4" w:space="0" w:color="auto"/>
              <w:right w:val="nil"/>
            </w:tcBorders>
            <w:vAlign w:val="center"/>
          </w:tcPr>
          <w:p w14:paraId="4BBBC4A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Actiwatch (Cambridge Neurotechnology Ltd, </w:t>
            </w:r>
            <w:r w:rsidRPr="00523AB6">
              <w:rPr>
                <w:rFonts w:ascii="Calibri" w:eastAsia="Times New Roman" w:hAnsi="Calibri" w:cs="Calibri"/>
                <w:lang w:val="en-GB"/>
              </w:rPr>
              <w:lastRenderedPageBreak/>
              <w:t>Cambridge, UK)</w:t>
            </w:r>
          </w:p>
        </w:tc>
        <w:tc>
          <w:tcPr>
            <w:tcW w:w="1134" w:type="dxa"/>
            <w:tcBorders>
              <w:top w:val="single" w:sz="4" w:space="0" w:color="auto"/>
              <w:left w:val="nil"/>
              <w:bottom w:val="single" w:sz="4" w:space="0" w:color="auto"/>
              <w:right w:val="nil"/>
            </w:tcBorders>
            <w:vAlign w:val="center"/>
          </w:tcPr>
          <w:p w14:paraId="7D73BE0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Agitation</w:t>
            </w:r>
          </w:p>
        </w:tc>
        <w:tc>
          <w:tcPr>
            <w:tcW w:w="1985" w:type="dxa"/>
            <w:tcBorders>
              <w:top w:val="single" w:sz="4" w:space="0" w:color="auto"/>
              <w:left w:val="nil"/>
              <w:bottom w:val="single" w:sz="4" w:space="0" w:color="auto"/>
              <w:right w:val="nil"/>
            </w:tcBorders>
            <w:vAlign w:val="center"/>
          </w:tcPr>
          <w:p w14:paraId="5C4E662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evaluate the actigraphy in measuring day-night </w:t>
            </w:r>
            <w:r w:rsidRPr="00523AB6">
              <w:rPr>
                <w:rFonts w:ascii="Calibri" w:hAnsi="Calibri" w:cs="Calibri"/>
                <w:lang w:val="en-GB"/>
              </w:rPr>
              <w:lastRenderedPageBreak/>
              <w:t>rhythm disturbances and agitated behavior.</w:t>
            </w:r>
          </w:p>
        </w:tc>
        <w:tc>
          <w:tcPr>
            <w:tcW w:w="3541" w:type="dxa"/>
            <w:tcBorders>
              <w:top w:val="single" w:sz="4" w:space="0" w:color="auto"/>
              <w:left w:val="nil"/>
              <w:bottom w:val="single" w:sz="4" w:space="0" w:color="auto"/>
              <w:right w:val="nil"/>
            </w:tcBorders>
            <w:vAlign w:val="center"/>
          </w:tcPr>
          <w:p w14:paraId="46B14B1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Randomized controlled trial with 24 older adults with dementia and agitated behavior in a geriatric </w:t>
            </w:r>
            <w:r w:rsidRPr="00523AB6">
              <w:rPr>
                <w:rFonts w:ascii="Calibri" w:hAnsi="Calibri" w:cs="Calibri"/>
                <w:lang w:val="en-GB"/>
              </w:rPr>
              <w:lastRenderedPageBreak/>
              <w:t xml:space="preserve">psychiatry unit. 14 received medication, 10 received placebo. Control group: 10 young and 10 older healthy subjects. The device was worn for at least two weeks. The </w:t>
            </w:r>
            <w:r w:rsidRPr="00523AB6">
              <w:rPr>
                <w:lang w:val="en-US"/>
              </w:rPr>
              <w:t xml:space="preserve"> </w:t>
            </w:r>
            <w:r w:rsidRPr="00523AB6">
              <w:rPr>
                <w:rFonts w:ascii="Calibri" w:hAnsi="Calibri" w:cs="Calibri"/>
                <w:lang w:val="en-GB"/>
              </w:rPr>
              <w:t>NPI was scored before and after the treatment period.</w:t>
            </w:r>
          </w:p>
        </w:tc>
        <w:tc>
          <w:tcPr>
            <w:tcW w:w="3261" w:type="dxa"/>
            <w:tcBorders>
              <w:top w:val="single" w:sz="4" w:space="0" w:color="auto"/>
              <w:left w:val="nil"/>
              <w:bottom w:val="single" w:sz="4" w:space="0" w:color="auto"/>
            </w:tcBorders>
            <w:vAlign w:val="center"/>
          </w:tcPr>
          <w:p w14:paraId="1A9BA82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The actigraphic agitation is significantly lower in the treatment group compared to </w:t>
            </w:r>
            <w:r w:rsidRPr="00523AB6">
              <w:rPr>
                <w:rFonts w:ascii="Calibri" w:hAnsi="Calibri" w:cs="Calibri"/>
                <w:lang w:val="en-GB"/>
              </w:rPr>
              <w:lastRenderedPageBreak/>
              <w:t xml:space="preserve">placebo and healthy control groups. No correlation between actigraphy and NPI. </w:t>
            </w:r>
          </w:p>
        </w:tc>
      </w:tr>
      <w:tr w:rsidR="005A499B" w:rsidRPr="001E6273" w14:paraId="21E87CBE" w14:textId="77777777" w:rsidTr="007E42ED">
        <w:trPr>
          <w:trHeight w:val="903"/>
        </w:trPr>
        <w:tc>
          <w:tcPr>
            <w:tcW w:w="993" w:type="dxa"/>
            <w:tcBorders>
              <w:top w:val="single" w:sz="4" w:space="0" w:color="auto"/>
              <w:bottom w:val="single" w:sz="4" w:space="0" w:color="auto"/>
              <w:right w:val="nil"/>
            </w:tcBorders>
            <w:noWrap/>
            <w:vAlign w:val="center"/>
          </w:tcPr>
          <w:p w14:paraId="5644CF5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Nagels</w:t>
            </w:r>
          </w:p>
        </w:tc>
        <w:tc>
          <w:tcPr>
            <w:tcW w:w="708" w:type="dxa"/>
            <w:tcBorders>
              <w:top w:val="single" w:sz="4" w:space="0" w:color="auto"/>
              <w:left w:val="nil"/>
              <w:bottom w:val="single" w:sz="4" w:space="0" w:color="auto"/>
              <w:right w:val="nil"/>
            </w:tcBorders>
            <w:noWrap/>
            <w:vAlign w:val="center"/>
          </w:tcPr>
          <w:p w14:paraId="28D276B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2006</w:t>
            </w:r>
          </w:p>
        </w:tc>
        <w:tc>
          <w:tcPr>
            <w:tcW w:w="993" w:type="dxa"/>
            <w:gridSpan w:val="2"/>
            <w:tcBorders>
              <w:top w:val="single" w:sz="4" w:space="0" w:color="auto"/>
              <w:left w:val="nil"/>
              <w:bottom w:val="single" w:sz="4" w:space="0" w:color="auto"/>
              <w:right w:val="nil"/>
            </w:tcBorders>
            <w:noWrap/>
            <w:vAlign w:val="center"/>
          </w:tcPr>
          <w:p w14:paraId="2D2078CF" w14:textId="77777777" w:rsidR="005A499B" w:rsidRPr="00523AB6" w:rsidRDefault="005A499B" w:rsidP="007E42ED">
            <w:pPr>
              <w:spacing w:after="0"/>
              <w:rPr>
                <w:rFonts w:ascii="Calibri" w:eastAsia="Times New Roman" w:hAnsi="Calibri" w:cs="Calibri"/>
                <w:lang w:val="en-GB"/>
              </w:rPr>
            </w:pPr>
            <w:r w:rsidRPr="00523AB6">
              <w:rPr>
                <w:rFonts w:ascii="Calibri" w:eastAsia="Times New Roman" w:hAnsi="Calibri" w:cs="Calibri"/>
                <w:lang w:val="en-GB"/>
              </w:rPr>
              <w:t>Belgium</w:t>
            </w:r>
          </w:p>
        </w:tc>
        <w:tc>
          <w:tcPr>
            <w:tcW w:w="1275" w:type="dxa"/>
            <w:tcBorders>
              <w:top w:val="single" w:sz="4" w:space="0" w:color="auto"/>
              <w:left w:val="nil"/>
              <w:bottom w:val="single" w:sz="4" w:space="0" w:color="auto"/>
              <w:right w:val="nil"/>
            </w:tcBorders>
            <w:vAlign w:val="center"/>
          </w:tcPr>
          <w:p w14:paraId="51C7777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Basic motionlogger (Ambulatory monitoring, New York, USA)</w:t>
            </w:r>
          </w:p>
        </w:tc>
        <w:tc>
          <w:tcPr>
            <w:tcW w:w="1134" w:type="dxa"/>
            <w:tcBorders>
              <w:top w:val="single" w:sz="4" w:space="0" w:color="auto"/>
              <w:left w:val="nil"/>
              <w:bottom w:val="single" w:sz="4" w:space="0" w:color="auto"/>
              <w:right w:val="nil"/>
            </w:tcBorders>
            <w:vAlign w:val="center"/>
          </w:tcPr>
          <w:p w14:paraId="6C3FCB8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666FE11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the association between the actigraphic measure of agitation and a validated scale.</w:t>
            </w:r>
          </w:p>
        </w:tc>
        <w:tc>
          <w:tcPr>
            <w:tcW w:w="3541" w:type="dxa"/>
            <w:tcBorders>
              <w:top w:val="single" w:sz="4" w:space="0" w:color="auto"/>
              <w:left w:val="nil"/>
              <w:bottom w:val="single" w:sz="4" w:space="0" w:color="auto"/>
              <w:right w:val="nil"/>
            </w:tcBorders>
            <w:vAlign w:val="center"/>
          </w:tcPr>
          <w:p w14:paraId="6D1A401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110 older adults recently diagnosed with dementia. The device was worn for 48 hours. CMAI was rated by nurses during staff briefings. *</w:t>
            </w:r>
          </w:p>
        </w:tc>
        <w:tc>
          <w:tcPr>
            <w:tcW w:w="3261" w:type="dxa"/>
            <w:tcBorders>
              <w:top w:val="single" w:sz="4" w:space="0" w:color="auto"/>
              <w:left w:val="nil"/>
              <w:bottom w:val="single" w:sz="4" w:space="0" w:color="auto"/>
            </w:tcBorders>
            <w:vAlign w:val="center"/>
          </w:tcPr>
          <w:p w14:paraId="23196FF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Significant association between actigraphic measures and CMAI (</w:t>
            </w:r>
            <w:r w:rsidRPr="00523AB6">
              <w:rPr>
                <w:rFonts w:ascii="Calibri" w:hAnsi="Calibri" w:cs="Calibri"/>
                <w:i/>
                <w:iCs/>
                <w:lang w:val="en-GB"/>
              </w:rPr>
              <w:t>F</w:t>
            </w:r>
            <w:r w:rsidRPr="00523AB6">
              <w:rPr>
                <w:rFonts w:ascii="Calibri" w:hAnsi="Calibri" w:cs="Calibri"/>
                <w:lang w:val="en-GB"/>
              </w:rPr>
              <w:t xml:space="preserve"> = 126.75, </w:t>
            </w:r>
            <w:r w:rsidRPr="00523AB6">
              <w:rPr>
                <w:rFonts w:ascii="Calibri" w:hAnsi="Calibri" w:cs="Calibri"/>
                <w:i/>
                <w:iCs/>
                <w:lang w:val="en-GB"/>
              </w:rPr>
              <w:t>p</w:t>
            </w:r>
            <w:r w:rsidRPr="00523AB6">
              <w:rPr>
                <w:rFonts w:ascii="Calibri" w:hAnsi="Calibri" w:cs="Calibri"/>
                <w:lang w:val="en-GB"/>
              </w:rPr>
              <w:t xml:space="preserve"> &lt; 0.001).</w:t>
            </w:r>
          </w:p>
        </w:tc>
      </w:tr>
      <w:tr w:rsidR="005A499B" w:rsidRPr="001E6273" w14:paraId="060F8723" w14:textId="77777777" w:rsidTr="007E42ED">
        <w:trPr>
          <w:trHeight w:val="903"/>
        </w:trPr>
        <w:tc>
          <w:tcPr>
            <w:tcW w:w="993" w:type="dxa"/>
            <w:tcBorders>
              <w:top w:val="single" w:sz="4" w:space="0" w:color="auto"/>
              <w:bottom w:val="single" w:sz="4" w:space="0" w:color="auto"/>
              <w:right w:val="nil"/>
            </w:tcBorders>
            <w:noWrap/>
            <w:vAlign w:val="center"/>
          </w:tcPr>
          <w:p w14:paraId="6F06591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Raj</w:t>
            </w:r>
          </w:p>
        </w:tc>
        <w:tc>
          <w:tcPr>
            <w:tcW w:w="708" w:type="dxa"/>
            <w:tcBorders>
              <w:top w:val="single" w:sz="4" w:space="0" w:color="auto"/>
              <w:left w:val="nil"/>
              <w:bottom w:val="single" w:sz="4" w:space="0" w:color="auto"/>
              <w:right w:val="nil"/>
            </w:tcBorders>
            <w:noWrap/>
            <w:vAlign w:val="center"/>
          </w:tcPr>
          <w:p w14:paraId="6194BFE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2014</w:t>
            </w:r>
          </w:p>
        </w:tc>
        <w:tc>
          <w:tcPr>
            <w:tcW w:w="993" w:type="dxa"/>
            <w:gridSpan w:val="2"/>
            <w:tcBorders>
              <w:top w:val="single" w:sz="4" w:space="0" w:color="auto"/>
              <w:left w:val="nil"/>
              <w:bottom w:val="single" w:sz="4" w:space="0" w:color="auto"/>
              <w:right w:val="nil"/>
            </w:tcBorders>
            <w:noWrap/>
            <w:vAlign w:val="center"/>
          </w:tcPr>
          <w:p w14:paraId="229357E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99F7E2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2 (Phillips Respironics, Andover, MA)</w:t>
            </w:r>
          </w:p>
        </w:tc>
        <w:tc>
          <w:tcPr>
            <w:tcW w:w="1134" w:type="dxa"/>
            <w:tcBorders>
              <w:top w:val="single" w:sz="4" w:space="0" w:color="auto"/>
              <w:left w:val="nil"/>
              <w:bottom w:val="single" w:sz="4" w:space="0" w:color="auto"/>
              <w:right w:val="nil"/>
            </w:tcBorders>
            <w:vAlign w:val="center"/>
          </w:tcPr>
          <w:p w14:paraId="46B84E9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 sedation</w:t>
            </w:r>
          </w:p>
        </w:tc>
        <w:tc>
          <w:tcPr>
            <w:tcW w:w="1985" w:type="dxa"/>
            <w:tcBorders>
              <w:top w:val="single" w:sz="4" w:space="0" w:color="auto"/>
              <w:left w:val="nil"/>
              <w:bottom w:val="single" w:sz="4" w:space="0" w:color="auto"/>
              <w:right w:val="nil"/>
            </w:tcBorders>
            <w:vAlign w:val="center"/>
          </w:tcPr>
          <w:p w14:paraId="27AC440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determine the usefulness of actigraphy to measure sedation/agitation in the ICU.</w:t>
            </w:r>
          </w:p>
        </w:tc>
        <w:tc>
          <w:tcPr>
            <w:tcW w:w="3541" w:type="dxa"/>
            <w:tcBorders>
              <w:top w:val="single" w:sz="4" w:space="0" w:color="auto"/>
              <w:left w:val="nil"/>
              <w:bottom w:val="single" w:sz="4" w:space="0" w:color="auto"/>
              <w:right w:val="nil"/>
            </w:tcBorders>
            <w:vAlign w:val="center"/>
          </w:tcPr>
          <w:p w14:paraId="16B9E74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86 adults in the ICU of a tertiary care center. Actigraphy was worn for 60 or 70 minutes. </w:t>
            </w:r>
            <w:bookmarkStart w:id="1" w:name="_Hlk116576262"/>
            <w:r w:rsidRPr="00523AB6">
              <w:rPr>
                <w:rFonts w:ascii="Calibri" w:hAnsi="Calibri" w:cs="Calibri"/>
                <w:lang w:val="en-GB"/>
              </w:rPr>
              <w:t xml:space="preserve">The Richmond Agitation Sedation Scale (RASS) </w:t>
            </w:r>
            <w:bookmarkEnd w:id="1"/>
            <w:r w:rsidRPr="00523AB6">
              <w:rPr>
                <w:rFonts w:ascii="Calibri" w:hAnsi="Calibri" w:cs="Calibri"/>
                <w:lang w:val="en-GB"/>
              </w:rPr>
              <w:t>was scored every 10 minutes.</w:t>
            </w:r>
          </w:p>
        </w:tc>
        <w:tc>
          <w:tcPr>
            <w:tcW w:w="3261" w:type="dxa"/>
            <w:tcBorders>
              <w:top w:val="single" w:sz="4" w:space="0" w:color="auto"/>
              <w:left w:val="nil"/>
              <w:bottom w:val="single" w:sz="4" w:space="0" w:color="auto"/>
            </w:tcBorders>
            <w:vAlign w:val="center"/>
          </w:tcPr>
          <w:p w14:paraId="74EB685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Actigraphic data associated with sedation/agitation level as assessed by RASS.</w:t>
            </w:r>
          </w:p>
        </w:tc>
      </w:tr>
      <w:tr w:rsidR="005A499B" w:rsidRPr="00523AB6" w14:paraId="54C556D2" w14:textId="77777777" w:rsidTr="007E42ED">
        <w:trPr>
          <w:trHeight w:val="903"/>
        </w:trPr>
        <w:tc>
          <w:tcPr>
            <w:tcW w:w="993" w:type="dxa"/>
            <w:tcBorders>
              <w:top w:val="single" w:sz="4" w:space="0" w:color="auto"/>
              <w:bottom w:val="single" w:sz="4" w:space="0" w:color="auto"/>
              <w:right w:val="nil"/>
            </w:tcBorders>
            <w:noWrap/>
            <w:vAlign w:val="center"/>
          </w:tcPr>
          <w:p w14:paraId="1CC00AF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Valembois</w:t>
            </w:r>
          </w:p>
        </w:tc>
        <w:tc>
          <w:tcPr>
            <w:tcW w:w="708" w:type="dxa"/>
            <w:tcBorders>
              <w:top w:val="single" w:sz="4" w:space="0" w:color="auto"/>
              <w:left w:val="nil"/>
              <w:bottom w:val="single" w:sz="4" w:space="0" w:color="auto"/>
              <w:right w:val="nil"/>
            </w:tcBorders>
            <w:noWrap/>
            <w:vAlign w:val="center"/>
          </w:tcPr>
          <w:p w14:paraId="0E71FAA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2015</w:t>
            </w:r>
          </w:p>
        </w:tc>
        <w:tc>
          <w:tcPr>
            <w:tcW w:w="993" w:type="dxa"/>
            <w:gridSpan w:val="2"/>
            <w:tcBorders>
              <w:top w:val="single" w:sz="4" w:space="0" w:color="auto"/>
              <w:left w:val="nil"/>
              <w:bottom w:val="single" w:sz="4" w:space="0" w:color="auto"/>
              <w:right w:val="nil"/>
            </w:tcBorders>
            <w:noWrap/>
            <w:vAlign w:val="center"/>
          </w:tcPr>
          <w:p w14:paraId="45AAA13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France</w:t>
            </w:r>
          </w:p>
        </w:tc>
        <w:tc>
          <w:tcPr>
            <w:tcW w:w="1275" w:type="dxa"/>
            <w:tcBorders>
              <w:top w:val="single" w:sz="4" w:space="0" w:color="auto"/>
              <w:left w:val="nil"/>
              <w:bottom w:val="single" w:sz="4" w:space="0" w:color="auto"/>
              <w:right w:val="nil"/>
            </w:tcBorders>
            <w:vAlign w:val="center"/>
          </w:tcPr>
          <w:p w14:paraId="3DF81AD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Vivago (Vivago Oy, Espoo, Finland)</w:t>
            </w:r>
          </w:p>
        </w:tc>
        <w:tc>
          <w:tcPr>
            <w:tcW w:w="1134" w:type="dxa"/>
            <w:tcBorders>
              <w:top w:val="single" w:sz="4" w:space="0" w:color="auto"/>
              <w:left w:val="nil"/>
              <w:bottom w:val="single" w:sz="4" w:space="0" w:color="auto"/>
              <w:right w:val="nil"/>
            </w:tcBorders>
            <w:vAlign w:val="center"/>
          </w:tcPr>
          <w:p w14:paraId="722B869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Aberrant motor behavior</w:t>
            </w:r>
          </w:p>
        </w:tc>
        <w:tc>
          <w:tcPr>
            <w:tcW w:w="1985" w:type="dxa"/>
            <w:tcBorders>
              <w:top w:val="single" w:sz="4" w:space="0" w:color="auto"/>
              <w:left w:val="nil"/>
              <w:bottom w:val="single" w:sz="4" w:space="0" w:color="auto"/>
              <w:right w:val="nil"/>
            </w:tcBorders>
            <w:vAlign w:val="center"/>
          </w:tcPr>
          <w:p w14:paraId="0AD76E2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usefulness of actigraphy to measure disorders in motor behavior.</w:t>
            </w:r>
          </w:p>
        </w:tc>
        <w:tc>
          <w:tcPr>
            <w:tcW w:w="3541" w:type="dxa"/>
            <w:tcBorders>
              <w:top w:val="single" w:sz="4" w:space="0" w:color="auto"/>
              <w:left w:val="nil"/>
              <w:bottom w:val="single" w:sz="4" w:space="0" w:color="auto"/>
              <w:right w:val="nil"/>
            </w:tcBorders>
            <w:vAlign w:val="center"/>
          </w:tcPr>
          <w:p w14:paraId="05A9AE9B"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Quantitative cross-sectional study with 183 older adults, of which 126 had dementia admitted to an intermediate care unit in the hospital. The device was worn for 10 days. Apathy, aberrant motor behavior, agitation and anxiety were evaluated with the NPI.</w:t>
            </w:r>
          </w:p>
        </w:tc>
        <w:tc>
          <w:tcPr>
            <w:tcW w:w="3261" w:type="dxa"/>
            <w:tcBorders>
              <w:top w:val="single" w:sz="4" w:space="0" w:color="auto"/>
              <w:left w:val="nil"/>
              <w:bottom w:val="single" w:sz="4" w:space="0" w:color="auto"/>
            </w:tcBorders>
            <w:vAlign w:val="center"/>
          </w:tcPr>
          <w:p w14:paraId="599C1B0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Motor activity measured by the actigraphy was lower in patients with apathy (</w:t>
            </w:r>
            <w:r w:rsidRPr="00523AB6">
              <w:rPr>
                <w:rFonts w:ascii="Calibri" w:hAnsi="Calibri" w:cs="Calibri"/>
                <w:i/>
                <w:iCs/>
                <w:lang w:val="en-GB"/>
              </w:rPr>
              <w:t>p</w:t>
            </w:r>
            <w:r w:rsidRPr="00523AB6">
              <w:rPr>
                <w:rFonts w:ascii="Calibri" w:hAnsi="Calibri" w:cs="Calibri"/>
                <w:lang w:val="en-GB"/>
              </w:rPr>
              <w:t xml:space="preserve"> = 0.008 - 0.05, depending on time of the day), and was greater in those with aberrant motor behavior (</w:t>
            </w:r>
            <w:r w:rsidRPr="00523AB6">
              <w:rPr>
                <w:rFonts w:ascii="Calibri" w:hAnsi="Calibri" w:cs="Calibri"/>
                <w:i/>
                <w:iCs/>
                <w:lang w:val="en-GB"/>
              </w:rPr>
              <w:t xml:space="preserve">p </w:t>
            </w:r>
            <w:r w:rsidRPr="00523AB6">
              <w:rPr>
                <w:rFonts w:ascii="Calibri" w:hAnsi="Calibri" w:cs="Calibri"/>
                <w:lang w:val="en-GB"/>
              </w:rPr>
              <w:t>= 0.003 - 0.04 depending on time of the day). No correlation with agitation and anxiety was observed.</w:t>
            </w:r>
          </w:p>
        </w:tc>
      </w:tr>
      <w:tr w:rsidR="005A499B" w:rsidRPr="001E6273" w14:paraId="68529B5F" w14:textId="77777777" w:rsidTr="007E42ED">
        <w:trPr>
          <w:trHeight w:val="903"/>
        </w:trPr>
        <w:tc>
          <w:tcPr>
            <w:tcW w:w="993" w:type="dxa"/>
            <w:tcBorders>
              <w:top w:val="single" w:sz="4" w:space="0" w:color="auto"/>
              <w:bottom w:val="single" w:sz="4" w:space="0" w:color="auto"/>
              <w:right w:val="nil"/>
            </w:tcBorders>
            <w:noWrap/>
            <w:vAlign w:val="center"/>
          </w:tcPr>
          <w:p w14:paraId="31A0A57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Anusha</w:t>
            </w:r>
          </w:p>
        </w:tc>
        <w:tc>
          <w:tcPr>
            <w:tcW w:w="708" w:type="dxa"/>
            <w:tcBorders>
              <w:top w:val="single" w:sz="4" w:space="0" w:color="auto"/>
              <w:left w:val="nil"/>
              <w:bottom w:val="single" w:sz="4" w:space="0" w:color="auto"/>
              <w:right w:val="nil"/>
            </w:tcBorders>
            <w:noWrap/>
            <w:vAlign w:val="center"/>
          </w:tcPr>
          <w:p w14:paraId="7AF94ECD"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4950F69F"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India</w:t>
            </w:r>
          </w:p>
        </w:tc>
        <w:tc>
          <w:tcPr>
            <w:tcW w:w="1275" w:type="dxa"/>
            <w:tcBorders>
              <w:top w:val="single" w:sz="4" w:space="0" w:color="auto"/>
              <w:left w:val="nil"/>
              <w:bottom w:val="single" w:sz="4" w:space="0" w:color="auto"/>
              <w:right w:val="nil"/>
            </w:tcBorders>
            <w:vAlign w:val="center"/>
          </w:tcPr>
          <w:p w14:paraId="42121E2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left w:val="nil"/>
              <w:bottom w:val="single" w:sz="4" w:space="0" w:color="auto"/>
              <w:right w:val="nil"/>
            </w:tcBorders>
            <w:vAlign w:val="center"/>
          </w:tcPr>
          <w:p w14:paraId="4C1CC48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Risk of pressure ulcers and agitation</w:t>
            </w:r>
          </w:p>
        </w:tc>
        <w:tc>
          <w:tcPr>
            <w:tcW w:w="1985" w:type="dxa"/>
            <w:tcBorders>
              <w:top w:val="single" w:sz="4" w:space="0" w:color="auto"/>
              <w:left w:val="nil"/>
              <w:bottom w:val="single" w:sz="4" w:space="0" w:color="auto"/>
              <w:right w:val="nil"/>
            </w:tcBorders>
            <w:vAlign w:val="center"/>
          </w:tcPr>
          <w:p w14:paraId="06ACEFA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use of accelerometer on the mattress to monitor movement on the bed.</w:t>
            </w:r>
          </w:p>
        </w:tc>
        <w:tc>
          <w:tcPr>
            <w:tcW w:w="3541" w:type="dxa"/>
            <w:tcBorders>
              <w:top w:val="single" w:sz="4" w:space="0" w:color="auto"/>
              <w:left w:val="nil"/>
              <w:bottom w:val="single" w:sz="4" w:space="0" w:color="auto"/>
              <w:right w:val="nil"/>
            </w:tcBorders>
            <w:vAlign w:val="center"/>
          </w:tcPr>
          <w:p w14:paraId="337377E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in the laboratory. The number of participants was not reported. Accelerometers were placed on the mattress and the participants performed several actions on it, including sitting up, rolling over, and slightly moving the limbs.</w:t>
            </w:r>
          </w:p>
        </w:tc>
        <w:tc>
          <w:tcPr>
            <w:tcW w:w="3261" w:type="dxa"/>
            <w:tcBorders>
              <w:top w:val="single" w:sz="4" w:space="0" w:color="auto"/>
              <w:left w:val="nil"/>
              <w:bottom w:val="single" w:sz="4" w:space="0" w:color="auto"/>
            </w:tcBorders>
            <w:vAlign w:val="center"/>
          </w:tcPr>
          <w:p w14:paraId="6FCB60E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algorithm categorized the activity with a 100% accuracy for a single participant. 92% accuracy when the system was trained with the accelerometer on more locations on the bed. When the system was trained with seven different beds, the accuracy on an eighth bed was 82%.</w:t>
            </w:r>
          </w:p>
        </w:tc>
      </w:tr>
      <w:tr w:rsidR="005A499B" w:rsidRPr="001E6273" w14:paraId="487FA9E2" w14:textId="77777777" w:rsidTr="007E42ED">
        <w:trPr>
          <w:trHeight w:val="903"/>
        </w:trPr>
        <w:tc>
          <w:tcPr>
            <w:tcW w:w="993" w:type="dxa"/>
            <w:tcBorders>
              <w:top w:val="single" w:sz="4" w:space="0" w:color="auto"/>
              <w:bottom w:val="single" w:sz="4" w:space="0" w:color="auto"/>
              <w:right w:val="nil"/>
            </w:tcBorders>
            <w:noWrap/>
            <w:vAlign w:val="center"/>
          </w:tcPr>
          <w:p w14:paraId="441F70B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Cicceri</w:t>
            </w:r>
          </w:p>
        </w:tc>
        <w:tc>
          <w:tcPr>
            <w:tcW w:w="708" w:type="dxa"/>
            <w:tcBorders>
              <w:top w:val="single" w:sz="4" w:space="0" w:color="auto"/>
              <w:left w:val="nil"/>
              <w:bottom w:val="single" w:sz="4" w:space="0" w:color="auto"/>
              <w:right w:val="nil"/>
            </w:tcBorders>
            <w:noWrap/>
            <w:vAlign w:val="center"/>
          </w:tcPr>
          <w:p w14:paraId="0534EBB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5A4371E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Italy</w:t>
            </w:r>
          </w:p>
        </w:tc>
        <w:tc>
          <w:tcPr>
            <w:tcW w:w="1275" w:type="dxa"/>
            <w:tcBorders>
              <w:top w:val="single" w:sz="4" w:space="0" w:color="auto"/>
              <w:left w:val="nil"/>
              <w:bottom w:val="single" w:sz="4" w:space="0" w:color="auto"/>
              <w:right w:val="nil"/>
            </w:tcBorders>
            <w:vAlign w:val="center"/>
          </w:tcPr>
          <w:p w14:paraId="6876252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researchers</w:t>
            </w:r>
          </w:p>
        </w:tc>
        <w:tc>
          <w:tcPr>
            <w:tcW w:w="1134" w:type="dxa"/>
            <w:tcBorders>
              <w:top w:val="single" w:sz="4" w:space="0" w:color="auto"/>
              <w:left w:val="nil"/>
              <w:bottom w:val="single" w:sz="4" w:space="0" w:color="auto"/>
              <w:right w:val="nil"/>
            </w:tcBorders>
            <w:vAlign w:val="center"/>
          </w:tcPr>
          <w:p w14:paraId="177D234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Risk of pressure ulcers</w:t>
            </w:r>
          </w:p>
        </w:tc>
        <w:tc>
          <w:tcPr>
            <w:tcW w:w="1985" w:type="dxa"/>
            <w:tcBorders>
              <w:top w:val="single" w:sz="4" w:space="0" w:color="auto"/>
              <w:left w:val="nil"/>
              <w:bottom w:val="single" w:sz="4" w:space="0" w:color="auto"/>
              <w:right w:val="nil"/>
            </w:tcBorders>
            <w:vAlign w:val="center"/>
          </w:tcPr>
          <w:p w14:paraId="36BE9B1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design and implement a wearable sensor system to prevent pressure ulcers with deep learning.</w:t>
            </w:r>
          </w:p>
        </w:tc>
        <w:tc>
          <w:tcPr>
            <w:tcW w:w="3541" w:type="dxa"/>
            <w:tcBorders>
              <w:top w:val="single" w:sz="4" w:space="0" w:color="auto"/>
              <w:left w:val="nil"/>
              <w:bottom w:val="single" w:sz="4" w:space="0" w:color="auto"/>
              <w:right w:val="nil"/>
            </w:tcBorders>
            <w:vAlign w:val="center"/>
          </w:tcPr>
          <w:p w14:paraId="4951258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6 adult patents wore a hospital gown with integrated sensors in the medicine department. The body position was monitored. The proposed deep learning method was compared with two machine learning models. </w:t>
            </w:r>
          </w:p>
        </w:tc>
        <w:tc>
          <w:tcPr>
            <w:tcW w:w="3261" w:type="dxa"/>
            <w:tcBorders>
              <w:top w:val="single" w:sz="4" w:space="0" w:color="auto"/>
              <w:left w:val="nil"/>
              <w:bottom w:val="single" w:sz="4" w:space="0" w:color="auto"/>
            </w:tcBorders>
            <w:vAlign w:val="center"/>
          </w:tcPr>
          <w:p w14:paraId="4918F01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precision was between 99% and 100%.</w:t>
            </w:r>
          </w:p>
          <w:p w14:paraId="5CBFE34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sensitivity was between 93% and 100%. </w:t>
            </w:r>
          </w:p>
        </w:tc>
      </w:tr>
      <w:tr w:rsidR="005A499B" w:rsidRPr="001E6273" w14:paraId="206C5386" w14:textId="77777777" w:rsidTr="007E42ED">
        <w:trPr>
          <w:trHeight w:val="903"/>
        </w:trPr>
        <w:tc>
          <w:tcPr>
            <w:tcW w:w="993" w:type="dxa"/>
            <w:tcBorders>
              <w:top w:val="single" w:sz="4" w:space="0" w:color="auto"/>
              <w:bottom w:val="single" w:sz="4" w:space="0" w:color="auto"/>
              <w:right w:val="nil"/>
            </w:tcBorders>
            <w:noWrap/>
            <w:vAlign w:val="center"/>
          </w:tcPr>
          <w:p w14:paraId="64A523A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Minteer</w:t>
            </w:r>
          </w:p>
        </w:tc>
        <w:tc>
          <w:tcPr>
            <w:tcW w:w="708" w:type="dxa"/>
            <w:tcBorders>
              <w:top w:val="single" w:sz="4" w:space="0" w:color="auto"/>
              <w:left w:val="nil"/>
              <w:bottom w:val="single" w:sz="4" w:space="0" w:color="auto"/>
              <w:right w:val="nil"/>
            </w:tcBorders>
            <w:noWrap/>
            <w:vAlign w:val="center"/>
          </w:tcPr>
          <w:p w14:paraId="2E56CF9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53666D4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1B7A468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PUMP1 and PUMP2, developed by the authors</w:t>
            </w:r>
          </w:p>
        </w:tc>
        <w:tc>
          <w:tcPr>
            <w:tcW w:w="1134" w:type="dxa"/>
            <w:tcBorders>
              <w:top w:val="single" w:sz="4" w:space="0" w:color="auto"/>
              <w:left w:val="nil"/>
              <w:bottom w:val="single" w:sz="4" w:space="0" w:color="auto"/>
              <w:right w:val="nil"/>
            </w:tcBorders>
            <w:vAlign w:val="center"/>
          </w:tcPr>
          <w:p w14:paraId="3CF19DA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Risk of pressure ulcers </w:t>
            </w:r>
          </w:p>
        </w:tc>
        <w:tc>
          <w:tcPr>
            <w:tcW w:w="1985" w:type="dxa"/>
            <w:tcBorders>
              <w:top w:val="single" w:sz="4" w:space="0" w:color="auto"/>
              <w:left w:val="nil"/>
              <w:bottom w:val="single" w:sz="4" w:space="0" w:color="auto"/>
              <w:right w:val="nil"/>
            </w:tcBorders>
            <w:vAlign w:val="center"/>
          </w:tcPr>
          <w:p w14:paraId="1C3A41B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test the accuracy of PUMP1 (garment sensors) and PUMP2 (bed sensors) in detecting body repositioning. </w:t>
            </w:r>
          </w:p>
        </w:tc>
        <w:tc>
          <w:tcPr>
            <w:tcW w:w="3541" w:type="dxa"/>
            <w:tcBorders>
              <w:top w:val="single" w:sz="4" w:space="0" w:color="auto"/>
              <w:left w:val="nil"/>
              <w:bottom w:val="single" w:sz="4" w:space="0" w:color="auto"/>
              <w:right w:val="nil"/>
            </w:tcBorders>
            <w:vAlign w:val="center"/>
          </w:tcPr>
          <w:p w14:paraId="01F739B0" w14:textId="77777777" w:rsidR="005A499B" w:rsidRPr="00523AB6" w:rsidRDefault="005A499B" w:rsidP="007E42ED">
            <w:pPr>
              <w:spacing w:after="0"/>
              <w:rPr>
                <w:rFonts w:ascii="Calibri" w:hAnsi="Calibri" w:cs="Calibri"/>
                <w:b/>
                <w:bCs/>
                <w:lang w:val="en-GB"/>
              </w:rPr>
            </w:pPr>
            <w:r w:rsidRPr="00523AB6">
              <w:rPr>
                <w:rFonts w:ascii="Calibri" w:hAnsi="Calibri" w:cs="Calibri"/>
                <w:lang w:val="en-GB"/>
              </w:rPr>
              <w:t>Quantitative cross-sectional study with 10 immobile patients in the hospital. They were monitored by both devices for</w:t>
            </w:r>
            <w:r w:rsidRPr="00523AB6">
              <w:rPr>
                <w:lang w:val="en-US"/>
              </w:rPr>
              <w:t xml:space="preserve"> </w:t>
            </w:r>
            <w:r w:rsidRPr="00523AB6">
              <w:rPr>
                <w:rFonts w:ascii="Calibri" w:hAnsi="Calibri" w:cs="Calibri"/>
                <w:lang w:val="en-GB"/>
              </w:rPr>
              <w:t>10 ± 2 hours. The data was compared to body repositioning events identified from a video footage.</w:t>
            </w:r>
          </w:p>
        </w:tc>
        <w:tc>
          <w:tcPr>
            <w:tcW w:w="3261" w:type="dxa"/>
            <w:tcBorders>
              <w:top w:val="single" w:sz="4" w:space="0" w:color="auto"/>
              <w:left w:val="nil"/>
              <w:bottom w:val="single" w:sz="4" w:space="0" w:color="auto"/>
            </w:tcBorders>
            <w:vAlign w:val="center"/>
          </w:tcPr>
          <w:p w14:paraId="046CB74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Both PUMP1 and PUMP2 captured repositioning movement with 85% reliability.</w:t>
            </w:r>
          </w:p>
          <w:p w14:paraId="59BF19C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False positives: 2 events for PUMP1, 1 for PUMP2. </w:t>
            </w:r>
          </w:p>
          <w:p w14:paraId="134D882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False negatives:  11 events for PUMP1, 7 for PUMP2. </w:t>
            </w:r>
          </w:p>
        </w:tc>
      </w:tr>
      <w:tr w:rsidR="005A499B" w:rsidRPr="001E6273" w14:paraId="4F074029" w14:textId="77777777" w:rsidTr="007E42ED">
        <w:trPr>
          <w:trHeight w:val="903"/>
        </w:trPr>
        <w:tc>
          <w:tcPr>
            <w:tcW w:w="993" w:type="dxa"/>
            <w:tcBorders>
              <w:top w:val="single" w:sz="4" w:space="0" w:color="auto"/>
              <w:bottom w:val="single" w:sz="4" w:space="0" w:color="auto"/>
              <w:right w:val="nil"/>
            </w:tcBorders>
            <w:noWrap/>
            <w:vAlign w:val="center"/>
          </w:tcPr>
          <w:p w14:paraId="76CD06F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Pickham</w:t>
            </w:r>
          </w:p>
        </w:tc>
        <w:tc>
          <w:tcPr>
            <w:tcW w:w="708" w:type="dxa"/>
            <w:tcBorders>
              <w:top w:val="single" w:sz="4" w:space="0" w:color="auto"/>
              <w:left w:val="nil"/>
              <w:bottom w:val="single" w:sz="4" w:space="0" w:color="auto"/>
              <w:right w:val="nil"/>
            </w:tcBorders>
            <w:noWrap/>
            <w:vAlign w:val="center"/>
          </w:tcPr>
          <w:p w14:paraId="3291BA1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2018</w:t>
            </w:r>
          </w:p>
        </w:tc>
        <w:tc>
          <w:tcPr>
            <w:tcW w:w="993" w:type="dxa"/>
            <w:gridSpan w:val="2"/>
            <w:tcBorders>
              <w:top w:val="single" w:sz="4" w:space="0" w:color="auto"/>
              <w:left w:val="nil"/>
              <w:bottom w:val="single" w:sz="4" w:space="0" w:color="auto"/>
              <w:right w:val="nil"/>
            </w:tcBorders>
            <w:noWrap/>
            <w:vAlign w:val="center"/>
          </w:tcPr>
          <w:p w14:paraId="1B9C648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9C8C7D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Leaf Patient Monitoring System (Leaf Healthcare, Inc., San </w:t>
            </w:r>
            <w:r w:rsidRPr="00523AB6">
              <w:rPr>
                <w:rFonts w:ascii="Calibri" w:eastAsia="Times New Roman" w:hAnsi="Calibri" w:cs="Calibri"/>
                <w:lang w:val="en-GB"/>
              </w:rPr>
              <w:lastRenderedPageBreak/>
              <w:t>Francisco, CA)</w:t>
            </w:r>
          </w:p>
        </w:tc>
        <w:tc>
          <w:tcPr>
            <w:tcW w:w="1134" w:type="dxa"/>
            <w:tcBorders>
              <w:top w:val="single" w:sz="4" w:space="0" w:color="auto"/>
              <w:left w:val="nil"/>
              <w:bottom w:val="single" w:sz="4" w:space="0" w:color="auto"/>
              <w:right w:val="nil"/>
            </w:tcBorders>
            <w:vAlign w:val="center"/>
          </w:tcPr>
          <w:p w14:paraId="06A82DB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Risk of pressure ulcers</w:t>
            </w:r>
          </w:p>
        </w:tc>
        <w:tc>
          <w:tcPr>
            <w:tcW w:w="1985" w:type="dxa"/>
            <w:tcBorders>
              <w:top w:val="single" w:sz="4" w:space="0" w:color="auto"/>
              <w:left w:val="nil"/>
              <w:bottom w:val="single" w:sz="4" w:space="0" w:color="auto"/>
              <w:right w:val="nil"/>
            </w:tcBorders>
            <w:vAlign w:val="center"/>
          </w:tcPr>
          <w:p w14:paraId="7CEDD94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the effectiveness of Leaf on preventing pressure ulcers.</w:t>
            </w:r>
          </w:p>
        </w:tc>
        <w:tc>
          <w:tcPr>
            <w:tcW w:w="3541" w:type="dxa"/>
            <w:tcBorders>
              <w:top w:val="single" w:sz="4" w:space="0" w:color="auto"/>
              <w:left w:val="nil"/>
              <w:bottom w:val="single" w:sz="4" w:space="0" w:color="auto"/>
              <w:right w:val="nil"/>
            </w:tcBorders>
            <w:vAlign w:val="center"/>
          </w:tcPr>
          <w:p w14:paraId="4BB5944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Randomized controlled trial. Among 1,312 patients in ICU, 659 wore a Leaf monitor which helps providers know whether the patient has turned recently.   </w:t>
            </w:r>
          </w:p>
        </w:tc>
        <w:tc>
          <w:tcPr>
            <w:tcW w:w="3261" w:type="dxa"/>
            <w:tcBorders>
              <w:top w:val="single" w:sz="4" w:space="0" w:color="auto"/>
              <w:left w:val="nil"/>
              <w:bottom w:val="single" w:sz="4" w:space="0" w:color="auto"/>
            </w:tcBorders>
            <w:vAlign w:val="center"/>
          </w:tcPr>
          <w:p w14:paraId="1005F15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Patients with Leaf had significantly less chance of pressure ulcers (OR=0.33, 95% CI [0.12, 0.90]). The staff complied to the turning scheme of these patients more </w:t>
            </w:r>
            <w:r w:rsidRPr="00523AB6">
              <w:rPr>
                <w:lang w:val="en-US"/>
              </w:rPr>
              <w:t>(</w:t>
            </w:r>
            <w:r w:rsidRPr="00523AB6">
              <w:rPr>
                <w:rFonts w:ascii="Calibri" w:hAnsi="Calibri" w:cs="Calibri"/>
                <w:lang w:val="en-GB"/>
              </w:rPr>
              <w:t xml:space="preserve">67% vs. control=51%, </w:t>
            </w:r>
            <w:r w:rsidRPr="00523AB6">
              <w:rPr>
                <w:rFonts w:ascii="Calibri" w:hAnsi="Calibri" w:cs="Calibri"/>
                <w:i/>
                <w:iCs/>
                <w:lang w:val="en-GB"/>
              </w:rPr>
              <w:t>p</w:t>
            </w:r>
            <w:r w:rsidRPr="00523AB6">
              <w:rPr>
                <w:rFonts w:ascii="Calibri" w:hAnsi="Calibri" w:cs="Calibri"/>
                <w:lang w:val="en-GB"/>
              </w:rPr>
              <w:t xml:space="preserve"> &lt; 0.005).</w:t>
            </w:r>
          </w:p>
        </w:tc>
      </w:tr>
      <w:tr w:rsidR="005A499B" w:rsidRPr="001E6273" w14:paraId="7EAC45B2" w14:textId="77777777" w:rsidTr="007E42ED">
        <w:trPr>
          <w:trHeight w:val="903"/>
        </w:trPr>
        <w:tc>
          <w:tcPr>
            <w:tcW w:w="993" w:type="dxa"/>
            <w:tcBorders>
              <w:top w:val="single" w:sz="4" w:space="0" w:color="auto"/>
              <w:bottom w:val="single" w:sz="4" w:space="0" w:color="auto"/>
              <w:right w:val="nil"/>
            </w:tcBorders>
            <w:noWrap/>
            <w:vAlign w:val="center"/>
          </w:tcPr>
          <w:p w14:paraId="6435444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Alessi</w:t>
            </w:r>
          </w:p>
        </w:tc>
        <w:tc>
          <w:tcPr>
            <w:tcW w:w="708" w:type="dxa"/>
            <w:tcBorders>
              <w:top w:val="single" w:sz="4" w:space="0" w:color="auto"/>
              <w:left w:val="nil"/>
              <w:bottom w:val="single" w:sz="4" w:space="0" w:color="auto"/>
              <w:right w:val="nil"/>
            </w:tcBorders>
            <w:noWrap/>
            <w:vAlign w:val="center"/>
          </w:tcPr>
          <w:p w14:paraId="6A893A65" w14:textId="77777777" w:rsidR="005A499B" w:rsidRPr="00523AB6" w:rsidRDefault="005A499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1999</w:t>
            </w:r>
          </w:p>
        </w:tc>
        <w:tc>
          <w:tcPr>
            <w:tcW w:w="993" w:type="dxa"/>
            <w:gridSpan w:val="2"/>
            <w:tcBorders>
              <w:top w:val="single" w:sz="4" w:space="0" w:color="auto"/>
              <w:left w:val="nil"/>
              <w:bottom w:val="single" w:sz="4" w:space="0" w:color="auto"/>
              <w:right w:val="nil"/>
            </w:tcBorders>
            <w:noWrap/>
            <w:vAlign w:val="center"/>
          </w:tcPr>
          <w:p w14:paraId="2D923665" w14:textId="77777777" w:rsidR="005A499B" w:rsidRPr="00523AB6" w:rsidRDefault="005A499B" w:rsidP="007E42ED">
            <w:pPr>
              <w:rPr>
                <w:rFonts w:ascii="Calibri" w:hAnsi="Calibri" w:cs="Calibri"/>
              </w:rPr>
            </w:pPr>
            <w:r w:rsidRPr="00523AB6">
              <w:rPr>
                <w:rFonts w:ascii="Calibri" w:hAnsi="Calibri" w:cs="Calibri"/>
              </w:rPr>
              <w:t>USA</w:t>
            </w:r>
          </w:p>
        </w:tc>
        <w:tc>
          <w:tcPr>
            <w:tcW w:w="1275" w:type="dxa"/>
            <w:tcBorders>
              <w:top w:val="single" w:sz="4" w:space="0" w:color="auto"/>
              <w:left w:val="nil"/>
              <w:bottom w:val="single" w:sz="4" w:space="0" w:color="auto"/>
              <w:right w:val="nil"/>
            </w:tcBorders>
            <w:vAlign w:val="center"/>
          </w:tcPr>
          <w:p w14:paraId="5D3D844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Wrist activity monitor (Augmentech Inc., Pittsburgh, PA)</w:t>
            </w:r>
          </w:p>
        </w:tc>
        <w:tc>
          <w:tcPr>
            <w:tcW w:w="1134" w:type="dxa"/>
            <w:tcBorders>
              <w:top w:val="single" w:sz="4" w:space="0" w:color="auto"/>
              <w:left w:val="nil"/>
              <w:bottom w:val="single" w:sz="4" w:space="0" w:color="auto"/>
              <w:right w:val="nil"/>
            </w:tcBorders>
            <w:vAlign w:val="center"/>
          </w:tcPr>
          <w:p w14:paraId="1C086B7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0A10702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effect of daytime physical activity and night time environment on sleep and agitation.</w:t>
            </w:r>
          </w:p>
        </w:tc>
        <w:tc>
          <w:tcPr>
            <w:tcW w:w="3541" w:type="dxa"/>
            <w:tcBorders>
              <w:top w:val="single" w:sz="4" w:space="0" w:color="auto"/>
              <w:left w:val="nil"/>
              <w:bottom w:val="single" w:sz="4" w:space="0" w:color="auto"/>
              <w:right w:val="nil"/>
            </w:tcBorders>
            <w:vAlign w:val="center"/>
          </w:tcPr>
          <w:p w14:paraId="33AA740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29 older adults with incontinence living in nursing homes. The monitor was worn on the wrist for 5 nights during the night.</w:t>
            </w:r>
          </w:p>
        </w:tc>
        <w:tc>
          <w:tcPr>
            <w:tcW w:w="3261" w:type="dxa"/>
            <w:tcBorders>
              <w:top w:val="single" w:sz="4" w:space="0" w:color="auto"/>
              <w:left w:val="nil"/>
              <w:bottom w:val="single" w:sz="4" w:space="0" w:color="auto"/>
            </w:tcBorders>
            <w:vAlign w:val="center"/>
          </w:tcPr>
          <w:p w14:paraId="2D32532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Wrist activity monitors had a sensitivity of 95.5% and a specificity of 82.0% monitoring sleep-wake status, compared to behavioral observations.</w:t>
            </w:r>
          </w:p>
        </w:tc>
      </w:tr>
      <w:tr w:rsidR="005A499B" w:rsidRPr="001E6273" w14:paraId="04A15734" w14:textId="77777777" w:rsidTr="007E42ED">
        <w:trPr>
          <w:trHeight w:val="903"/>
        </w:trPr>
        <w:tc>
          <w:tcPr>
            <w:tcW w:w="993" w:type="dxa"/>
            <w:tcBorders>
              <w:top w:val="single" w:sz="4" w:space="0" w:color="auto"/>
              <w:bottom w:val="single" w:sz="4" w:space="0" w:color="auto"/>
              <w:right w:val="nil"/>
            </w:tcBorders>
            <w:noWrap/>
            <w:vAlign w:val="center"/>
          </w:tcPr>
          <w:p w14:paraId="31FAB1A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Brooks</w:t>
            </w:r>
          </w:p>
        </w:tc>
        <w:tc>
          <w:tcPr>
            <w:tcW w:w="708" w:type="dxa"/>
            <w:tcBorders>
              <w:top w:val="single" w:sz="4" w:space="0" w:color="auto"/>
              <w:left w:val="nil"/>
              <w:bottom w:val="single" w:sz="4" w:space="0" w:color="auto"/>
              <w:right w:val="nil"/>
            </w:tcBorders>
            <w:noWrap/>
            <w:vAlign w:val="center"/>
          </w:tcPr>
          <w:p w14:paraId="797E346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1993</w:t>
            </w:r>
          </w:p>
        </w:tc>
        <w:tc>
          <w:tcPr>
            <w:tcW w:w="993" w:type="dxa"/>
            <w:gridSpan w:val="2"/>
            <w:tcBorders>
              <w:top w:val="single" w:sz="4" w:space="0" w:color="auto"/>
              <w:left w:val="nil"/>
              <w:bottom w:val="single" w:sz="4" w:space="0" w:color="auto"/>
              <w:right w:val="nil"/>
            </w:tcBorders>
            <w:noWrap/>
            <w:vAlign w:val="center"/>
          </w:tcPr>
          <w:p w14:paraId="79AD19F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0CB500A" w14:textId="77777777" w:rsidR="005A499B" w:rsidRPr="00523AB6" w:rsidRDefault="005A499B" w:rsidP="007E42ED">
            <w:pPr>
              <w:rPr>
                <w:rFonts w:ascii="Calibri" w:hAnsi="Calibri" w:cs="Calibri"/>
                <w:lang w:val="en-US"/>
              </w:rPr>
            </w:pPr>
            <w:r w:rsidRPr="00523AB6">
              <w:rPr>
                <w:rFonts w:ascii="Calibri" w:hAnsi="Calibri" w:cs="Calibri"/>
                <w:lang w:val="en-US"/>
              </w:rPr>
              <w:t>Actigraph (Ambulatory Monitoring, Inc., Ardsley, NY)</w:t>
            </w:r>
          </w:p>
        </w:tc>
        <w:tc>
          <w:tcPr>
            <w:tcW w:w="1134" w:type="dxa"/>
            <w:tcBorders>
              <w:top w:val="single" w:sz="4" w:space="0" w:color="auto"/>
              <w:left w:val="nil"/>
              <w:bottom w:val="single" w:sz="4" w:space="0" w:color="auto"/>
              <w:right w:val="nil"/>
            </w:tcBorders>
            <w:vAlign w:val="center"/>
          </w:tcPr>
          <w:p w14:paraId="12CA419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7443DD6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sensitivity of the actigraph to detect insomnia treatment effects.</w:t>
            </w:r>
          </w:p>
        </w:tc>
        <w:tc>
          <w:tcPr>
            <w:tcW w:w="3541" w:type="dxa"/>
            <w:tcBorders>
              <w:top w:val="single" w:sz="4" w:space="0" w:color="auto"/>
              <w:left w:val="nil"/>
              <w:bottom w:val="single" w:sz="4" w:space="0" w:color="auto"/>
              <w:right w:val="nil"/>
            </w:tcBorders>
            <w:vAlign w:val="center"/>
          </w:tcPr>
          <w:p w14:paraId="6A92AF8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9 older adults with insomnia, without dementia. They wore the actigraph for one night at home.</w:t>
            </w:r>
          </w:p>
        </w:tc>
        <w:tc>
          <w:tcPr>
            <w:tcW w:w="3261" w:type="dxa"/>
            <w:tcBorders>
              <w:top w:val="single" w:sz="4" w:space="0" w:color="auto"/>
              <w:left w:val="nil"/>
              <w:bottom w:val="single" w:sz="4" w:space="0" w:color="auto"/>
            </w:tcBorders>
            <w:vAlign w:val="center"/>
          </w:tcPr>
          <w:p w14:paraId="1865635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Change in total sleep time measured by actigraphy correlates with the sleep log (</w:t>
            </w:r>
            <w:r w:rsidRPr="00523AB6">
              <w:rPr>
                <w:rFonts w:ascii="Calibri" w:hAnsi="Calibri" w:cs="Calibri"/>
                <w:i/>
                <w:iCs/>
                <w:lang w:val="en-GB"/>
              </w:rPr>
              <w:t>r</w:t>
            </w:r>
            <w:r w:rsidRPr="00523AB6">
              <w:rPr>
                <w:rFonts w:ascii="Calibri" w:hAnsi="Calibri" w:cs="Calibri"/>
                <w:lang w:val="en-GB"/>
              </w:rPr>
              <w:t xml:space="preserve"> = 0.69, </w:t>
            </w:r>
            <w:r w:rsidRPr="00523AB6">
              <w:rPr>
                <w:rFonts w:ascii="Calibri" w:hAnsi="Calibri" w:cs="Calibri"/>
                <w:i/>
                <w:iCs/>
                <w:lang w:val="en-GB"/>
              </w:rPr>
              <w:t>p</w:t>
            </w:r>
            <w:r w:rsidRPr="00523AB6">
              <w:rPr>
                <w:rFonts w:ascii="Calibri" w:hAnsi="Calibri" w:cs="Calibri"/>
                <w:lang w:val="en-GB"/>
              </w:rPr>
              <w:t xml:space="preserve"> = 0.04). No correlations between the two measurements in changes of time to sleep onset, wake after sleep onset and sleep efficiency.</w:t>
            </w:r>
          </w:p>
        </w:tc>
      </w:tr>
      <w:tr w:rsidR="005A499B" w:rsidRPr="001E6273" w14:paraId="489BE21A" w14:textId="77777777" w:rsidTr="007E42ED">
        <w:trPr>
          <w:trHeight w:val="903"/>
        </w:trPr>
        <w:tc>
          <w:tcPr>
            <w:tcW w:w="993" w:type="dxa"/>
            <w:tcBorders>
              <w:top w:val="single" w:sz="4" w:space="0" w:color="auto"/>
              <w:bottom w:val="single" w:sz="4" w:space="0" w:color="auto"/>
              <w:right w:val="nil"/>
            </w:tcBorders>
            <w:noWrap/>
            <w:vAlign w:val="center"/>
          </w:tcPr>
          <w:p w14:paraId="3C9B21C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Delaney</w:t>
            </w:r>
          </w:p>
        </w:tc>
        <w:tc>
          <w:tcPr>
            <w:tcW w:w="708" w:type="dxa"/>
            <w:tcBorders>
              <w:top w:val="single" w:sz="4" w:space="0" w:color="auto"/>
              <w:left w:val="nil"/>
              <w:bottom w:val="single" w:sz="4" w:space="0" w:color="auto"/>
              <w:right w:val="nil"/>
            </w:tcBorders>
            <w:noWrap/>
            <w:vAlign w:val="center"/>
          </w:tcPr>
          <w:p w14:paraId="266AEE5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6F46316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Australia</w:t>
            </w:r>
          </w:p>
        </w:tc>
        <w:tc>
          <w:tcPr>
            <w:tcW w:w="1275" w:type="dxa"/>
            <w:tcBorders>
              <w:top w:val="single" w:sz="4" w:space="0" w:color="auto"/>
              <w:left w:val="nil"/>
              <w:bottom w:val="single" w:sz="4" w:space="0" w:color="auto"/>
              <w:right w:val="nil"/>
            </w:tcBorders>
            <w:vAlign w:val="center"/>
          </w:tcPr>
          <w:p w14:paraId="72E3412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Spectrum Plus (Phillips Respironics</w:t>
            </w:r>
            <w:r w:rsidRPr="00523AB6">
              <w:rPr>
                <w:rFonts w:ascii="Calibri" w:hAnsi="Calibri" w:cs="Calibri"/>
                <w:lang w:val="en-US"/>
              </w:rPr>
              <w:t xml:space="preserve"> Inc, Murrysville, PA</w:t>
            </w:r>
            <w:r w:rsidRPr="00523AB6">
              <w:rPr>
                <w:rFonts w:ascii="Calibri" w:eastAsia="Times New Roman" w:hAnsi="Calibri" w:cs="Calibri"/>
                <w:lang w:val="en-GB"/>
              </w:rPr>
              <w:t>)</w:t>
            </w:r>
          </w:p>
        </w:tc>
        <w:tc>
          <w:tcPr>
            <w:tcW w:w="1134" w:type="dxa"/>
            <w:tcBorders>
              <w:top w:val="single" w:sz="4" w:space="0" w:color="auto"/>
              <w:left w:val="nil"/>
              <w:bottom w:val="single" w:sz="4" w:space="0" w:color="auto"/>
              <w:right w:val="nil"/>
            </w:tcBorders>
            <w:vAlign w:val="center"/>
          </w:tcPr>
          <w:p w14:paraId="13470FC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2834BEA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feasibility and reliability of actigraphy to monitor sleep compared with polysomnography (PSG).</w:t>
            </w:r>
          </w:p>
        </w:tc>
        <w:tc>
          <w:tcPr>
            <w:tcW w:w="3541" w:type="dxa"/>
            <w:tcBorders>
              <w:top w:val="single" w:sz="4" w:space="0" w:color="auto"/>
              <w:left w:val="nil"/>
              <w:bottom w:val="single" w:sz="4" w:space="0" w:color="auto"/>
              <w:right w:val="nil"/>
            </w:tcBorders>
            <w:vAlign w:val="center"/>
          </w:tcPr>
          <w:p w14:paraId="0A81D39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80 adult patents in the ICU were monitored for 24 hours.</w:t>
            </w:r>
          </w:p>
        </w:tc>
        <w:tc>
          <w:tcPr>
            <w:tcW w:w="3261" w:type="dxa"/>
            <w:tcBorders>
              <w:top w:val="single" w:sz="4" w:space="0" w:color="auto"/>
              <w:left w:val="nil"/>
              <w:bottom w:val="single" w:sz="4" w:space="0" w:color="auto"/>
            </w:tcBorders>
            <w:vAlign w:val="center"/>
          </w:tcPr>
          <w:p w14:paraId="319F556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Agreement in identifying sleep and wake states compared with PSG (69.4%; K = 0.386, </w:t>
            </w:r>
            <w:r w:rsidRPr="00523AB6">
              <w:rPr>
                <w:rFonts w:ascii="Calibri" w:hAnsi="Calibri" w:cs="Calibri"/>
                <w:i/>
                <w:iCs/>
                <w:lang w:val="en-GB"/>
              </w:rPr>
              <w:t>p</w:t>
            </w:r>
            <w:r w:rsidRPr="00523AB6">
              <w:rPr>
                <w:rFonts w:ascii="Calibri" w:hAnsi="Calibri" w:cs="Calibri"/>
                <w:lang w:val="en-GB"/>
              </w:rPr>
              <w:t xml:space="preserve"> &lt; 0.05), with a moderate level of sensitivity (65.5%) and specificity (76.1%). Amongst non-ventilated patients: specificity 83.7%; sensitivity 56.7%.  Moderate correlation with PSG reported total sleep time (</w:t>
            </w:r>
            <w:r w:rsidRPr="00523AB6">
              <w:rPr>
                <w:rFonts w:ascii="Calibri" w:hAnsi="Calibri" w:cs="Calibri"/>
                <w:i/>
                <w:iCs/>
                <w:lang w:val="en-GB"/>
              </w:rPr>
              <w:t>r</w:t>
            </w:r>
            <w:r w:rsidRPr="00523AB6">
              <w:rPr>
                <w:rFonts w:ascii="Calibri" w:hAnsi="Calibri" w:cs="Calibri"/>
                <w:lang w:val="en-GB"/>
              </w:rPr>
              <w:t xml:space="preserve"> = 0.359, </w:t>
            </w:r>
            <w:r w:rsidRPr="00523AB6">
              <w:rPr>
                <w:rFonts w:ascii="Calibri" w:hAnsi="Calibri" w:cs="Calibri"/>
                <w:i/>
                <w:iCs/>
                <w:lang w:val="en-GB"/>
              </w:rPr>
              <w:t>p</w:t>
            </w:r>
            <w:r w:rsidRPr="00523AB6">
              <w:rPr>
                <w:rFonts w:ascii="Calibri" w:hAnsi="Calibri" w:cs="Calibri"/>
                <w:lang w:val="en-GB"/>
              </w:rPr>
              <w:t xml:space="preserve"> &lt; 0.05, underestimated) and wakefulness (</w:t>
            </w:r>
            <w:r w:rsidRPr="00523AB6">
              <w:rPr>
                <w:rFonts w:ascii="Calibri" w:hAnsi="Calibri" w:cs="Calibri"/>
                <w:i/>
                <w:iCs/>
                <w:lang w:val="en-GB"/>
              </w:rPr>
              <w:t>r</w:t>
            </w:r>
            <w:r w:rsidRPr="00523AB6">
              <w:rPr>
                <w:rFonts w:ascii="Calibri" w:hAnsi="Calibri" w:cs="Calibri"/>
                <w:lang w:val="en-GB"/>
              </w:rPr>
              <w:t xml:space="preserve"> = 0.371, </w:t>
            </w:r>
            <w:r w:rsidRPr="00523AB6">
              <w:rPr>
                <w:rFonts w:ascii="Calibri" w:hAnsi="Calibri" w:cs="Calibri"/>
                <w:i/>
                <w:iCs/>
                <w:lang w:val="en-GB"/>
              </w:rPr>
              <w:t>p</w:t>
            </w:r>
            <w:r w:rsidRPr="00523AB6">
              <w:rPr>
                <w:rFonts w:ascii="Calibri" w:hAnsi="Calibri" w:cs="Calibri"/>
                <w:lang w:val="en-GB"/>
              </w:rPr>
              <w:t xml:space="preserve"> &lt; 0.05, overestimated). </w:t>
            </w:r>
          </w:p>
        </w:tc>
      </w:tr>
      <w:tr w:rsidR="005A499B" w:rsidRPr="001E6273" w14:paraId="2BF9F915" w14:textId="77777777" w:rsidTr="007E42ED">
        <w:trPr>
          <w:trHeight w:val="903"/>
        </w:trPr>
        <w:tc>
          <w:tcPr>
            <w:tcW w:w="993" w:type="dxa"/>
            <w:tcBorders>
              <w:top w:val="single" w:sz="4" w:space="0" w:color="auto"/>
              <w:bottom w:val="single" w:sz="4" w:space="0" w:color="auto"/>
              <w:right w:val="nil"/>
            </w:tcBorders>
            <w:noWrap/>
            <w:vAlign w:val="center"/>
          </w:tcPr>
          <w:p w14:paraId="1F3DD43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van Someren</w:t>
            </w:r>
          </w:p>
        </w:tc>
        <w:tc>
          <w:tcPr>
            <w:tcW w:w="708" w:type="dxa"/>
            <w:tcBorders>
              <w:top w:val="single" w:sz="4" w:space="0" w:color="auto"/>
              <w:left w:val="nil"/>
              <w:bottom w:val="single" w:sz="4" w:space="0" w:color="auto"/>
              <w:right w:val="nil"/>
            </w:tcBorders>
            <w:noWrap/>
            <w:vAlign w:val="center"/>
          </w:tcPr>
          <w:p w14:paraId="22021FF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2007</w:t>
            </w:r>
          </w:p>
        </w:tc>
        <w:tc>
          <w:tcPr>
            <w:tcW w:w="993" w:type="dxa"/>
            <w:gridSpan w:val="2"/>
            <w:tcBorders>
              <w:top w:val="single" w:sz="4" w:space="0" w:color="auto"/>
              <w:left w:val="nil"/>
              <w:bottom w:val="single" w:sz="4" w:space="0" w:color="auto"/>
              <w:right w:val="nil"/>
            </w:tcBorders>
            <w:noWrap/>
            <w:vAlign w:val="center"/>
          </w:tcPr>
          <w:p w14:paraId="4691EBA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6709343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and Sleep 5 software (Cambridge Neurotechnology, Cambridge, UK)</w:t>
            </w:r>
          </w:p>
        </w:tc>
        <w:tc>
          <w:tcPr>
            <w:tcW w:w="1134" w:type="dxa"/>
            <w:tcBorders>
              <w:top w:val="single" w:sz="4" w:space="0" w:color="auto"/>
              <w:left w:val="nil"/>
              <w:bottom w:val="single" w:sz="4" w:space="0" w:color="auto"/>
              <w:right w:val="nil"/>
            </w:tcBorders>
            <w:vAlign w:val="center"/>
          </w:tcPr>
          <w:p w14:paraId="6725DD3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32A3F3F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investigate the reliability of actigraphy sleep monitoring depending on the recording duration. </w:t>
            </w:r>
          </w:p>
        </w:tc>
        <w:tc>
          <w:tcPr>
            <w:tcW w:w="3541" w:type="dxa"/>
            <w:tcBorders>
              <w:top w:val="single" w:sz="4" w:space="0" w:color="auto"/>
              <w:left w:val="nil"/>
              <w:bottom w:val="single" w:sz="4" w:space="0" w:color="auto"/>
              <w:right w:val="nil"/>
            </w:tcBorders>
            <w:vAlign w:val="center"/>
          </w:tcPr>
          <w:p w14:paraId="56D285D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 adults with insomnia living at home and 12 older adults with dementia at group-care facilities. Participants wore the device continuously for 20 days.</w:t>
            </w:r>
          </w:p>
        </w:tc>
        <w:tc>
          <w:tcPr>
            <w:tcW w:w="3261" w:type="dxa"/>
            <w:tcBorders>
              <w:top w:val="single" w:sz="4" w:space="0" w:color="auto"/>
              <w:left w:val="nil"/>
              <w:bottom w:val="single" w:sz="4" w:space="0" w:color="auto"/>
            </w:tcBorders>
            <w:vAlign w:val="center"/>
          </w:tcPr>
          <w:p w14:paraId="6566989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Reliability: 59% - 97%, increasing with the recording duration. The authors recommended at least 7 days of monitoring for reliable data. </w:t>
            </w:r>
          </w:p>
        </w:tc>
      </w:tr>
      <w:tr w:rsidR="005A499B" w:rsidRPr="005A499B" w14:paraId="224AF46D" w14:textId="77777777" w:rsidTr="007E42ED">
        <w:trPr>
          <w:trHeight w:val="903"/>
        </w:trPr>
        <w:tc>
          <w:tcPr>
            <w:tcW w:w="993" w:type="dxa"/>
            <w:tcBorders>
              <w:top w:val="single" w:sz="4" w:space="0" w:color="auto"/>
              <w:bottom w:val="single" w:sz="4" w:space="0" w:color="auto"/>
              <w:right w:val="nil"/>
            </w:tcBorders>
            <w:noWrap/>
            <w:vAlign w:val="center"/>
          </w:tcPr>
          <w:p w14:paraId="2FD574F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Gibson</w:t>
            </w:r>
          </w:p>
        </w:tc>
        <w:tc>
          <w:tcPr>
            <w:tcW w:w="708" w:type="dxa"/>
            <w:tcBorders>
              <w:top w:val="single" w:sz="4" w:space="0" w:color="auto"/>
              <w:left w:val="nil"/>
              <w:bottom w:val="single" w:sz="4" w:space="0" w:color="auto"/>
              <w:right w:val="nil"/>
            </w:tcBorders>
            <w:noWrap/>
            <w:vAlign w:val="center"/>
          </w:tcPr>
          <w:p w14:paraId="2AF6105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3CDE7C5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New Zealand</w:t>
            </w:r>
          </w:p>
        </w:tc>
        <w:tc>
          <w:tcPr>
            <w:tcW w:w="1275" w:type="dxa"/>
            <w:tcBorders>
              <w:top w:val="single" w:sz="4" w:space="0" w:color="auto"/>
              <w:left w:val="nil"/>
              <w:bottom w:val="single" w:sz="4" w:space="0" w:color="auto"/>
              <w:right w:val="nil"/>
            </w:tcBorders>
            <w:vAlign w:val="center"/>
          </w:tcPr>
          <w:p w14:paraId="3E54735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Actiwatch-2. Software: Actiware 2015, Version 6 (Mini Mitter, Respironics)</w:t>
            </w:r>
          </w:p>
        </w:tc>
        <w:tc>
          <w:tcPr>
            <w:tcW w:w="1134" w:type="dxa"/>
            <w:tcBorders>
              <w:top w:val="single" w:sz="4" w:space="0" w:color="auto"/>
              <w:left w:val="nil"/>
              <w:bottom w:val="single" w:sz="4" w:space="0" w:color="auto"/>
              <w:right w:val="nil"/>
            </w:tcBorders>
            <w:vAlign w:val="center"/>
          </w:tcPr>
          <w:p w14:paraId="48DA904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03DCBC7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reliability of actigraphy to score sleep patterns.</w:t>
            </w:r>
          </w:p>
        </w:tc>
        <w:tc>
          <w:tcPr>
            <w:tcW w:w="3541" w:type="dxa"/>
            <w:tcBorders>
              <w:top w:val="single" w:sz="4" w:space="0" w:color="auto"/>
              <w:left w:val="nil"/>
              <w:bottom w:val="single" w:sz="4" w:space="0" w:color="auto"/>
              <w:right w:val="nil"/>
            </w:tcBorders>
            <w:vAlign w:val="center"/>
          </w:tcPr>
          <w:p w14:paraId="4636290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15 older adults with dementia and their family caregivers. Both groups wore the device at home for one week and used an event marker to register relevant events such as bedtime.</w:t>
            </w:r>
          </w:p>
        </w:tc>
        <w:tc>
          <w:tcPr>
            <w:tcW w:w="3261" w:type="dxa"/>
            <w:tcBorders>
              <w:top w:val="single" w:sz="4" w:space="0" w:color="auto"/>
              <w:left w:val="nil"/>
              <w:bottom w:val="single" w:sz="4" w:space="0" w:color="auto"/>
            </w:tcBorders>
            <w:vAlign w:val="center"/>
          </w:tcPr>
          <w:p w14:paraId="26D17DB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People with dementia:</w:t>
            </w:r>
          </w:p>
          <w:p w14:paraId="4DD08C7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Sleep: sensitivity: 87%, specificity: 80%</w:t>
            </w:r>
          </w:p>
          <w:p w14:paraId="54AA0A9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Wake: sensitivity 77%, specificity: 61%</w:t>
            </w:r>
          </w:p>
          <w:p w14:paraId="1A65671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Family caregiver:</w:t>
            </w:r>
          </w:p>
          <w:p w14:paraId="3F3109E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Sleep: sensitivity: 90%, specificity: 93%</w:t>
            </w:r>
          </w:p>
          <w:p w14:paraId="57563C0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Wake: sensitivity 92%, specificity: 57%</w:t>
            </w:r>
          </w:p>
        </w:tc>
      </w:tr>
      <w:tr w:rsidR="005A499B" w:rsidRPr="005A499B" w14:paraId="7BF191D7" w14:textId="77777777" w:rsidTr="007E42ED">
        <w:trPr>
          <w:trHeight w:val="903"/>
        </w:trPr>
        <w:tc>
          <w:tcPr>
            <w:tcW w:w="993" w:type="dxa"/>
            <w:tcBorders>
              <w:top w:val="single" w:sz="4" w:space="0" w:color="auto"/>
              <w:bottom w:val="single" w:sz="4" w:space="0" w:color="auto"/>
              <w:right w:val="nil"/>
            </w:tcBorders>
            <w:noWrap/>
            <w:vAlign w:val="center"/>
          </w:tcPr>
          <w:p w14:paraId="308FBF6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Maskevich</w:t>
            </w:r>
          </w:p>
        </w:tc>
        <w:tc>
          <w:tcPr>
            <w:tcW w:w="708" w:type="dxa"/>
            <w:tcBorders>
              <w:top w:val="single" w:sz="4" w:space="0" w:color="auto"/>
              <w:left w:val="nil"/>
              <w:bottom w:val="single" w:sz="4" w:space="0" w:color="auto"/>
              <w:right w:val="nil"/>
            </w:tcBorders>
            <w:noWrap/>
            <w:vAlign w:val="center"/>
          </w:tcPr>
          <w:p w14:paraId="15AFC3E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2017</w:t>
            </w:r>
          </w:p>
        </w:tc>
        <w:tc>
          <w:tcPr>
            <w:tcW w:w="993" w:type="dxa"/>
            <w:gridSpan w:val="2"/>
            <w:tcBorders>
              <w:top w:val="single" w:sz="4" w:space="0" w:color="auto"/>
              <w:left w:val="nil"/>
              <w:bottom w:val="single" w:sz="4" w:space="0" w:color="auto"/>
              <w:right w:val="nil"/>
            </w:tcBorders>
            <w:noWrap/>
            <w:vAlign w:val="center"/>
          </w:tcPr>
          <w:p w14:paraId="12FACF02" w14:textId="77777777" w:rsidR="005A499B" w:rsidRPr="00523AB6" w:rsidRDefault="005A499B" w:rsidP="007E42ED">
            <w:pPr>
              <w:spacing w:after="0"/>
              <w:rPr>
                <w:rFonts w:ascii="Calibri" w:eastAsia="Times New Roman" w:hAnsi="Calibri" w:cs="Calibri"/>
                <w:lang w:val="en-GB"/>
              </w:rPr>
            </w:pPr>
            <w:r w:rsidRPr="00523AB6">
              <w:rPr>
                <w:rFonts w:ascii="Calibri" w:eastAsia="Times New Roman" w:hAnsi="Calibri" w:cs="Calibri"/>
                <w:lang w:val="en-GB"/>
              </w:rPr>
              <w:t>Australia</w:t>
            </w:r>
          </w:p>
        </w:tc>
        <w:tc>
          <w:tcPr>
            <w:tcW w:w="1275" w:type="dxa"/>
            <w:tcBorders>
              <w:top w:val="single" w:sz="4" w:space="0" w:color="auto"/>
              <w:left w:val="nil"/>
              <w:bottom w:val="single" w:sz="4" w:space="0" w:color="auto"/>
              <w:right w:val="nil"/>
            </w:tcBorders>
            <w:vAlign w:val="center"/>
          </w:tcPr>
          <w:p w14:paraId="3AE436A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Spectrum Pro (Philips Respironics, Murrysville, PA), Jawbone UP2 and Fitbit One</w:t>
            </w:r>
          </w:p>
        </w:tc>
        <w:tc>
          <w:tcPr>
            <w:tcW w:w="1134" w:type="dxa"/>
            <w:tcBorders>
              <w:top w:val="single" w:sz="4" w:space="0" w:color="auto"/>
              <w:left w:val="nil"/>
              <w:bottom w:val="single" w:sz="4" w:space="0" w:color="auto"/>
              <w:right w:val="nil"/>
            </w:tcBorders>
            <w:vAlign w:val="center"/>
          </w:tcPr>
          <w:p w14:paraId="60115D9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15412BA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monitoring devices for sleep measurement.</w:t>
            </w:r>
          </w:p>
        </w:tc>
        <w:tc>
          <w:tcPr>
            <w:tcW w:w="3541" w:type="dxa"/>
            <w:tcBorders>
              <w:top w:val="single" w:sz="4" w:space="0" w:color="auto"/>
              <w:left w:val="nil"/>
              <w:bottom w:val="single" w:sz="4" w:space="0" w:color="auto"/>
              <w:right w:val="nil"/>
            </w:tcBorders>
            <w:vAlign w:val="center"/>
          </w:tcPr>
          <w:p w14:paraId="003544F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7 adult Huntington’s gene carriers. They wore the devices overnight while undergoing a PSG at the laboratory.</w:t>
            </w:r>
          </w:p>
        </w:tc>
        <w:tc>
          <w:tcPr>
            <w:tcW w:w="3261" w:type="dxa"/>
            <w:tcBorders>
              <w:top w:val="single" w:sz="4" w:space="0" w:color="auto"/>
              <w:left w:val="nil"/>
              <w:bottom w:val="single" w:sz="4" w:space="0" w:color="auto"/>
            </w:tcBorders>
            <w:vAlign w:val="center"/>
          </w:tcPr>
          <w:p w14:paraId="16A2BB2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All the actigraphy devices are less accurate than PSG and overestimate sleep time by more than an hour and sleep efficiency by 15%. The researchers concluded that they are sufficient to estimate general sleep-wake patterns.</w:t>
            </w:r>
          </w:p>
        </w:tc>
      </w:tr>
      <w:tr w:rsidR="005A499B" w:rsidRPr="005A499B" w14:paraId="13A52C40" w14:textId="77777777" w:rsidTr="007E42ED">
        <w:trPr>
          <w:trHeight w:val="903"/>
        </w:trPr>
        <w:tc>
          <w:tcPr>
            <w:tcW w:w="993" w:type="dxa"/>
            <w:tcBorders>
              <w:top w:val="single" w:sz="4" w:space="0" w:color="auto"/>
              <w:bottom w:val="single" w:sz="4" w:space="0" w:color="auto"/>
              <w:right w:val="nil"/>
            </w:tcBorders>
            <w:noWrap/>
            <w:vAlign w:val="center"/>
          </w:tcPr>
          <w:p w14:paraId="7D74DDC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Stavitsky</w:t>
            </w:r>
          </w:p>
        </w:tc>
        <w:tc>
          <w:tcPr>
            <w:tcW w:w="708" w:type="dxa"/>
            <w:tcBorders>
              <w:top w:val="single" w:sz="4" w:space="0" w:color="auto"/>
              <w:left w:val="nil"/>
              <w:bottom w:val="single" w:sz="4" w:space="0" w:color="auto"/>
              <w:right w:val="nil"/>
            </w:tcBorders>
            <w:noWrap/>
            <w:vAlign w:val="center"/>
          </w:tcPr>
          <w:p w14:paraId="076DAE5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2010</w:t>
            </w:r>
          </w:p>
        </w:tc>
        <w:tc>
          <w:tcPr>
            <w:tcW w:w="993" w:type="dxa"/>
            <w:gridSpan w:val="2"/>
            <w:tcBorders>
              <w:top w:val="single" w:sz="4" w:space="0" w:color="auto"/>
              <w:left w:val="nil"/>
              <w:bottom w:val="single" w:sz="4" w:space="0" w:color="auto"/>
              <w:right w:val="nil"/>
            </w:tcBorders>
            <w:noWrap/>
            <w:vAlign w:val="center"/>
          </w:tcPr>
          <w:p w14:paraId="15C6AB68" w14:textId="77777777" w:rsidR="005A499B" w:rsidRPr="00523AB6" w:rsidRDefault="005A499B" w:rsidP="007E42ED">
            <w:pPr>
              <w:spacing w:after="0"/>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1AA802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AW-64 (Mini Mitter, Sunriver, Orlando)</w:t>
            </w:r>
          </w:p>
        </w:tc>
        <w:tc>
          <w:tcPr>
            <w:tcW w:w="1134" w:type="dxa"/>
            <w:tcBorders>
              <w:top w:val="single" w:sz="4" w:space="0" w:color="auto"/>
              <w:left w:val="nil"/>
              <w:bottom w:val="single" w:sz="4" w:space="0" w:color="auto"/>
              <w:right w:val="nil"/>
            </w:tcBorders>
            <w:vAlign w:val="center"/>
          </w:tcPr>
          <w:p w14:paraId="0503746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709515D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compare self-report with actigraphic data on sleep quality</w:t>
            </w:r>
          </w:p>
        </w:tc>
        <w:tc>
          <w:tcPr>
            <w:tcW w:w="3541" w:type="dxa"/>
            <w:tcBorders>
              <w:top w:val="single" w:sz="4" w:space="0" w:color="auto"/>
              <w:left w:val="nil"/>
              <w:bottom w:val="single" w:sz="4" w:space="0" w:color="auto"/>
              <w:right w:val="nil"/>
            </w:tcBorders>
            <w:vAlign w:val="center"/>
          </w:tcPr>
          <w:p w14:paraId="2272DC9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30 community-dwelling adults with Parkinson’s Disease and 14 normal control participants. The device was worn 24 hours a day for 7 </w:t>
            </w:r>
            <w:r w:rsidRPr="00523AB6">
              <w:rPr>
                <w:rFonts w:ascii="Calibri" w:hAnsi="Calibri" w:cs="Calibri"/>
                <w:lang w:val="en-GB"/>
              </w:rPr>
              <w:lastRenderedPageBreak/>
              <w:t xml:space="preserve">days at home. Sleep diaries were kept for the same period. </w:t>
            </w:r>
          </w:p>
        </w:tc>
        <w:tc>
          <w:tcPr>
            <w:tcW w:w="3261" w:type="dxa"/>
            <w:tcBorders>
              <w:top w:val="single" w:sz="4" w:space="0" w:color="auto"/>
              <w:left w:val="nil"/>
              <w:bottom w:val="single" w:sz="4" w:space="0" w:color="auto"/>
            </w:tcBorders>
            <w:vAlign w:val="center"/>
          </w:tcPr>
          <w:p w14:paraId="2B8475B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Actigraphic data of sleep quality correlated with self-report in the Parkinson group but not in the control group. </w:t>
            </w:r>
          </w:p>
        </w:tc>
      </w:tr>
      <w:tr w:rsidR="005A499B" w:rsidRPr="005A499B" w14:paraId="6881363D" w14:textId="77777777" w:rsidTr="007E42ED">
        <w:trPr>
          <w:trHeight w:val="903"/>
        </w:trPr>
        <w:tc>
          <w:tcPr>
            <w:tcW w:w="993" w:type="dxa"/>
            <w:tcBorders>
              <w:top w:val="single" w:sz="4" w:space="0" w:color="auto"/>
              <w:bottom w:val="single" w:sz="4" w:space="0" w:color="auto"/>
              <w:right w:val="nil"/>
            </w:tcBorders>
            <w:noWrap/>
            <w:vAlign w:val="center"/>
          </w:tcPr>
          <w:p w14:paraId="429F584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McClure</w:t>
            </w:r>
          </w:p>
        </w:tc>
        <w:tc>
          <w:tcPr>
            <w:tcW w:w="708" w:type="dxa"/>
            <w:tcBorders>
              <w:top w:val="single" w:sz="4" w:space="0" w:color="auto"/>
              <w:left w:val="nil"/>
              <w:bottom w:val="single" w:sz="4" w:space="0" w:color="auto"/>
              <w:right w:val="nil"/>
            </w:tcBorders>
            <w:noWrap/>
            <w:vAlign w:val="center"/>
          </w:tcPr>
          <w:p w14:paraId="7609C0F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6F3D3153" w14:textId="77777777" w:rsidR="005A499B" w:rsidRPr="00523AB6" w:rsidRDefault="005A499B" w:rsidP="007E42ED">
            <w:pPr>
              <w:spacing w:after="0"/>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199A3CC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BioStamp nPoint (MC10, Inc., Lexington, MA, USA)</w:t>
            </w:r>
          </w:p>
        </w:tc>
        <w:tc>
          <w:tcPr>
            <w:tcW w:w="1134" w:type="dxa"/>
            <w:tcBorders>
              <w:top w:val="single" w:sz="4" w:space="0" w:color="auto"/>
              <w:left w:val="nil"/>
              <w:bottom w:val="single" w:sz="4" w:space="0" w:color="auto"/>
              <w:right w:val="nil"/>
            </w:tcBorders>
            <w:vAlign w:val="center"/>
          </w:tcPr>
          <w:p w14:paraId="4D199ED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disordered breathing</w:t>
            </w:r>
          </w:p>
        </w:tc>
        <w:tc>
          <w:tcPr>
            <w:tcW w:w="1985" w:type="dxa"/>
            <w:tcBorders>
              <w:top w:val="single" w:sz="4" w:space="0" w:color="auto"/>
              <w:left w:val="nil"/>
              <w:bottom w:val="single" w:sz="4" w:space="0" w:color="auto"/>
              <w:right w:val="nil"/>
            </w:tcBorders>
            <w:vAlign w:val="center"/>
          </w:tcPr>
          <w:p w14:paraId="6AEF791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an analysis system to detect breathing patterns.</w:t>
            </w:r>
          </w:p>
        </w:tc>
        <w:tc>
          <w:tcPr>
            <w:tcW w:w="3541" w:type="dxa"/>
            <w:tcBorders>
              <w:top w:val="single" w:sz="4" w:space="0" w:color="auto"/>
              <w:left w:val="nil"/>
              <w:bottom w:val="single" w:sz="4" w:space="0" w:color="auto"/>
              <w:right w:val="nil"/>
            </w:tcBorders>
            <w:vAlign w:val="center"/>
          </w:tcPr>
          <w:p w14:paraId="00046EA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study with 100 healthy adults in the laboratory. Participants simulated </w:t>
            </w:r>
            <w:r w:rsidRPr="00523AB6">
              <w:rPr>
                <w:lang w:val="en-US"/>
              </w:rPr>
              <w:t xml:space="preserve"> </w:t>
            </w:r>
            <w:r w:rsidRPr="00523AB6">
              <w:rPr>
                <w:rFonts w:ascii="Calibri" w:hAnsi="Calibri" w:cs="Calibri"/>
                <w:lang w:val="en-GB"/>
              </w:rPr>
              <w:t xml:space="preserve">central sleep apnea, coughing, obstructive sleep apnea, sighing, and yawning, while being monitored with wireless sensors on the chest and abdomen. </w:t>
            </w:r>
          </w:p>
        </w:tc>
        <w:tc>
          <w:tcPr>
            <w:tcW w:w="3261" w:type="dxa"/>
            <w:tcBorders>
              <w:top w:val="single" w:sz="4" w:space="0" w:color="auto"/>
              <w:left w:val="nil"/>
              <w:bottom w:val="single" w:sz="4" w:space="0" w:color="auto"/>
            </w:tcBorders>
            <w:vAlign w:val="center"/>
          </w:tcPr>
          <w:p w14:paraId="4515985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F1 score was 92% for normal breathing, 87% for central sleep apnea, 72% for coughing, 51% for obstructive sleep apnea, 57% for sighing, and 63% for yawning.</w:t>
            </w:r>
          </w:p>
        </w:tc>
      </w:tr>
      <w:tr w:rsidR="005A499B" w:rsidRPr="005A499B" w14:paraId="3A20195D" w14:textId="77777777" w:rsidTr="007E42ED">
        <w:trPr>
          <w:trHeight w:val="903"/>
        </w:trPr>
        <w:tc>
          <w:tcPr>
            <w:tcW w:w="993" w:type="dxa"/>
            <w:tcBorders>
              <w:top w:val="single" w:sz="4" w:space="0" w:color="auto"/>
              <w:bottom w:val="single" w:sz="4" w:space="0" w:color="auto"/>
              <w:right w:val="nil"/>
            </w:tcBorders>
            <w:noWrap/>
            <w:vAlign w:val="center"/>
          </w:tcPr>
          <w:p w14:paraId="400AAF8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Mehra</w:t>
            </w:r>
          </w:p>
        </w:tc>
        <w:tc>
          <w:tcPr>
            <w:tcW w:w="708" w:type="dxa"/>
            <w:tcBorders>
              <w:top w:val="single" w:sz="4" w:space="0" w:color="auto"/>
              <w:left w:val="nil"/>
              <w:bottom w:val="single" w:sz="4" w:space="0" w:color="auto"/>
              <w:right w:val="nil"/>
            </w:tcBorders>
            <w:noWrap/>
            <w:vAlign w:val="center"/>
          </w:tcPr>
          <w:p w14:paraId="74FDBBE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2008</w:t>
            </w:r>
          </w:p>
        </w:tc>
        <w:tc>
          <w:tcPr>
            <w:tcW w:w="993" w:type="dxa"/>
            <w:gridSpan w:val="2"/>
            <w:tcBorders>
              <w:top w:val="single" w:sz="4" w:space="0" w:color="auto"/>
              <w:left w:val="nil"/>
              <w:bottom w:val="single" w:sz="4" w:space="0" w:color="auto"/>
              <w:right w:val="nil"/>
            </w:tcBorders>
            <w:noWrap/>
            <w:vAlign w:val="center"/>
          </w:tcPr>
          <w:p w14:paraId="451EFE56" w14:textId="77777777" w:rsidR="005A499B" w:rsidRPr="00523AB6" w:rsidRDefault="005A499B" w:rsidP="007E42ED">
            <w:pPr>
              <w:spacing w:after="0"/>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1100CA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Sleepwatch-O (Ambulatory Monitoring, Inc., Ardsley, NY)</w:t>
            </w:r>
          </w:p>
        </w:tc>
        <w:tc>
          <w:tcPr>
            <w:tcW w:w="1134" w:type="dxa"/>
            <w:tcBorders>
              <w:top w:val="single" w:sz="4" w:space="0" w:color="auto"/>
              <w:left w:val="nil"/>
              <w:bottom w:val="single" w:sz="4" w:space="0" w:color="auto"/>
              <w:right w:val="nil"/>
            </w:tcBorders>
            <w:vAlign w:val="center"/>
          </w:tcPr>
          <w:p w14:paraId="6FC2FDB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268D6B5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examine the association between actigraphic measures and PSG-determined sleep-disordered breathing (SDB) and/or periodic limb movement disorder (PLMD).</w:t>
            </w:r>
          </w:p>
        </w:tc>
        <w:tc>
          <w:tcPr>
            <w:tcW w:w="3541" w:type="dxa"/>
            <w:tcBorders>
              <w:top w:val="single" w:sz="4" w:space="0" w:color="auto"/>
              <w:left w:val="nil"/>
              <w:bottom w:val="single" w:sz="4" w:space="0" w:color="auto"/>
              <w:right w:val="nil"/>
            </w:tcBorders>
            <w:vAlign w:val="center"/>
          </w:tcPr>
          <w:p w14:paraId="1A5CCD0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455 older women living in the community. The device was worn for three 24-hour periods. The PSG was administered for one night at their home by staff.</w:t>
            </w:r>
          </w:p>
        </w:tc>
        <w:tc>
          <w:tcPr>
            <w:tcW w:w="3261" w:type="dxa"/>
            <w:tcBorders>
              <w:top w:val="single" w:sz="4" w:space="0" w:color="auto"/>
              <w:left w:val="nil"/>
              <w:bottom w:val="single" w:sz="4" w:space="0" w:color="auto"/>
            </w:tcBorders>
            <w:vAlign w:val="center"/>
          </w:tcPr>
          <w:p w14:paraId="7532D4F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Poor sleep efficiency measured by wrist actigraphy was associated with SDB (OR = 2.43, 95% CI: 1.43-4.14) and PLMD (OR = 2.36, 95% CI: 1.34-4.15). Reduced sleep duration was also associated with SDB (OR = 3.18, 95% CI: 1.51-6.68) and PLMD (OR = 3.77, 95% CI: 1.78-7.95).</w:t>
            </w:r>
          </w:p>
        </w:tc>
      </w:tr>
      <w:tr w:rsidR="005A499B" w:rsidRPr="005A499B" w14:paraId="0EF92A12" w14:textId="77777777" w:rsidTr="007E42ED">
        <w:trPr>
          <w:trHeight w:val="903"/>
        </w:trPr>
        <w:tc>
          <w:tcPr>
            <w:tcW w:w="993" w:type="dxa"/>
            <w:tcBorders>
              <w:top w:val="single" w:sz="4" w:space="0" w:color="auto"/>
              <w:bottom w:val="single" w:sz="4" w:space="0" w:color="auto"/>
              <w:right w:val="nil"/>
            </w:tcBorders>
            <w:noWrap/>
            <w:vAlign w:val="center"/>
          </w:tcPr>
          <w:p w14:paraId="7C79C95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Mokhtaran</w:t>
            </w:r>
          </w:p>
        </w:tc>
        <w:tc>
          <w:tcPr>
            <w:tcW w:w="708" w:type="dxa"/>
            <w:tcBorders>
              <w:top w:val="single" w:sz="4" w:space="0" w:color="auto"/>
              <w:left w:val="nil"/>
              <w:bottom w:val="single" w:sz="4" w:space="0" w:color="auto"/>
              <w:right w:val="nil"/>
            </w:tcBorders>
            <w:noWrap/>
            <w:vAlign w:val="center"/>
          </w:tcPr>
          <w:p w14:paraId="672E168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6E22FFB3" w14:textId="77777777" w:rsidR="005A499B" w:rsidRPr="00523AB6" w:rsidRDefault="005A499B" w:rsidP="007E42ED">
            <w:pPr>
              <w:spacing w:after="0"/>
              <w:rPr>
                <w:rFonts w:ascii="Calibri" w:hAnsi="Calibri" w:cs="Calibri"/>
              </w:rPr>
            </w:pPr>
            <w:r w:rsidRPr="00523AB6">
              <w:rPr>
                <w:rFonts w:ascii="Calibri" w:hAnsi="Calibri" w:cs="Calibri"/>
              </w:rPr>
              <w:t>Italy</w:t>
            </w:r>
          </w:p>
        </w:tc>
        <w:tc>
          <w:tcPr>
            <w:tcW w:w="1275" w:type="dxa"/>
            <w:tcBorders>
              <w:top w:val="single" w:sz="4" w:space="0" w:color="auto"/>
              <w:left w:val="nil"/>
              <w:bottom w:val="single" w:sz="4" w:space="0" w:color="auto"/>
              <w:right w:val="nil"/>
            </w:tcBorders>
            <w:vAlign w:val="center"/>
          </w:tcPr>
          <w:p w14:paraId="4FB85AE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Fitbit Charge 3 (</w:t>
            </w:r>
            <w:r w:rsidRPr="00523AB6">
              <w:rPr>
                <w:rFonts w:ascii="Calibri" w:hAnsi="Calibri"/>
                <w:lang w:val="en-GB"/>
              </w:rPr>
              <w:t>Fitbit Inc., San Francisco, California</w:t>
            </w:r>
            <w:r w:rsidRPr="00523AB6">
              <w:rPr>
                <w:rFonts w:ascii="Calibri" w:eastAsia="Times New Roman" w:hAnsi="Calibri" w:cs="Calibri"/>
                <w:lang w:val="en-GB"/>
              </w:rPr>
              <w:t>)</w:t>
            </w:r>
          </w:p>
        </w:tc>
        <w:tc>
          <w:tcPr>
            <w:tcW w:w="1134" w:type="dxa"/>
            <w:tcBorders>
              <w:top w:val="single" w:sz="4" w:space="0" w:color="auto"/>
              <w:left w:val="nil"/>
              <w:bottom w:val="single" w:sz="4" w:space="0" w:color="auto"/>
              <w:right w:val="nil"/>
            </w:tcBorders>
            <w:vAlign w:val="center"/>
          </w:tcPr>
          <w:p w14:paraId="6E83567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3F98B5D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explore the use of Fitbit to monitor sleep quality.</w:t>
            </w:r>
          </w:p>
        </w:tc>
        <w:tc>
          <w:tcPr>
            <w:tcW w:w="3541" w:type="dxa"/>
            <w:tcBorders>
              <w:top w:val="single" w:sz="4" w:space="0" w:color="auto"/>
              <w:left w:val="nil"/>
              <w:bottom w:val="single" w:sz="4" w:space="0" w:color="auto"/>
              <w:right w:val="nil"/>
            </w:tcBorders>
            <w:vAlign w:val="center"/>
          </w:tcPr>
          <w:p w14:paraId="60851CA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26 adults with obstructive sleep apnea. Participants were observed by standard PSG and Fitbit simultaneously for three nights in the hospital (baseline, before treatment, after treatment).</w:t>
            </w:r>
          </w:p>
        </w:tc>
        <w:tc>
          <w:tcPr>
            <w:tcW w:w="3261" w:type="dxa"/>
            <w:tcBorders>
              <w:top w:val="single" w:sz="4" w:space="0" w:color="auto"/>
              <w:left w:val="nil"/>
              <w:bottom w:val="single" w:sz="4" w:space="0" w:color="auto"/>
            </w:tcBorders>
            <w:vAlign w:val="center"/>
          </w:tcPr>
          <w:p w14:paraId="6DA9E05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Fitbit correlated with PSG in the estimation of total sleep time (</w:t>
            </w:r>
            <w:r w:rsidRPr="00523AB6">
              <w:rPr>
                <w:rFonts w:ascii="Calibri" w:hAnsi="Calibri" w:cs="Calibri"/>
                <w:i/>
                <w:iCs/>
                <w:lang w:val="en-GB"/>
              </w:rPr>
              <w:t>r</w:t>
            </w:r>
            <w:r w:rsidRPr="00523AB6">
              <w:rPr>
                <w:rFonts w:ascii="Calibri" w:hAnsi="Calibri" w:cs="Calibri"/>
                <w:lang w:val="en-GB"/>
              </w:rPr>
              <w:t xml:space="preserve"> = 0.8-0.9, </w:t>
            </w:r>
            <w:r w:rsidRPr="00523AB6">
              <w:rPr>
                <w:rFonts w:ascii="Calibri" w:hAnsi="Calibri" w:cs="Calibri"/>
                <w:i/>
                <w:iCs/>
                <w:lang w:val="en-GB"/>
              </w:rPr>
              <w:t>p</w:t>
            </w:r>
            <w:r w:rsidRPr="00523AB6">
              <w:rPr>
                <w:rFonts w:ascii="Calibri" w:hAnsi="Calibri" w:cs="Calibri"/>
                <w:lang w:val="en-GB"/>
              </w:rPr>
              <w:t xml:space="preserve"> &lt; 0.001), sleep efficiency (</w:t>
            </w:r>
            <w:r w:rsidRPr="00523AB6">
              <w:rPr>
                <w:rFonts w:ascii="Calibri" w:hAnsi="Calibri" w:cs="Calibri"/>
                <w:i/>
                <w:iCs/>
                <w:lang w:val="en-GB"/>
              </w:rPr>
              <w:t>r</w:t>
            </w:r>
            <w:r w:rsidRPr="00523AB6">
              <w:rPr>
                <w:rFonts w:ascii="Calibri" w:hAnsi="Calibri" w:cs="Calibri"/>
                <w:lang w:val="en-GB"/>
              </w:rPr>
              <w:t xml:space="preserve"> = 0.8-0.9, </w:t>
            </w:r>
            <w:r w:rsidRPr="00523AB6">
              <w:rPr>
                <w:rFonts w:ascii="Calibri" w:hAnsi="Calibri" w:cs="Calibri"/>
                <w:i/>
                <w:iCs/>
                <w:lang w:val="en-GB"/>
              </w:rPr>
              <w:t>p</w:t>
            </w:r>
            <w:r w:rsidRPr="00523AB6">
              <w:rPr>
                <w:rFonts w:ascii="Calibri" w:hAnsi="Calibri" w:cs="Calibri"/>
                <w:lang w:val="en-GB"/>
              </w:rPr>
              <w:t xml:space="preserve"> &lt; 0.001), the percentage of four sleep stages (</w:t>
            </w:r>
            <w:r w:rsidRPr="00523AB6">
              <w:rPr>
                <w:rFonts w:ascii="Calibri" w:hAnsi="Calibri" w:cs="Calibri"/>
                <w:i/>
                <w:iCs/>
                <w:lang w:val="en-GB"/>
              </w:rPr>
              <w:t>r</w:t>
            </w:r>
            <w:r w:rsidRPr="00523AB6">
              <w:rPr>
                <w:rFonts w:ascii="Calibri" w:hAnsi="Calibri" w:cs="Calibri"/>
                <w:lang w:val="en-GB"/>
              </w:rPr>
              <w:t xml:space="preserve"> = 0.5-0.9, </w:t>
            </w:r>
            <w:r w:rsidRPr="00523AB6">
              <w:rPr>
                <w:rFonts w:ascii="Calibri" w:hAnsi="Calibri" w:cs="Calibri"/>
                <w:i/>
                <w:iCs/>
                <w:lang w:val="en-GB"/>
              </w:rPr>
              <w:t>p</w:t>
            </w:r>
            <w:r w:rsidRPr="00523AB6">
              <w:rPr>
                <w:rFonts w:ascii="Calibri" w:hAnsi="Calibri" w:cs="Calibri"/>
                <w:lang w:val="en-GB"/>
              </w:rPr>
              <w:t xml:space="preserve"> = 0.001-0.03).</w:t>
            </w:r>
          </w:p>
          <w:p w14:paraId="290FDB4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Sensitivity: 90%-93%</w:t>
            </w:r>
          </w:p>
          <w:p w14:paraId="605CB1E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Specificity: 56%-59%</w:t>
            </w:r>
          </w:p>
          <w:p w14:paraId="5F22973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Accuracy: 59%-61%</w:t>
            </w:r>
          </w:p>
          <w:p w14:paraId="4D108CD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The measurement of Fitbit improved after the treatment for obstructive sleep apnea. The authors concluded that it is less able to measure abnormal sleep patterns.</w:t>
            </w:r>
          </w:p>
        </w:tc>
      </w:tr>
      <w:tr w:rsidR="005A499B" w:rsidRPr="005A499B" w14:paraId="3AC0ED78"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07CFACF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Svetnik</w:t>
            </w:r>
          </w:p>
        </w:tc>
        <w:tc>
          <w:tcPr>
            <w:tcW w:w="708" w:type="dxa"/>
            <w:tcBorders>
              <w:top w:val="single" w:sz="4" w:space="0" w:color="auto"/>
              <w:bottom w:val="single" w:sz="4" w:space="0" w:color="auto"/>
            </w:tcBorders>
            <w:noWrap/>
            <w:vAlign w:val="center"/>
          </w:tcPr>
          <w:p w14:paraId="452B2A9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240DB8C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USA</w:t>
            </w:r>
          </w:p>
        </w:tc>
        <w:tc>
          <w:tcPr>
            <w:tcW w:w="1449" w:type="dxa"/>
            <w:gridSpan w:val="2"/>
            <w:tcBorders>
              <w:top w:val="single" w:sz="4" w:space="0" w:color="auto"/>
              <w:bottom w:val="single" w:sz="4" w:space="0" w:color="auto"/>
            </w:tcBorders>
            <w:vAlign w:val="center"/>
          </w:tcPr>
          <w:p w14:paraId="3D775110"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Garmin Vivosmart</w:t>
            </w:r>
          </w:p>
        </w:tc>
        <w:tc>
          <w:tcPr>
            <w:tcW w:w="1134" w:type="dxa"/>
            <w:tcBorders>
              <w:top w:val="single" w:sz="4" w:space="0" w:color="auto"/>
              <w:bottom w:val="single" w:sz="4" w:space="0" w:color="auto"/>
            </w:tcBorders>
            <w:vAlign w:val="center"/>
          </w:tcPr>
          <w:p w14:paraId="256D9C5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w:t>
            </w:r>
          </w:p>
        </w:tc>
        <w:tc>
          <w:tcPr>
            <w:tcW w:w="1985" w:type="dxa"/>
            <w:tcBorders>
              <w:top w:val="single" w:sz="4" w:space="0" w:color="auto"/>
              <w:bottom w:val="single" w:sz="4" w:space="0" w:color="auto"/>
            </w:tcBorders>
            <w:vAlign w:val="center"/>
          </w:tcPr>
          <w:p w14:paraId="7912B08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investigate the usefulness of a wearable in measuring treatment effects of insomnia in people with dementia.</w:t>
            </w:r>
          </w:p>
        </w:tc>
        <w:tc>
          <w:tcPr>
            <w:tcW w:w="3541" w:type="dxa"/>
            <w:tcBorders>
              <w:top w:val="single" w:sz="4" w:space="0" w:color="auto"/>
              <w:bottom w:val="single" w:sz="4" w:space="0" w:color="auto"/>
            </w:tcBorders>
            <w:vAlign w:val="center"/>
          </w:tcPr>
          <w:p w14:paraId="5D0B3AD4"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Randomized experimental study with 285 older adults with Alzheimer’s disease and insomnia. During insomnia treatment of four weeks, participants were instructed to wear the device all the nights at home. Three overnight measurements with standard PSG were performed in the laboratory at screening, baseline, and at the end of the treatment.</w:t>
            </w:r>
          </w:p>
        </w:tc>
        <w:tc>
          <w:tcPr>
            <w:tcW w:w="3261" w:type="dxa"/>
            <w:tcBorders>
              <w:top w:val="single" w:sz="4" w:space="0" w:color="auto"/>
              <w:bottom w:val="single" w:sz="4" w:space="0" w:color="auto"/>
            </w:tcBorders>
            <w:vAlign w:val="center"/>
          </w:tcPr>
          <w:p w14:paraId="12DCC6B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Compared to PSG, the device overestimated total sleep time (e.g., placebo baseline = 412 min for watch and 265 min for PSG) and underestimated the change in total sleep time before and after treatment.</w:t>
            </w:r>
          </w:p>
        </w:tc>
      </w:tr>
      <w:tr w:rsidR="005A499B" w:rsidRPr="005A499B" w14:paraId="073F3A76" w14:textId="77777777" w:rsidTr="007E42ED">
        <w:trPr>
          <w:trHeight w:val="903"/>
        </w:trPr>
        <w:tc>
          <w:tcPr>
            <w:tcW w:w="993" w:type="dxa"/>
            <w:tcBorders>
              <w:top w:val="single" w:sz="4" w:space="0" w:color="auto"/>
              <w:bottom w:val="single" w:sz="4" w:space="0" w:color="auto"/>
              <w:right w:val="nil"/>
            </w:tcBorders>
            <w:noWrap/>
            <w:vAlign w:val="center"/>
          </w:tcPr>
          <w:p w14:paraId="1662DFE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Kikhia</w:t>
            </w:r>
          </w:p>
        </w:tc>
        <w:tc>
          <w:tcPr>
            <w:tcW w:w="708" w:type="dxa"/>
            <w:tcBorders>
              <w:top w:val="single" w:sz="4" w:space="0" w:color="auto"/>
              <w:left w:val="nil"/>
              <w:bottom w:val="single" w:sz="4" w:space="0" w:color="auto"/>
              <w:right w:val="nil"/>
            </w:tcBorders>
            <w:noWrap/>
            <w:vAlign w:val="center"/>
          </w:tcPr>
          <w:p w14:paraId="6A34431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71FE763C" w14:textId="77777777" w:rsidR="005A499B" w:rsidRPr="00523AB6" w:rsidRDefault="005A499B" w:rsidP="007E42ED">
            <w:pPr>
              <w:spacing w:after="0"/>
              <w:rPr>
                <w:rFonts w:ascii="Calibri" w:hAnsi="Calibri" w:cs="Calibri"/>
              </w:rPr>
            </w:pPr>
            <w:r w:rsidRPr="00523AB6">
              <w:rPr>
                <w:rFonts w:ascii="Calibri" w:hAnsi="Calibri" w:cs="Calibri"/>
              </w:rPr>
              <w:t>Sweden,Greece,Netherlands</w:t>
            </w:r>
          </w:p>
          <w:p w14:paraId="4A0AD46E" w14:textId="77777777" w:rsidR="005A499B" w:rsidRPr="00523AB6" w:rsidRDefault="005A499B" w:rsidP="007E42ED">
            <w:pPr>
              <w:spacing w:after="0" w:line="240" w:lineRule="auto"/>
              <w:rPr>
                <w:rFonts w:ascii="Calibri" w:eastAsia="Times New Roman" w:hAnsi="Calibri" w:cs="Calibri"/>
                <w:lang w:val="en-GB"/>
              </w:rPr>
            </w:pPr>
          </w:p>
        </w:tc>
        <w:tc>
          <w:tcPr>
            <w:tcW w:w="1275" w:type="dxa"/>
            <w:tcBorders>
              <w:top w:val="single" w:sz="4" w:space="0" w:color="auto"/>
              <w:left w:val="nil"/>
              <w:bottom w:val="single" w:sz="4" w:space="0" w:color="auto"/>
              <w:right w:val="nil"/>
            </w:tcBorders>
            <w:vAlign w:val="center"/>
          </w:tcPr>
          <w:p w14:paraId="1C846AE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Philips sensor DTI-2 (Philips Research, Eindhoven, The Netherlands)</w:t>
            </w:r>
          </w:p>
        </w:tc>
        <w:tc>
          <w:tcPr>
            <w:tcW w:w="1134" w:type="dxa"/>
            <w:tcBorders>
              <w:top w:val="single" w:sz="4" w:space="0" w:color="auto"/>
              <w:left w:val="nil"/>
              <w:bottom w:val="single" w:sz="4" w:space="0" w:color="auto"/>
              <w:right w:val="nil"/>
            </w:tcBorders>
            <w:vAlign w:val="center"/>
          </w:tcPr>
          <w:p w14:paraId="1F0541A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27B4B6E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validate the sensor system in recognizing stress.  </w:t>
            </w:r>
          </w:p>
        </w:tc>
        <w:tc>
          <w:tcPr>
            <w:tcW w:w="3541" w:type="dxa"/>
            <w:tcBorders>
              <w:top w:val="single" w:sz="4" w:space="0" w:color="auto"/>
              <w:left w:val="nil"/>
              <w:bottom w:val="single" w:sz="4" w:space="0" w:color="auto"/>
              <w:right w:val="nil"/>
            </w:tcBorders>
            <w:vAlign w:val="center"/>
          </w:tcPr>
          <w:p w14:paraId="5AD992D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6 older adults living in nursing homes. Participants wore the device when they are awake for 2 months. Observation notes were made by the staff. </w:t>
            </w:r>
          </w:p>
        </w:tc>
        <w:tc>
          <w:tcPr>
            <w:tcW w:w="3261" w:type="dxa"/>
            <w:tcBorders>
              <w:top w:val="single" w:sz="4" w:space="0" w:color="auto"/>
              <w:left w:val="nil"/>
              <w:bottom w:val="single" w:sz="4" w:space="0" w:color="auto"/>
            </w:tcBorders>
            <w:vAlign w:val="center"/>
          </w:tcPr>
          <w:p w14:paraId="67E2EA3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With sampling rate of an hour and stress level threshold of 3: precision: 19%, recall: 48%, accuracy: 76%</w:t>
            </w:r>
          </w:p>
        </w:tc>
      </w:tr>
      <w:tr w:rsidR="005A499B" w:rsidRPr="005A499B" w14:paraId="1DF7D0B1" w14:textId="77777777" w:rsidTr="007E42ED">
        <w:trPr>
          <w:trHeight w:val="511"/>
        </w:trPr>
        <w:tc>
          <w:tcPr>
            <w:tcW w:w="13890" w:type="dxa"/>
            <w:gridSpan w:val="9"/>
            <w:tcBorders>
              <w:top w:val="single" w:sz="4" w:space="0" w:color="auto"/>
              <w:bottom w:val="single" w:sz="4" w:space="0" w:color="auto"/>
            </w:tcBorders>
            <w:noWrap/>
            <w:vAlign w:val="center"/>
          </w:tcPr>
          <w:p w14:paraId="1FB2807C" w14:textId="77777777" w:rsidR="005A499B" w:rsidRPr="00523AB6" w:rsidRDefault="005A499B" w:rsidP="007E42ED">
            <w:pPr>
              <w:spacing w:after="0"/>
              <w:rPr>
                <w:rFonts w:ascii="Calibri" w:hAnsi="Calibri" w:cs="Calibri"/>
                <w:lang w:val="en-GB"/>
              </w:rPr>
            </w:pPr>
            <w:r w:rsidRPr="00523AB6">
              <w:rPr>
                <w:b/>
                <w:bCs/>
                <w:lang w:val="en-GB"/>
              </w:rPr>
              <w:t>Brain activity monitors - Bispectural Index (BIS)</w:t>
            </w:r>
          </w:p>
        </w:tc>
      </w:tr>
      <w:tr w:rsidR="005A499B" w:rsidRPr="005A499B" w14:paraId="5E564867" w14:textId="77777777" w:rsidTr="007E42ED">
        <w:trPr>
          <w:trHeight w:val="903"/>
        </w:trPr>
        <w:tc>
          <w:tcPr>
            <w:tcW w:w="993" w:type="dxa"/>
            <w:tcBorders>
              <w:top w:val="single" w:sz="4" w:space="0" w:color="auto"/>
              <w:bottom w:val="single" w:sz="4" w:space="0" w:color="auto"/>
              <w:right w:val="nil"/>
            </w:tcBorders>
            <w:noWrap/>
            <w:vAlign w:val="center"/>
          </w:tcPr>
          <w:p w14:paraId="470DE04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Arbour</w:t>
            </w:r>
          </w:p>
        </w:tc>
        <w:tc>
          <w:tcPr>
            <w:tcW w:w="708" w:type="dxa"/>
            <w:tcBorders>
              <w:top w:val="single" w:sz="4" w:space="0" w:color="auto"/>
              <w:left w:val="nil"/>
              <w:bottom w:val="single" w:sz="4" w:space="0" w:color="auto"/>
              <w:right w:val="nil"/>
            </w:tcBorders>
            <w:noWrap/>
            <w:vAlign w:val="center"/>
          </w:tcPr>
          <w:p w14:paraId="7A61022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2015</w:t>
            </w:r>
          </w:p>
        </w:tc>
        <w:tc>
          <w:tcPr>
            <w:tcW w:w="993" w:type="dxa"/>
            <w:gridSpan w:val="2"/>
            <w:tcBorders>
              <w:top w:val="single" w:sz="4" w:space="0" w:color="auto"/>
              <w:left w:val="nil"/>
              <w:bottom w:val="single" w:sz="4" w:space="0" w:color="auto"/>
              <w:right w:val="nil"/>
            </w:tcBorders>
            <w:noWrap/>
            <w:vAlign w:val="center"/>
          </w:tcPr>
          <w:p w14:paraId="769CFC5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7F88A16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BIS VISTA bilateral BIS (Aspect Medical Systems, </w:t>
            </w:r>
            <w:r w:rsidRPr="00523AB6">
              <w:rPr>
                <w:rFonts w:ascii="Calibri" w:eastAsia="Times New Roman" w:hAnsi="Calibri" w:cs="Calibri"/>
                <w:lang w:val="en-GB"/>
              </w:rPr>
              <w:lastRenderedPageBreak/>
              <w:t>Newton, MA)</w:t>
            </w:r>
          </w:p>
        </w:tc>
        <w:tc>
          <w:tcPr>
            <w:tcW w:w="1134" w:type="dxa"/>
            <w:tcBorders>
              <w:top w:val="single" w:sz="4" w:space="0" w:color="auto"/>
              <w:left w:val="nil"/>
              <w:bottom w:val="single" w:sz="4" w:space="0" w:color="auto"/>
              <w:right w:val="nil"/>
            </w:tcBorders>
            <w:vAlign w:val="center"/>
          </w:tcPr>
          <w:p w14:paraId="37A45DC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Pain</w:t>
            </w:r>
          </w:p>
        </w:tc>
        <w:tc>
          <w:tcPr>
            <w:tcW w:w="1985" w:type="dxa"/>
            <w:tcBorders>
              <w:top w:val="single" w:sz="4" w:space="0" w:color="auto"/>
              <w:left w:val="nil"/>
              <w:bottom w:val="single" w:sz="4" w:space="0" w:color="auto"/>
              <w:right w:val="nil"/>
            </w:tcBorders>
            <w:vAlign w:val="center"/>
          </w:tcPr>
          <w:p w14:paraId="37AF980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BIS in pain detection of people with traumatic brain injury.</w:t>
            </w:r>
          </w:p>
        </w:tc>
        <w:tc>
          <w:tcPr>
            <w:tcW w:w="3541" w:type="dxa"/>
            <w:tcBorders>
              <w:top w:val="single" w:sz="4" w:space="0" w:color="auto"/>
              <w:left w:val="nil"/>
              <w:bottom w:val="single" w:sz="4" w:space="0" w:color="auto"/>
              <w:right w:val="nil"/>
            </w:tcBorders>
            <w:vAlign w:val="center"/>
          </w:tcPr>
          <w:p w14:paraId="666734F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25 critically ill adults in the ICU with acute traumatic brain injury and altered level of consciousness. They were monitored 1 min before, during, </w:t>
            </w:r>
            <w:r w:rsidRPr="00523AB6">
              <w:rPr>
                <w:rFonts w:ascii="Calibri" w:hAnsi="Calibri" w:cs="Calibri"/>
                <w:lang w:val="en-GB"/>
              </w:rPr>
              <w:lastRenderedPageBreak/>
              <w:t>and 15 min after turning and non-invasive blood pressure measurements. Pain behaviors were observed.</w:t>
            </w:r>
          </w:p>
        </w:tc>
        <w:tc>
          <w:tcPr>
            <w:tcW w:w="3261" w:type="dxa"/>
            <w:tcBorders>
              <w:top w:val="single" w:sz="4" w:space="0" w:color="auto"/>
              <w:left w:val="nil"/>
              <w:bottom w:val="single" w:sz="4" w:space="0" w:color="auto"/>
            </w:tcBorders>
            <w:vAlign w:val="center"/>
          </w:tcPr>
          <w:p w14:paraId="20685A2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BIS measurements increased during turning (nociceptive) but not during non-invasive blood pressure measurements (non-nociceptive). Only BIS of the right </w:t>
            </w:r>
            <w:r w:rsidRPr="00523AB6">
              <w:rPr>
                <w:rFonts w:ascii="Calibri" w:hAnsi="Calibri" w:cs="Calibri"/>
                <w:lang w:val="en-GB"/>
              </w:rPr>
              <w:lastRenderedPageBreak/>
              <w:t>hemisphere correlates with pain behavior and only for people with left-sided traumatic brain injury (</w:t>
            </w:r>
            <w:r w:rsidRPr="00523AB6">
              <w:rPr>
                <w:rFonts w:ascii="Calibri" w:hAnsi="Calibri" w:cs="Calibri"/>
                <w:i/>
                <w:iCs/>
                <w:lang w:val="en-GB"/>
              </w:rPr>
              <w:t>r</w:t>
            </w:r>
            <w:r w:rsidRPr="00523AB6">
              <w:rPr>
                <w:rFonts w:ascii="Calibri" w:hAnsi="Calibri" w:cs="Calibri"/>
                <w:lang w:val="en-GB"/>
              </w:rPr>
              <w:t xml:space="preserve"> = 0.99, </w:t>
            </w:r>
            <w:r w:rsidRPr="00523AB6">
              <w:rPr>
                <w:rFonts w:ascii="Calibri" w:hAnsi="Calibri" w:cs="Calibri"/>
                <w:i/>
                <w:iCs/>
                <w:lang w:val="en-GB"/>
              </w:rPr>
              <w:t>p</w:t>
            </w:r>
            <w:r w:rsidRPr="00523AB6">
              <w:rPr>
                <w:rFonts w:ascii="Calibri" w:hAnsi="Calibri" w:cs="Calibri"/>
                <w:lang w:val="en-GB"/>
              </w:rPr>
              <w:t xml:space="preserve"> &lt; 0.001).</w:t>
            </w:r>
          </w:p>
        </w:tc>
      </w:tr>
      <w:tr w:rsidR="005A499B" w:rsidRPr="005A499B" w14:paraId="779B421A" w14:textId="77777777" w:rsidTr="007E42ED">
        <w:trPr>
          <w:trHeight w:val="903"/>
        </w:trPr>
        <w:tc>
          <w:tcPr>
            <w:tcW w:w="993" w:type="dxa"/>
            <w:tcBorders>
              <w:top w:val="single" w:sz="4" w:space="0" w:color="auto"/>
              <w:bottom w:val="single" w:sz="4" w:space="0" w:color="auto"/>
              <w:right w:val="nil"/>
            </w:tcBorders>
            <w:noWrap/>
            <w:vAlign w:val="center"/>
          </w:tcPr>
          <w:p w14:paraId="2F247BE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Arbour</w:t>
            </w:r>
          </w:p>
        </w:tc>
        <w:tc>
          <w:tcPr>
            <w:tcW w:w="708" w:type="dxa"/>
            <w:tcBorders>
              <w:top w:val="single" w:sz="4" w:space="0" w:color="auto"/>
              <w:left w:val="nil"/>
              <w:bottom w:val="single" w:sz="4" w:space="0" w:color="auto"/>
              <w:right w:val="nil"/>
            </w:tcBorders>
            <w:noWrap/>
            <w:vAlign w:val="center"/>
          </w:tcPr>
          <w:p w14:paraId="25B1F04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2015</w:t>
            </w:r>
          </w:p>
        </w:tc>
        <w:tc>
          <w:tcPr>
            <w:tcW w:w="993" w:type="dxa"/>
            <w:gridSpan w:val="2"/>
            <w:tcBorders>
              <w:top w:val="single" w:sz="4" w:space="0" w:color="auto"/>
              <w:left w:val="nil"/>
              <w:bottom w:val="single" w:sz="4" w:space="0" w:color="auto"/>
              <w:right w:val="nil"/>
            </w:tcBorders>
            <w:noWrap/>
            <w:vAlign w:val="center"/>
          </w:tcPr>
          <w:p w14:paraId="365BF02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0197EB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BIS A-2000 XP (Aspect Medical Systems, Inc. Norwood, MA)</w:t>
            </w:r>
          </w:p>
        </w:tc>
        <w:tc>
          <w:tcPr>
            <w:tcW w:w="1134" w:type="dxa"/>
            <w:tcBorders>
              <w:top w:val="single" w:sz="4" w:space="0" w:color="auto"/>
              <w:left w:val="nil"/>
              <w:bottom w:val="single" w:sz="4" w:space="0" w:color="auto"/>
              <w:right w:val="nil"/>
            </w:tcBorders>
            <w:vAlign w:val="center"/>
          </w:tcPr>
          <w:p w14:paraId="6D1DC9F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Sedation</w:t>
            </w:r>
          </w:p>
        </w:tc>
        <w:tc>
          <w:tcPr>
            <w:tcW w:w="1985" w:type="dxa"/>
            <w:tcBorders>
              <w:top w:val="single" w:sz="4" w:space="0" w:color="auto"/>
              <w:left w:val="nil"/>
              <w:bottom w:val="single" w:sz="4" w:space="0" w:color="auto"/>
              <w:right w:val="nil"/>
            </w:tcBorders>
            <w:vAlign w:val="center"/>
          </w:tcPr>
          <w:p w14:paraId="2ADA63D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predictive value of BIS in determining level of burst suppression during drug-induced coma, compared with EEG.</w:t>
            </w:r>
          </w:p>
        </w:tc>
        <w:tc>
          <w:tcPr>
            <w:tcW w:w="3541" w:type="dxa"/>
            <w:tcBorders>
              <w:top w:val="single" w:sz="4" w:space="0" w:color="auto"/>
              <w:left w:val="nil"/>
              <w:bottom w:val="single" w:sz="4" w:space="0" w:color="auto"/>
              <w:right w:val="nil"/>
            </w:tcBorders>
            <w:vAlign w:val="center"/>
          </w:tcPr>
          <w:p w14:paraId="17345B6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w:t>
            </w:r>
            <w:r w:rsidRPr="00523AB6">
              <w:rPr>
                <w:lang w:val="en-US"/>
              </w:rPr>
              <w:t xml:space="preserve"> </w:t>
            </w:r>
            <w:r w:rsidRPr="00523AB6">
              <w:rPr>
                <w:rFonts w:ascii="Calibri" w:hAnsi="Calibri" w:cs="Calibri"/>
                <w:lang w:val="en-GB"/>
              </w:rPr>
              <w:t>prospective, observational cohort study with 4 adults in the ICU under drug-induced coma. 33 hours of monitoring was performed in total.</w:t>
            </w:r>
          </w:p>
        </w:tc>
        <w:tc>
          <w:tcPr>
            <w:tcW w:w="3261" w:type="dxa"/>
            <w:tcBorders>
              <w:top w:val="single" w:sz="4" w:space="0" w:color="auto"/>
              <w:left w:val="nil"/>
              <w:bottom w:val="single" w:sz="4" w:space="0" w:color="auto"/>
            </w:tcBorders>
            <w:vAlign w:val="center"/>
          </w:tcPr>
          <w:p w14:paraId="4EA3A91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BIS value, BIS suppression ratio, and BIS burst counts had medium to strong correlations with EEG burst counts.</w:t>
            </w:r>
          </w:p>
        </w:tc>
      </w:tr>
      <w:tr w:rsidR="005A499B" w:rsidRPr="00523AB6" w14:paraId="79054988" w14:textId="77777777" w:rsidTr="007E42ED">
        <w:trPr>
          <w:trHeight w:val="903"/>
        </w:trPr>
        <w:tc>
          <w:tcPr>
            <w:tcW w:w="993" w:type="dxa"/>
            <w:tcBorders>
              <w:top w:val="single" w:sz="4" w:space="0" w:color="auto"/>
              <w:bottom w:val="single" w:sz="4" w:space="0" w:color="auto"/>
              <w:right w:val="nil"/>
            </w:tcBorders>
            <w:noWrap/>
            <w:vAlign w:val="center"/>
          </w:tcPr>
          <w:p w14:paraId="1A43E2B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Dahaba</w:t>
            </w:r>
          </w:p>
        </w:tc>
        <w:tc>
          <w:tcPr>
            <w:tcW w:w="708" w:type="dxa"/>
            <w:tcBorders>
              <w:top w:val="single" w:sz="4" w:space="0" w:color="auto"/>
              <w:left w:val="nil"/>
              <w:bottom w:val="single" w:sz="4" w:space="0" w:color="auto"/>
              <w:right w:val="nil"/>
            </w:tcBorders>
            <w:noWrap/>
            <w:vAlign w:val="center"/>
          </w:tcPr>
          <w:p w14:paraId="395D8FA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555DA9B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Australia, China</w:t>
            </w:r>
          </w:p>
        </w:tc>
        <w:tc>
          <w:tcPr>
            <w:tcW w:w="1275" w:type="dxa"/>
            <w:tcBorders>
              <w:top w:val="single" w:sz="4" w:space="0" w:color="auto"/>
              <w:left w:val="nil"/>
              <w:bottom w:val="single" w:sz="4" w:space="0" w:color="auto"/>
              <w:right w:val="nil"/>
            </w:tcBorders>
            <w:vAlign w:val="center"/>
          </w:tcPr>
          <w:p w14:paraId="0545222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BIS-Vista version 1.4 (Aspect Medical Systems, Newton, MA)</w:t>
            </w:r>
          </w:p>
        </w:tc>
        <w:tc>
          <w:tcPr>
            <w:tcW w:w="1134" w:type="dxa"/>
            <w:tcBorders>
              <w:top w:val="single" w:sz="4" w:space="0" w:color="auto"/>
              <w:left w:val="nil"/>
              <w:bottom w:val="single" w:sz="4" w:space="0" w:color="auto"/>
              <w:right w:val="nil"/>
            </w:tcBorders>
            <w:vAlign w:val="center"/>
          </w:tcPr>
          <w:p w14:paraId="483C2D5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47A4A0D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whether BIS can quantify sleep depth.</w:t>
            </w:r>
          </w:p>
        </w:tc>
        <w:tc>
          <w:tcPr>
            <w:tcW w:w="3541" w:type="dxa"/>
            <w:tcBorders>
              <w:top w:val="single" w:sz="4" w:space="0" w:color="auto"/>
              <w:left w:val="nil"/>
              <w:bottom w:val="single" w:sz="4" w:space="0" w:color="auto"/>
              <w:right w:val="nil"/>
            </w:tcBorders>
            <w:vAlign w:val="center"/>
          </w:tcPr>
          <w:p w14:paraId="11BB85C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 healthy sleep-deprived adults. Participants were monitored during one sleep.</w:t>
            </w:r>
            <w:r w:rsidRPr="00523AB6">
              <w:rPr>
                <w:rFonts w:ascii="Calibri" w:eastAsia="Times New Roman" w:hAnsi="Calibri" w:cs="Calibri"/>
                <w:lang w:val="en-GB"/>
              </w:rPr>
              <w:t>*</w:t>
            </w:r>
          </w:p>
        </w:tc>
        <w:tc>
          <w:tcPr>
            <w:tcW w:w="3261" w:type="dxa"/>
            <w:tcBorders>
              <w:top w:val="single" w:sz="4" w:space="0" w:color="auto"/>
              <w:left w:val="nil"/>
              <w:bottom w:val="single" w:sz="4" w:space="0" w:color="auto"/>
            </w:tcBorders>
            <w:vAlign w:val="center"/>
          </w:tcPr>
          <w:p w14:paraId="620871D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BIS value showed a temporal decline corresponding to sleep stages. The lowest score was about 40.  </w:t>
            </w:r>
          </w:p>
        </w:tc>
      </w:tr>
      <w:tr w:rsidR="005A499B" w:rsidRPr="005A499B" w14:paraId="1EF0C05A" w14:textId="77777777" w:rsidTr="007E42ED">
        <w:trPr>
          <w:trHeight w:val="903"/>
        </w:trPr>
        <w:tc>
          <w:tcPr>
            <w:tcW w:w="993" w:type="dxa"/>
            <w:tcBorders>
              <w:top w:val="single" w:sz="4" w:space="0" w:color="auto"/>
              <w:bottom w:val="single" w:sz="4" w:space="0" w:color="auto"/>
              <w:right w:val="nil"/>
            </w:tcBorders>
            <w:noWrap/>
            <w:vAlign w:val="center"/>
          </w:tcPr>
          <w:p w14:paraId="5AE2D83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Giménez</w:t>
            </w:r>
          </w:p>
        </w:tc>
        <w:tc>
          <w:tcPr>
            <w:tcW w:w="708" w:type="dxa"/>
            <w:tcBorders>
              <w:top w:val="single" w:sz="4" w:space="0" w:color="auto"/>
              <w:left w:val="nil"/>
              <w:bottom w:val="single" w:sz="4" w:space="0" w:color="auto"/>
              <w:right w:val="nil"/>
            </w:tcBorders>
            <w:noWrap/>
            <w:vAlign w:val="center"/>
          </w:tcPr>
          <w:p w14:paraId="4B8DD94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2017</w:t>
            </w:r>
          </w:p>
        </w:tc>
        <w:tc>
          <w:tcPr>
            <w:tcW w:w="993" w:type="dxa"/>
            <w:gridSpan w:val="2"/>
            <w:tcBorders>
              <w:top w:val="single" w:sz="4" w:space="0" w:color="auto"/>
              <w:left w:val="nil"/>
              <w:bottom w:val="single" w:sz="4" w:space="0" w:color="auto"/>
              <w:right w:val="nil"/>
            </w:tcBorders>
            <w:noWrap/>
            <w:vAlign w:val="center"/>
          </w:tcPr>
          <w:p w14:paraId="1BD43E3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Spain</w:t>
            </w:r>
          </w:p>
        </w:tc>
        <w:tc>
          <w:tcPr>
            <w:tcW w:w="1275" w:type="dxa"/>
            <w:tcBorders>
              <w:top w:val="single" w:sz="4" w:space="0" w:color="auto"/>
              <w:left w:val="nil"/>
              <w:bottom w:val="single" w:sz="4" w:space="0" w:color="auto"/>
              <w:right w:val="nil"/>
            </w:tcBorders>
            <w:vAlign w:val="center"/>
          </w:tcPr>
          <w:p w14:paraId="3863DF9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BIS A-2000 XP Monitor (Aspect Medical Systems, Inc. Norwood, MA) with Quatro Sensors</w:t>
            </w:r>
          </w:p>
        </w:tc>
        <w:tc>
          <w:tcPr>
            <w:tcW w:w="1134" w:type="dxa"/>
            <w:tcBorders>
              <w:top w:val="single" w:sz="4" w:space="0" w:color="auto"/>
              <w:left w:val="nil"/>
              <w:bottom w:val="single" w:sz="4" w:space="0" w:color="auto"/>
              <w:right w:val="nil"/>
            </w:tcBorders>
            <w:vAlign w:val="center"/>
          </w:tcPr>
          <w:p w14:paraId="6A86216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36BCACC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the feasibility and reliability of BIS for sleep monitoring.</w:t>
            </w:r>
          </w:p>
        </w:tc>
        <w:tc>
          <w:tcPr>
            <w:tcW w:w="3541" w:type="dxa"/>
            <w:tcBorders>
              <w:top w:val="single" w:sz="4" w:space="0" w:color="auto"/>
              <w:left w:val="nil"/>
              <w:bottom w:val="single" w:sz="4" w:space="0" w:color="auto"/>
              <w:right w:val="nil"/>
            </w:tcBorders>
            <w:vAlign w:val="center"/>
          </w:tcPr>
          <w:p w14:paraId="7F3C72B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12 healthy adults. Sleep was measured with PSG and BIS both at baseline and after sleep deprivation at the laboratory.</w:t>
            </w:r>
          </w:p>
        </w:tc>
        <w:tc>
          <w:tcPr>
            <w:tcW w:w="3261" w:type="dxa"/>
            <w:tcBorders>
              <w:top w:val="single" w:sz="4" w:space="0" w:color="auto"/>
              <w:left w:val="nil"/>
              <w:bottom w:val="single" w:sz="4" w:space="0" w:color="auto"/>
            </w:tcBorders>
            <w:vAlign w:val="center"/>
          </w:tcPr>
          <w:p w14:paraId="4D0A4B1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BIS value was highly correlated with the hypnogram and could discriminate between deep and light sleep.</w:t>
            </w:r>
          </w:p>
        </w:tc>
      </w:tr>
      <w:tr w:rsidR="005A499B" w:rsidRPr="005A499B" w14:paraId="1F485FB0" w14:textId="77777777" w:rsidTr="007E42ED">
        <w:trPr>
          <w:trHeight w:val="903"/>
        </w:trPr>
        <w:tc>
          <w:tcPr>
            <w:tcW w:w="993" w:type="dxa"/>
            <w:tcBorders>
              <w:top w:val="single" w:sz="4" w:space="0" w:color="auto"/>
              <w:bottom w:val="single" w:sz="4" w:space="0" w:color="auto"/>
              <w:right w:val="nil"/>
            </w:tcBorders>
            <w:noWrap/>
            <w:vAlign w:val="center"/>
          </w:tcPr>
          <w:p w14:paraId="150FF93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Pedrao</w:t>
            </w:r>
          </w:p>
        </w:tc>
        <w:tc>
          <w:tcPr>
            <w:tcW w:w="708" w:type="dxa"/>
            <w:tcBorders>
              <w:top w:val="single" w:sz="4" w:space="0" w:color="auto"/>
              <w:left w:val="nil"/>
              <w:bottom w:val="single" w:sz="4" w:space="0" w:color="auto"/>
              <w:right w:val="nil"/>
            </w:tcBorders>
            <w:noWrap/>
            <w:vAlign w:val="center"/>
          </w:tcPr>
          <w:p w14:paraId="20D96A0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4FC4A83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Brazil</w:t>
            </w:r>
          </w:p>
        </w:tc>
        <w:tc>
          <w:tcPr>
            <w:tcW w:w="1275" w:type="dxa"/>
            <w:tcBorders>
              <w:top w:val="single" w:sz="4" w:space="0" w:color="auto"/>
              <w:left w:val="nil"/>
              <w:bottom w:val="single" w:sz="4" w:space="0" w:color="auto"/>
              <w:right w:val="nil"/>
            </w:tcBorders>
            <w:vAlign w:val="center"/>
          </w:tcPr>
          <w:p w14:paraId="467534F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BIS™ Vista Monitoring System (Covidien </w:t>
            </w:r>
            <w:r w:rsidRPr="00523AB6">
              <w:rPr>
                <w:rFonts w:ascii="Calibri" w:eastAsia="Times New Roman" w:hAnsi="Calibri" w:cs="Calibri"/>
                <w:lang w:val="en-GB"/>
              </w:rPr>
              <w:lastRenderedPageBreak/>
              <w:t>LLC, Mansfield, United States)</w:t>
            </w:r>
          </w:p>
        </w:tc>
        <w:tc>
          <w:tcPr>
            <w:tcW w:w="1134" w:type="dxa"/>
            <w:tcBorders>
              <w:top w:val="single" w:sz="4" w:space="0" w:color="auto"/>
              <w:left w:val="nil"/>
              <w:bottom w:val="single" w:sz="4" w:space="0" w:color="auto"/>
              <w:right w:val="nil"/>
            </w:tcBorders>
            <w:vAlign w:val="center"/>
          </w:tcPr>
          <w:p w14:paraId="197EE24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Sleep</w:t>
            </w:r>
          </w:p>
        </w:tc>
        <w:tc>
          <w:tcPr>
            <w:tcW w:w="1985" w:type="dxa"/>
            <w:tcBorders>
              <w:top w:val="single" w:sz="4" w:space="0" w:color="auto"/>
              <w:left w:val="nil"/>
              <w:bottom w:val="single" w:sz="4" w:space="0" w:color="auto"/>
              <w:right w:val="nil"/>
            </w:tcBorders>
            <w:vAlign w:val="center"/>
          </w:tcPr>
          <w:p w14:paraId="33BB3D6B" w14:textId="77777777" w:rsidR="005A499B" w:rsidRPr="00523AB6" w:rsidRDefault="005A499B" w:rsidP="007E42ED">
            <w:pPr>
              <w:spacing w:after="0"/>
              <w:rPr>
                <w:rFonts w:ascii="Calibri" w:hAnsi="Calibri" w:cs="Calibri"/>
                <w:lang w:val="en-GB"/>
              </w:rPr>
            </w:pPr>
          </w:p>
          <w:p w14:paraId="31300F3C" w14:textId="77777777" w:rsidR="005A499B" w:rsidRPr="00523AB6" w:rsidRDefault="005A499B" w:rsidP="007E42ED">
            <w:pPr>
              <w:rPr>
                <w:rFonts w:ascii="Calibri" w:hAnsi="Calibri" w:cs="Calibri"/>
                <w:lang w:val="en-GB"/>
              </w:rPr>
            </w:pPr>
            <w:r w:rsidRPr="00523AB6">
              <w:rPr>
                <w:rFonts w:ascii="Calibri" w:hAnsi="Calibri" w:cs="Calibri"/>
                <w:lang w:val="en-GB"/>
              </w:rPr>
              <w:t xml:space="preserve">To test the feasibility of using BIS to evaluate </w:t>
            </w:r>
            <w:r w:rsidRPr="00523AB6">
              <w:rPr>
                <w:rFonts w:ascii="Calibri" w:hAnsi="Calibri" w:cs="Calibri"/>
                <w:lang w:val="en-GB"/>
              </w:rPr>
              <w:lastRenderedPageBreak/>
              <w:t xml:space="preserve">sleep in critically ill patients. </w:t>
            </w:r>
          </w:p>
        </w:tc>
        <w:tc>
          <w:tcPr>
            <w:tcW w:w="3541" w:type="dxa"/>
            <w:tcBorders>
              <w:top w:val="single" w:sz="4" w:space="0" w:color="auto"/>
              <w:left w:val="nil"/>
              <w:bottom w:val="single" w:sz="4" w:space="0" w:color="auto"/>
              <w:right w:val="nil"/>
            </w:tcBorders>
            <w:vAlign w:val="center"/>
          </w:tcPr>
          <w:p w14:paraId="1BC530B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cross-sectional study with 29 critically ill patients on ICU. BIS monitoring was performed for a whole night (12 hours). The </w:t>
            </w:r>
            <w:r w:rsidRPr="00523AB6">
              <w:rPr>
                <w:rFonts w:ascii="Calibri" w:hAnsi="Calibri" w:cs="Calibri"/>
                <w:lang w:val="en-GB"/>
              </w:rPr>
              <w:lastRenderedPageBreak/>
              <w:t>participants filled in the Richards-Campbell Sleep Questionnaire (RCSQ) the next morning.</w:t>
            </w:r>
          </w:p>
        </w:tc>
        <w:tc>
          <w:tcPr>
            <w:tcW w:w="3261" w:type="dxa"/>
            <w:tcBorders>
              <w:top w:val="single" w:sz="4" w:space="0" w:color="auto"/>
              <w:left w:val="nil"/>
              <w:bottom w:val="single" w:sz="4" w:space="0" w:color="auto"/>
            </w:tcBorders>
            <w:vAlign w:val="center"/>
          </w:tcPr>
          <w:p w14:paraId="76EA8DA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Total sleep volume, total sleep time, and continuous sleep volume measured by BIS were weakly correlated with the RCSQ </w:t>
            </w:r>
            <w:r w:rsidRPr="00523AB6">
              <w:rPr>
                <w:rFonts w:ascii="Calibri" w:hAnsi="Calibri" w:cs="Calibri"/>
                <w:lang w:val="en-GB"/>
              </w:rPr>
              <w:lastRenderedPageBreak/>
              <w:t>depth of sleep domain score, overall sleep quality domain score, and total score. Total volume, total time, and continuous volume were moderately correlated with the occurrence of awakenings domain score of RCSQ.</w:t>
            </w:r>
          </w:p>
        </w:tc>
      </w:tr>
      <w:tr w:rsidR="005A499B" w:rsidRPr="005A499B" w14:paraId="76A70FC5" w14:textId="77777777" w:rsidTr="007E42ED">
        <w:trPr>
          <w:trHeight w:val="903"/>
        </w:trPr>
        <w:tc>
          <w:tcPr>
            <w:tcW w:w="993" w:type="dxa"/>
            <w:tcBorders>
              <w:top w:val="single" w:sz="4" w:space="0" w:color="auto"/>
              <w:bottom w:val="single" w:sz="4" w:space="0" w:color="auto"/>
              <w:right w:val="nil"/>
            </w:tcBorders>
            <w:noWrap/>
            <w:vAlign w:val="center"/>
          </w:tcPr>
          <w:p w14:paraId="368BA2B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Luo</w:t>
            </w:r>
          </w:p>
        </w:tc>
        <w:tc>
          <w:tcPr>
            <w:tcW w:w="708" w:type="dxa"/>
            <w:tcBorders>
              <w:top w:val="single" w:sz="4" w:space="0" w:color="auto"/>
              <w:left w:val="nil"/>
              <w:bottom w:val="single" w:sz="4" w:space="0" w:color="auto"/>
              <w:right w:val="nil"/>
            </w:tcBorders>
            <w:noWrap/>
            <w:vAlign w:val="center"/>
          </w:tcPr>
          <w:p w14:paraId="25ED9CF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27ABBE2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2AB5CE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BIS-VISTA with density spectral array (Aspect Medical Systems, Inc. Norwood, MA)</w:t>
            </w:r>
          </w:p>
        </w:tc>
        <w:tc>
          <w:tcPr>
            <w:tcW w:w="1134" w:type="dxa"/>
            <w:tcBorders>
              <w:top w:val="single" w:sz="4" w:space="0" w:color="auto"/>
              <w:left w:val="nil"/>
              <w:bottom w:val="single" w:sz="4" w:space="0" w:color="auto"/>
              <w:right w:val="nil"/>
            </w:tcBorders>
            <w:vAlign w:val="center"/>
          </w:tcPr>
          <w:p w14:paraId="0318B9C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Delirium</w:t>
            </w:r>
          </w:p>
        </w:tc>
        <w:tc>
          <w:tcPr>
            <w:tcW w:w="1985" w:type="dxa"/>
            <w:tcBorders>
              <w:top w:val="single" w:sz="4" w:space="0" w:color="auto"/>
              <w:left w:val="nil"/>
              <w:bottom w:val="single" w:sz="4" w:space="0" w:color="auto"/>
              <w:right w:val="nil"/>
            </w:tcBorders>
            <w:vAlign w:val="center"/>
          </w:tcPr>
          <w:p w14:paraId="669AE9C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use of BIS to identify delirium.</w:t>
            </w:r>
          </w:p>
        </w:tc>
        <w:tc>
          <w:tcPr>
            <w:tcW w:w="3541" w:type="dxa"/>
            <w:tcBorders>
              <w:top w:val="single" w:sz="4" w:space="0" w:color="auto"/>
              <w:left w:val="nil"/>
              <w:bottom w:val="single" w:sz="4" w:space="0" w:color="auto"/>
              <w:right w:val="nil"/>
            </w:tcBorders>
            <w:vAlign w:val="center"/>
          </w:tcPr>
          <w:p w14:paraId="600808E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40 adults with delirium and 83 adults without delirium. Participants were monitored for 20 minutes at the hospital that they were recruited from.</w:t>
            </w:r>
          </w:p>
        </w:tc>
        <w:tc>
          <w:tcPr>
            <w:tcW w:w="3261" w:type="dxa"/>
            <w:tcBorders>
              <w:top w:val="single" w:sz="4" w:space="0" w:color="auto"/>
              <w:left w:val="nil"/>
              <w:bottom w:val="single" w:sz="4" w:space="0" w:color="auto"/>
            </w:tcBorders>
            <w:vAlign w:val="center"/>
          </w:tcPr>
          <w:p w14:paraId="2F4B4BC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BIS with density spectral array was similar to the 3-minute Diagnostic Interview for Confusion Assessment Method in identifying delirium. Visual inspection of the density spectral array was not associated with delirium. </w:t>
            </w:r>
          </w:p>
        </w:tc>
      </w:tr>
      <w:tr w:rsidR="005A499B" w:rsidRPr="005A499B" w14:paraId="7759892D" w14:textId="77777777" w:rsidTr="007E42ED">
        <w:trPr>
          <w:trHeight w:val="511"/>
        </w:trPr>
        <w:tc>
          <w:tcPr>
            <w:tcW w:w="13890" w:type="dxa"/>
            <w:gridSpan w:val="9"/>
            <w:tcBorders>
              <w:top w:val="single" w:sz="4" w:space="0" w:color="auto"/>
              <w:bottom w:val="single" w:sz="4" w:space="0" w:color="auto"/>
            </w:tcBorders>
            <w:noWrap/>
            <w:vAlign w:val="center"/>
          </w:tcPr>
          <w:p w14:paraId="0214E9CA" w14:textId="77777777" w:rsidR="005A499B" w:rsidRPr="00523AB6" w:rsidRDefault="005A499B" w:rsidP="007E42ED">
            <w:pPr>
              <w:spacing w:after="0"/>
              <w:rPr>
                <w:b/>
                <w:bCs/>
                <w:lang w:val="en-GB"/>
              </w:rPr>
            </w:pPr>
            <w:r w:rsidRPr="00523AB6">
              <w:rPr>
                <w:b/>
                <w:bCs/>
                <w:lang w:val="en-GB"/>
              </w:rPr>
              <w:t>Brain activity monitors – other electroencephalography (EEG)-based technologies</w:t>
            </w:r>
          </w:p>
        </w:tc>
      </w:tr>
      <w:tr w:rsidR="005A499B" w:rsidRPr="005A499B" w14:paraId="008B429C" w14:textId="77777777" w:rsidTr="007E42ED">
        <w:trPr>
          <w:trHeight w:val="903"/>
        </w:trPr>
        <w:tc>
          <w:tcPr>
            <w:tcW w:w="993" w:type="dxa"/>
            <w:tcBorders>
              <w:top w:val="single" w:sz="4" w:space="0" w:color="auto"/>
              <w:bottom w:val="single" w:sz="4" w:space="0" w:color="auto"/>
              <w:right w:val="nil"/>
            </w:tcBorders>
            <w:noWrap/>
            <w:vAlign w:val="center"/>
          </w:tcPr>
          <w:p w14:paraId="40F0764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Haenggi</w:t>
            </w:r>
          </w:p>
        </w:tc>
        <w:tc>
          <w:tcPr>
            <w:tcW w:w="708" w:type="dxa"/>
            <w:tcBorders>
              <w:top w:val="single" w:sz="4" w:space="0" w:color="auto"/>
              <w:left w:val="nil"/>
              <w:bottom w:val="single" w:sz="4" w:space="0" w:color="auto"/>
              <w:right w:val="nil"/>
            </w:tcBorders>
            <w:noWrap/>
            <w:vAlign w:val="center"/>
          </w:tcPr>
          <w:p w14:paraId="63F6D7D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2004</w:t>
            </w:r>
          </w:p>
        </w:tc>
        <w:tc>
          <w:tcPr>
            <w:tcW w:w="993" w:type="dxa"/>
            <w:gridSpan w:val="2"/>
            <w:tcBorders>
              <w:top w:val="single" w:sz="4" w:space="0" w:color="auto"/>
              <w:left w:val="nil"/>
              <w:bottom w:val="single" w:sz="4" w:space="0" w:color="auto"/>
              <w:right w:val="nil"/>
            </w:tcBorders>
            <w:noWrap/>
            <w:vAlign w:val="center"/>
          </w:tcPr>
          <w:p w14:paraId="0FC4111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Switzerland</w:t>
            </w:r>
          </w:p>
        </w:tc>
        <w:tc>
          <w:tcPr>
            <w:tcW w:w="1275" w:type="dxa"/>
            <w:tcBorders>
              <w:top w:val="single" w:sz="4" w:space="0" w:color="auto"/>
              <w:left w:val="nil"/>
              <w:bottom w:val="single" w:sz="4" w:space="0" w:color="auto"/>
              <w:right w:val="nil"/>
            </w:tcBorders>
            <w:vAlign w:val="center"/>
          </w:tcPr>
          <w:p w14:paraId="6FD0E7C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EMMA (Department of Clinical Neurophysiology, Kuopio University Hospital, Kuopio, Finland)</w:t>
            </w:r>
          </w:p>
        </w:tc>
        <w:tc>
          <w:tcPr>
            <w:tcW w:w="1134" w:type="dxa"/>
            <w:tcBorders>
              <w:top w:val="single" w:sz="4" w:space="0" w:color="auto"/>
              <w:left w:val="nil"/>
              <w:bottom w:val="single" w:sz="4" w:space="0" w:color="auto"/>
              <w:right w:val="nil"/>
            </w:tcBorders>
            <w:vAlign w:val="center"/>
          </w:tcPr>
          <w:p w14:paraId="3C5905F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Sedation</w:t>
            </w:r>
          </w:p>
        </w:tc>
        <w:tc>
          <w:tcPr>
            <w:tcW w:w="1985" w:type="dxa"/>
            <w:tcBorders>
              <w:top w:val="single" w:sz="4" w:space="0" w:color="auto"/>
              <w:left w:val="nil"/>
              <w:bottom w:val="single" w:sz="4" w:space="0" w:color="auto"/>
              <w:right w:val="nil"/>
            </w:tcBorders>
            <w:vAlign w:val="center"/>
          </w:tcPr>
          <w:p w14:paraId="3E4625E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explore the use of long latency evoked potential (EP) in measuring depth of sedation.</w:t>
            </w:r>
          </w:p>
        </w:tc>
        <w:tc>
          <w:tcPr>
            <w:tcW w:w="3541" w:type="dxa"/>
            <w:tcBorders>
              <w:top w:val="single" w:sz="4" w:space="0" w:color="auto"/>
              <w:left w:val="nil"/>
              <w:bottom w:val="single" w:sz="4" w:space="0" w:color="auto"/>
              <w:right w:val="nil"/>
            </w:tcBorders>
            <w:vAlign w:val="center"/>
          </w:tcPr>
          <w:p w14:paraId="2428D49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 healthy adults under sedation. EP, which is the brain activity 100ms after a standard auditory stimuli, was measured in different stages of sedation based on the Ramsay Sedation Score.</w:t>
            </w:r>
          </w:p>
        </w:tc>
        <w:tc>
          <w:tcPr>
            <w:tcW w:w="3261" w:type="dxa"/>
            <w:tcBorders>
              <w:top w:val="single" w:sz="4" w:space="0" w:color="auto"/>
              <w:left w:val="nil"/>
              <w:bottom w:val="single" w:sz="4" w:space="0" w:color="auto"/>
            </w:tcBorders>
            <w:vAlign w:val="center"/>
          </w:tcPr>
          <w:p w14:paraId="4D70EEF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brain activity 100ms after a standard auditory stimuli (EP) decreased as the depth of sedation increased.  </w:t>
            </w:r>
          </w:p>
        </w:tc>
      </w:tr>
      <w:tr w:rsidR="005A499B" w:rsidRPr="005A499B" w14:paraId="4CAF82B4" w14:textId="77777777" w:rsidTr="007E42ED">
        <w:trPr>
          <w:trHeight w:val="903"/>
        </w:trPr>
        <w:tc>
          <w:tcPr>
            <w:tcW w:w="993" w:type="dxa"/>
            <w:tcBorders>
              <w:top w:val="single" w:sz="4" w:space="0" w:color="auto"/>
              <w:bottom w:val="single" w:sz="4" w:space="0" w:color="auto"/>
              <w:right w:val="nil"/>
            </w:tcBorders>
            <w:noWrap/>
            <w:vAlign w:val="center"/>
          </w:tcPr>
          <w:p w14:paraId="798710D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Lee</w:t>
            </w:r>
          </w:p>
        </w:tc>
        <w:tc>
          <w:tcPr>
            <w:tcW w:w="708" w:type="dxa"/>
            <w:tcBorders>
              <w:top w:val="single" w:sz="4" w:space="0" w:color="auto"/>
              <w:left w:val="nil"/>
              <w:bottom w:val="single" w:sz="4" w:space="0" w:color="auto"/>
              <w:right w:val="nil"/>
            </w:tcBorders>
            <w:noWrap/>
            <w:vAlign w:val="center"/>
          </w:tcPr>
          <w:p w14:paraId="4D9E14D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4491A65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South Korea</w:t>
            </w:r>
          </w:p>
        </w:tc>
        <w:tc>
          <w:tcPr>
            <w:tcW w:w="1275" w:type="dxa"/>
            <w:tcBorders>
              <w:top w:val="single" w:sz="4" w:space="0" w:color="auto"/>
              <w:left w:val="nil"/>
              <w:bottom w:val="single" w:sz="4" w:space="0" w:color="auto"/>
              <w:right w:val="nil"/>
            </w:tcBorders>
            <w:vAlign w:val="center"/>
          </w:tcPr>
          <w:p w14:paraId="22A625B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Amp GS5001 (SOSO H&amp;C, </w:t>
            </w:r>
            <w:r w:rsidRPr="00523AB6">
              <w:rPr>
                <w:rFonts w:ascii="Calibri" w:eastAsia="Times New Roman" w:hAnsi="Calibri" w:cs="Calibri"/>
                <w:lang w:val="en-GB"/>
              </w:rPr>
              <w:lastRenderedPageBreak/>
              <w:t>Kyungpook University, Daegu, Korea)</w:t>
            </w:r>
          </w:p>
        </w:tc>
        <w:tc>
          <w:tcPr>
            <w:tcW w:w="1134" w:type="dxa"/>
            <w:tcBorders>
              <w:top w:val="single" w:sz="4" w:space="0" w:color="auto"/>
              <w:left w:val="nil"/>
              <w:bottom w:val="single" w:sz="4" w:space="0" w:color="auto"/>
              <w:right w:val="nil"/>
            </w:tcBorders>
            <w:vAlign w:val="center"/>
          </w:tcPr>
          <w:p w14:paraId="5B02222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Delirium</w:t>
            </w:r>
          </w:p>
        </w:tc>
        <w:tc>
          <w:tcPr>
            <w:tcW w:w="1985" w:type="dxa"/>
            <w:tcBorders>
              <w:top w:val="single" w:sz="4" w:space="0" w:color="auto"/>
              <w:left w:val="nil"/>
              <w:bottom w:val="single" w:sz="4" w:space="0" w:color="auto"/>
              <w:right w:val="nil"/>
            </w:tcBorders>
            <w:vAlign w:val="center"/>
          </w:tcPr>
          <w:p w14:paraId="7BE59E0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test a compact EEG device as diagnostic tool for </w:t>
            </w:r>
            <w:r w:rsidRPr="00523AB6">
              <w:rPr>
                <w:rFonts w:ascii="Calibri" w:hAnsi="Calibri" w:cs="Calibri"/>
                <w:lang w:val="en-GB"/>
              </w:rPr>
              <w:lastRenderedPageBreak/>
              <w:t>delirium by analysing differences in EEG signals in patients with and without delirium both before and after spinal surgery.</w:t>
            </w:r>
          </w:p>
        </w:tc>
        <w:tc>
          <w:tcPr>
            <w:tcW w:w="3541" w:type="dxa"/>
            <w:tcBorders>
              <w:top w:val="single" w:sz="4" w:space="0" w:color="auto"/>
              <w:left w:val="nil"/>
              <w:bottom w:val="single" w:sz="4" w:space="0" w:color="auto"/>
              <w:right w:val="nil"/>
            </w:tcBorders>
            <w:vAlign w:val="center"/>
          </w:tcPr>
          <w:p w14:paraId="32ECDE5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cross-sectional study with 37 older adults who had spinal surgery. EEG measurements were </w:t>
            </w:r>
            <w:r w:rsidRPr="00523AB6">
              <w:rPr>
                <w:rFonts w:ascii="Calibri" w:hAnsi="Calibri" w:cs="Calibri"/>
                <w:lang w:val="en-GB"/>
              </w:rPr>
              <w:lastRenderedPageBreak/>
              <w:t>performed before, one week after and three months after the surgery in the hospital or outpatient clinic. Delirium was diagnosed by a psychiatrist. Patients with delirium were compared to those without.</w:t>
            </w:r>
          </w:p>
        </w:tc>
        <w:tc>
          <w:tcPr>
            <w:tcW w:w="3261" w:type="dxa"/>
            <w:tcBorders>
              <w:top w:val="single" w:sz="4" w:space="0" w:color="auto"/>
              <w:left w:val="nil"/>
              <w:bottom w:val="single" w:sz="4" w:space="0" w:color="auto"/>
            </w:tcBorders>
            <w:vAlign w:val="center"/>
          </w:tcPr>
          <w:p w14:paraId="441AA16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Compared to the group without delirium, people with delirium showed more increase in the</w:t>
            </w:r>
            <w:r w:rsidRPr="00523AB6">
              <w:rPr>
                <w:lang w:val="en-US"/>
              </w:rPr>
              <w:t xml:space="preserve"> </w:t>
            </w:r>
            <w:r w:rsidRPr="00523AB6">
              <w:rPr>
                <w:rFonts w:ascii="Calibri" w:hAnsi="Calibri" w:cs="Calibri"/>
                <w:lang w:val="en-GB"/>
              </w:rPr>
              <w:t>H-</w:t>
            </w:r>
            <w:r w:rsidRPr="00523AB6">
              <w:rPr>
                <w:rFonts w:ascii="Calibri" w:hAnsi="Calibri" w:cs="Calibri"/>
                <w:lang w:val="en-GB"/>
              </w:rPr>
              <w:lastRenderedPageBreak/>
              <w:t xml:space="preserve">beta waves (19%, </w:t>
            </w:r>
            <w:r w:rsidRPr="00523AB6">
              <w:rPr>
                <w:rFonts w:ascii="Calibri" w:hAnsi="Calibri" w:cs="Calibri"/>
                <w:i/>
                <w:iCs/>
                <w:lang w:val="en-GB"/>
              </w:rPr>
              <w:t>p</w:t>
            </w:r>
            <w:r w:rsidRPr="00523AB6">
              <w:rPr>
                <w:rFonts w:ascii="Calibri" w:hAnsi="Calibri" w:cs="Calibri"/>
                <w:lang w:val="en-GB"/>
              </w:rPr>
              <w:t xml:space="preserve"> = 0.003), gamma (19%, </w:t>
            </w:r>
            <w:r w:rsidRPr="00523AB6">
              <w:rPr>
                <w:rFonts w:ascii="Calibri" w:hAnsi="Calibri" w:cs="Calibri"/>
                <w:i/>
                <w:iCs/>
                <w:lang w:val="en-GB"/>
              </w:rPr>
              <w:t>p</w:t>
            </w:r>
            <w:r w:rsidRPr="00523AB6">
              <w:rPr>
                <w:rFonts w:ascii="Calibri" w:hAnsi="Calibri" w:cs="Calibri"/>
                <w:lang w:val="en-GB"/>
              </w:rPr>
              <w:t xml:space="preserve"> = 0.006) waves, </w:t>
            </w:r>
            <w:r w:rsidRPr="00523AB6">
              <w:rPr>
                <w:lang w:val="en-US"/>
              </w:rPr>
              <w:t xml:space="preserve"> the </w:t>
            </w:r>
            <w:r w:rsidRPr="00523AB6">
              <w:rPr>
                <w:rFonts w:ascii="Calibri" w:hAnsi="Calibri" w:cs="Calibri"/>
                <w:lang w:val="en-GB"/>
              </w:rPr>
              <w:t xml:space="preserve">tension index (8%, </w:t>
            </w:r>
            <w:r w:rsidRPr="00523AB6">
              <w:rPr>
                <w:rFonts w:ascii="Calibri" w:hAnsi="Calibri" w:cs="Calibri"/>
                <w:i/>
                <w:iCs/>
                <w:lang w:val="en-GB"/>
              </w:rPr>
              <w:t>p</w:t>
            </w:r>
            <w:r w:rsidRPr="00523AB6">
              <w:rPr>
                <w:rFonts w:ascii="Calibri" w:hAnsi="Calibri" w:cs="Calibri"/>
                <w:lang w:val="en-GB"/>
              </w:rPr>
              <w:t xml:space="preserve"> = 0.011), and more decrease in the theta waves (−23%, </w:t>
            </w:r>
            <w:r w:rsidRPr="00523AB6">
              <w:rPr>
                <w:rFonts w:ascii="Calibri" w:hAnsi="Calibri" w:cs="Calibri"/>
                <w:i/>
                <w:iCs/>
                <w:lang w:val="en-GB"/>
              </w:rPr>
              <w:t>p</w:t>
            </w:r>
            <w:r w:rsidRPr="00523AB6">
              <w:rPr>
                <w:rFonts w:ascii="Calibri" w:hAnsi="Calibri" w:cs="Calibri"/>
                <w:lang w:val="en-GB"/>
              </w:rPr>
              <w:t xml:space="preserve"> = 0.016) one week after the surgery.</w:t>
            </w:r>
          </w:p>
        </w:tc>
      </w:tr>
      <w:tr w:rsidR="005A499B" w:rsidRPr="005A499B" w14:paraId="1EFB3206" w14:textId="77777777" w:rsidTr="007E42ED">
        <w:trPr>
          <w:trHeight w:val="903"/>
        </w:trPr>
        <w:tc>
          <w:tcPr>
            <w:tcW w:w="993" w:type="dxa"/>
            <w:tcBorders>
              <w:top w:val="single" w:sz="4" w:space="0" w:color="auto"/>
              <w:bottom w:val="single" w:sz="4" w:space="0" w:color="auto"/>
              <w:right w:val="nil"/>
            </w:tcBorders>
            <w:noWrap/>
            <w:vAlign w:val="center"/>
          </w:tcPr>
          <w:p w14:paraId="0435FE6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Urdanibia-Centelles</w:t>
            </w:r>
          </w:p>
        </w:tc>
        <w:tc>
          <w:tcPr>
            <w:tcW w:w="708" w:type="dxa"/>
            <w:tcBorders>
              <w:top w:val="single" w:sz="4" w:space="0" w:color="auto"/>
              <w:left w:val="nil"/>
              <w:bottom w:val="single" w:sz="4" w:space="0" w:color="auto"/>
              <w:right w:val="nil"/>
            </w:tcBorders>
            <w:noWrap/>
            <w:vAlign w:val="center"/>
          </w:tcPr>
          <w:p w14:paraId="266D3BB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479898D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Denmark</w:t>
            </w:r>
          </w:p>
        </w:tc>
        <w:tc>
          <w:tcPr>
            <w:tcW w:w="1275" w:type="dxa"/>
            <w:tcBorders>
              <w:top w:val="single" w:sz="4" w:space="0" w:color="auto"/>
              <w:left w:val="nil"/>
              <w:bottom w:val="single" w:sz="4" w:space="0" w:color="auto"/>
              <w:right w:val="nil"/>
            </w:tcBorders>
            <w:vAlign w:val="center"/>
          </w:tcPr>
          <w:p w14:paraId="442C8D9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NicoletOne</w:t>
            </w:r>
            <w:r w:rsidRPr="00523AB6">
              <w:rPr>
                <w:rFonts w:ascii="Calibri" w:eastAsia="Times New Roman" w:hAnsi="Calibri" w:cs="Calibri"/>
                <w:vertAlign w:val="superscript"/>
                <w:lang w:val="en-GB"/>
              </w:rPr>
              <w:t>TM</w:t>
            </w:r>
          </w:p>
          <w:p w14:paraId="7C4145C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Version 5.71 (Nicolet, Natus Medical Incorporated)</w:t>
            </w:r>
          </w:p>
        </w:tc>
        <w:tc>
          <w:tcPr>
            <w:tcW w:w="1134" w:type="dxa"/>
            <w:tcBorders>
              <w:top w:val="single" w:sz="4" w:space="0" w:color="auto"/>
              <w:left w:val="nil"/>
              <w:bottom w:val="single" w:sz="4" w:space="0" w:color="auto"/>
              <w:right w:val="nil"/>
            </w:tcBorders>
            <w:vAlign w:val="center"/>
          </w:tcPr>
          <w:p w14:paraId="6F1FC92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Delirium</w:t>
            </w:r>
          </w:p>
        </w:tc>
        <w:tc>
          <w:tcPr>
            <w:tcW w:w="1985" w:type="dxa"/>
            <w:tcBorders>
              <w:top w:val="single" w:sz="4" w:space="0" w:color="auto"/>
              <w:left w:val="nil"/>
              <w:bottom w:val="single" w:sz="4" w:space="0" w:color="auto"/>
              <w:right w:val="nil"/>
            </w:tcBorders>
            <w:vAlign w:val="center"/>
          </w:tcPr>
          <w:p w14:paraId="3174A46D" w14:textId="77777777" w:rsidR="005A499B" w:rsidRPr="00523AB6" w:rsidRDefault="005A499B" w:rsidP="007E42ED">
            <w:pPr>
              <w:spacing w:after="0"/>
              <w:rPr>
                <w:rFonts w:ascii="Calibri" w:hAnsi="Calibri" w:cs="Calibri"/>
                <w:lang w:val="en-GB"/>
              </w:rPr>
            </w:pPr>
          </w:p>
          <w:p w14:paraId="62D4B98B" w14:textId="77777777" w:rsidR="005A499B" w:rsidRPr="00523AB6" w:rsidRDefault="005A499B" w:rsidP="007E42ED">
            <w:pPr>
              <w:rPr>
                <w:rFonts w:ascii="Calibri" w:hAnsi="Calibri" w:cs="Calibri"/>
                <w:lang w:val="en-GB"/>
              </w:rPr>
            </w:pPr>
            <w:r w:rsidRPr="00523AB6">
              <w:rPr>
                <w:rFonts w:ascii="Calibri" w:hAnsi="Calibri" w:cs="Calibri"/>
                <w:lang w:val="en-GB"/>
              </w:rPr>
              <w:t>To compare visual analysis and automatic analysis of continuous EEG in diagnosing delirium in septic patients.</w:t>
            </w:r>
          </w:p>
        </w:tc>
        <w:tc>
          <w:tcPr>
            <w:tcW w:w="3541" w:type="dxa"/>
            <w:tcBorders>
              <w:top w:val="single" w:sz="4" w:space="0" w:color="auto"/>
              <w:left w:val="nil"/>
              <w:bottom w:val="single" w:sz="4" w:space="0" w:color="auto"/>
              <w:right w:val="nil"/>
            </w:tcBorders>
            <w:vAlign w:val="center"/>
          </w:tcPr>
          <w:p w14:paraId="15DF026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102 older adults with sepsis in the ICU. Delirium was evaluated six times per day with the Confusion Assessment Method in the ICU.</w:t>
            </w:r>
          </w:p>
        </w:tc>
        <w:tc>
          <w:tcPr>
            <w:tcW w:w="3261" w:type="dxa"/>
            <w:tcBorders>
              <w:top w:val="single" w:sz="4" w:space="0" w:color="auto"/>
              <w:left w:val="nil"/>
              <w:bottom w:val="single" w:sz="4" w:space="0" w:color="auto"/>
            </w:tcBorders>
            <w:vAlign w:val="center"/>
          </w:tcPr>
          <w:p w14:paraId="276D163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Delirium was associated with several parameters of the continuous EEG. The AUC is slightly higher for visual analysis (88%) than automatic analysis (74%). The authors concluded that the automatic analysis can complement the visual analysis in delirium diagnosis.</w:t>
            </w:r>
          </w:p>
        </w:tc>
      </w:tr>
      <w:tr w:rsidR="005A499B" w:rsidRPr="005A499B" w14:paraId="26564373" w14:textId="77777777" w:rsidTr="007E42ED">
        <w:trPr>
          <w:trHeight w:val="903"/>
        </w:trPr>
        <w:tc>
          <w:tcPr>
            <w:tcW w:w="993" w:type="dxa"/>
            <w:tcBorders>
              <w:top w:val="single" w:sz="4" w:space="0" w:color="auto"/>
              <w:bottom w:val="single" w:sz="4" w:space="0" w:color="auto"/>
              <w:right w:val="nil"/>
            </w:tcBorders>
            <w:noWrap/>
            <w:vAlign w:val="center"/>
          </w:tcPr>
          <w:p w14:paraId="25BAE06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Nakamura</w:t>
            </w:r>
          </w:p>
        </w:tc>
        <w:tc>
          <w:tcPr>
            <w:tcW w:w="708" w:type="dxa"/>
            <w:tcBorders>
              <w:top w:val="single" w:sz="4" w:space="0" w:color="auto"/>
              <w:left w:val="nil"/>
              <w:bottom w:val="single" w:sz="4" w:space="0" w:color="auto"/>
              <w:right w:val="nil"/>
            </w:tcBorders>
            <w:noWrap/>
            <w:vAlign w:val="center"/>
          </w:tcPr>
          <w:p w14:paraId="0D40A40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03E209C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UK</w:t>
            </w:r>
          </w:p>
        </w:tc>
        <w:tc>
          <w:tcPr>
            <w:tcW w:w="1275" w:type="dxa"/>
            <w:tcBorders>
              <w:top w:val="single" w:sz="4" w:space="0" w:color="auto"/>
              <w:left w:val="nil"/>
              <w:bottom w:val="single" w:sz="4" w:space="0" w:color="auto"/>
              <w:right w:val="nil"/>
            </w:tcBorders>
            <w:vAlign w:val="center"/>
          </w:tcPr>
          <w:p w14:paraId="119E9BB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left w:val="nil"/>
              <w:bottom w:val="single" w:sz="4" w:space="0" w:color="auto"/>
              <w:right w:val="nil"/>
            </w:tcBorders>
            <w:vAlign w:val="center"/>
          </w:tcPr>
          <w:p w14:paraId="0CC9B08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stages</w:t>
            </w:r>
          </w:p>
        </w:tc>
        <w:tc>
          <w:tcPr>
            <w:tcW w:w="1985" w:type="dxa"/>
            <w:tcBorders>
              <w:top w:val="single" w:sz="4" w:space="0" w:color="auto"/>
              <w:left w:val="nil"/>
              <w:bottom w:val="single" w:sz="4" w:space="0" w:color="auto"/>
              <w:right w:val="nil"/>
            </w:tcBorders>
            <w:vAlign w:val="center"/>
          </w:tcPr>
          <w:p w14:paraId="3086D39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the validity of in-ear EEG monitoring of sleep.</w:t>
            </w:r>
          </w:p>
        </w:tc>
        <w:tc>
          <w:tcPr>
            <w:tcW w:w="3541" w:type="dxa"/>
            <w:tcBorders>
              <w:top w:val="single" w:sz="4" w:space="0" w:color="auto"/>
              <w:left w:val="nil"/>
              <w:bottom w:val="single" w:sz="4" w:space="0" w:color="auto"/>
              <w:right w:val="nil"/>
            </w:tcBorders>
            <w:vAlign w:val="center"/>
          </w:tcPr>
          <w:p w14:paraId="3F70DEF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22 adult participants. Sleep was monitored by both the in-ear EEG and PSG for a whole night in their homes.</w:t>
            </w:r>
          </w:p>
        </w:tc>
        <w:tc>
          <w:tcPr>
            <w:tcW w:w="3261" w:type="dxa"/>
            <w:tcBorders>
              <w:top w:val="single" w:sz="4" w:space="0" w:color="auto"/>
              <w:left w:val="nil"/>
              <w:bottom w:val="single" w:sz="4" w:space="0" w:color="auto"/>
            </w:tcBorders>
            <w:vAlign w:val="center"/>
          </w:tcPr>
          <w:p w14:paraId="682674A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Accuracy in five sleep stage classification: 74% compared to PSG (k = 0.61). </w:t>
            </w:r>
          </w:p>
        </w:tc>
      </w:tr>
      <w:tr w:rsidR="005A499B" w:rsidRPr="005A499B" w14:paraId="2DB97EDE" w14:textId="77777777" w:rsidTr="007E42ED">
        <w:trPr>
          <w:trHeight w:val="903"/>
        </w:trPr>
        <w:tc>
          <w:tcPr>
            <w:tcW w:w="993" w:type="dxa"/>
            <w:tcBorders>
              <w:top w:val="single" w:sz="4" w:space="0" w:color="auto"/>
              <w:bottom w:val="single" w:sz="4" w:space="0" w:color="auto"/>
              <w:right w:val="nil"/>
            </w:tcBorders>
            <w:noWrap/>
            <w:vAlign w:val="center"/>
          </w:tcPr>
          <w:p w14:paraId="5666544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Vacas</w:t>
            </w:r>
          </w:p>
        </w:tc>
        <w:tc>
          <w:tcPr>
            <w:tcW w:w="708" w:type="dxa"/>
            <w:tcBorders>
              <w:top w:val="single" w:sz="4" w:space="0" w:color="auto"/>
              <w:left w:val="nil"/>
              <w:bottom w:val="single" w:sz="4" w:space="0" w:color="auto"/>
              <w:right w:val="nil"/>
            </w:tcBorders>
            <w:noWrap/>
            <w:vAlign w:val="center"/>
          </w:tcPr>
          <w:p w14:paraId="2EBB851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6AEE0C7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4960F8C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SedLine Brain Function Monitor (Masimo Corp., Irvine, California)</w:t>
            </w:r>
          </w:p>
        </w:tc>
        <w:tc>
          <w:tcPr>
            <w:tcW w:w="1134" w:type="dxa"/>
            <w:tcBorders>
              <w:top w:val="single" w:sz="4" w:space="0" w:color="auto"/>
              <w:left w:val="nil"/>
              <w:bottom w:val="single" w:sz="4" w:space="0" w:color="auto"/>
              <w:right w:val="nil"/>
            </w:tcBorders>
            <w:vAlign w:val="center"/>
          </w:tcPr>
          <w:p w14:paraId="283522D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stages</w:t>
            </w:r>
          </w:p>
        </w:tc>
        <w:tc>
          <w:tcPr>
            <w:tcW w:w="1985" w:type="dxa"/>
            <w:tcBorders>
              <w:top w:val="single" w:sz="4" w:space="0" w:color="auto"/>
              <w:left w:val="nil"/>
              <w:bottom w:val="single" w:sz="4" w:space="0" w:color="auto"/>
              <w:right w:val="nil"/>
            </w:tcBorders>
            <w:vAlign w:val="center"/>
          </w:tcPr>
          <w:p w14:paraId="19867A8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device in laboratory setting and to test the feasibility of its use in the ICU.</w:t>
            </w:r>
          </w:p>
        </w:tc>
        <w:tc>
          <w:tcPr>
            <w:tcW w:w="3541" w:type="dxa"/>
            <w:tcBorders>
              <w:top w:val="single" w:sz="4" w:space="0" w:color="auto"/>
              <w:left w:val="nil"/>
              <w:bottom w:val="single" w:sz="4" w:space="0" w:color="auto"/>
              <w:right w:val="nil"/>
            </w:tcBorders>
            <w:vAlign w:val="center"/>
          </w:tcPr>
          <w:p w14:paraId="57187B5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three adult outpatients in the laboratory and 23 ICU patients. The system was validated against PSG in the laboratory, where participants were monitored for one night. The mean recording time in the ICU was 19.1 hours.</w:t>
            </w:r>
          </w:p>
        </w:tc>
        <w:tc>
          <w:tcPr>
            <w:tcW w:w="3261" w:type="dxa"/>
            <w:tcBorders>
              <w:top w:val="single" w:sz="4" w:space="0" w:color="auto"/>
              <w:left w:val="nil"/>
              <w:bottom w:val="single" w:sz="4" w:space="0" w:color="auto"/>
            </w:tcBorders>
            <w:vAlign w:val="center"/>
          </w:tcPr>
          <w:p w14:paraId="6141A08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system could distinguish sleep from wakefulness and the transition between sleep stages, although the latter is less accurate. </w:t>
            </w:r>
          </w:p>
        </w:tc>
      </w:tr>
      <w:tr w:rsidR="005A499B" w:rsidRPr="005A499B" w14:paraId="02E5F4BD" w14:textId="77777777" w:rsidTr="007E42ED">
        <w:trPr>
          <w:trHeight w:val="903"/>
        </w:trPr>
        <w:tc>
          <w:tcPr>
            <w:tcW w:w="993" w:type="dxa"/>
            <w:tcBorders>
              <w:top w:val="single" w:sz="4" w:space="0" w:color="auto"/>
              <w:bottom w:val="single" w:sz="4" w:space="0" w:color="auto"/>
              <w:right w:val="nil"/>
            </w:tcBorders>
            <w:noWrap/>
            <w:vAlign w:val="center"/>
          </w:tcPr>
          <w:p w14:paraId="4044DA3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Pu</w:t>
            </w:r>
          </w:p>
        </w:tc>
        <w:tc>
          <w:tcPr>
            <w:tcW w:w="708" w:type="dxa"/>
            <w:tcBorders>
              <w:top w:val="single" w:sz="4" w:space="0" w:color="auto"/>
              <w:left w:val="nil"/>
              <w:bottom w:val="single" w:sz="4" w:space="0" w:color="auto"/>
              <w:right w:val="nil"/>
            </w:tcBorders>
            <w:noWrap/>
            <w:vAlign w:val="center"/>
          </w:tcPr>
          <w:p w14:paraId="2C7492C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0F30910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Australia</w:t>
            </w:r>
          </w:p>
        </w:tc>
        <w:tc>
          <w:tcPr>
            <w:tcW w:w="1275" w:type="dxa"/>
            <w:tcBorders>
              <w:top w:val="single" w:sz="4" w:space="0" w:color="auto"/>
              <w:left w:val="nil"/>
              <w:bottom w:val="single" w:sz="4" w:space="0" w:color="auto"/>
              <w:right w:val="nil"/>
            </w:tcBorders>
            <w:vAlign w:val="center"/>
          </w:tcPr>
          <w:p w14:paraId="55376E4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MUSE 2 (InteraXon Inc., Toronto ON, Canada)</w:t>
            </w:r>
          </w:p>
        </w:tc>
        <w:tc>
          <w:tcPr>
            <w:tcW w:w="1134" w:type="dxa"/>
            <w:tcBorders>
              <w:top w:val="single" w:sz="4" w:space="0" w:color="auto"/>
              <w:left w:val="nil"/>
              <w:bottom w:val="single" w:sz="4" w:space="0" w:color="auto"/>
              <w:right w:val="nil"/>
            </w:tcBorders>
            <w:vAlign w:val="center"/>
          </w:tcPr>
          <w:p w14:paraId="4A8DE23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402B7A8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the feasibility of a headband EEG to monitor pain in</w:t>
            </w:r>
            <w:r w:rsidRPr="00523AB6">
              <w:rPr>
                <w:lang w:val="en-US"/>
              </w:rPr>
              <w:t xml:space="preserve"> </w:t>
            </w:r>
            <w:r w:rsidRPr="00523AB6">
              <w:rPr>
                <w:rFonts w:ascii="Calibri" w:hAnsi="Calibri" w:cs="Calibri"/>
                <w:lang w:val="en-GB"/>
              </w:rPr>
              <w:t>long-term care residents with dementia.</w:t>
            </w:r>
          </w:p>
        </w:tc>
        <w:tc>
          <w:tcPr>
            <w:tcW w:w="3541" w:type="dxa"/>
            <w:tcBorders>
              <w:top w:val="single" w:sz="4" w:space="0" w:color="auto"/>
              <w:left w:val="nil"/>
              <w:bottom w:val="single" w:sz="4" w:space="0" w:color="auto"/>
              <w:right w:val="nil"/>
            </w:tcBorders>
            <w:vAlign w:val="center"/>
          </w:tcPr>
          <w:p w14:paraId="5F09134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4 older adults with dementia and chronic pain in a long-term care facility. Each participant was monitored for 10 minutes. The</w:t>
            </w:r>
            <w:r w:rsidRPr="00523AB6">
              <w:rPr>
                <w:lang w:val="en-US"/>
              </w:rPr>
              <w:t xml:space="preserve"> </w:t>
            </w:r>
            <w:r w:rsidRPr="00523AB6">
              <w:rPr>
                <w:rFonts w:ascii="Calibri" w:hAnsi="Calibri" w:cs="Calibri"/>
                <w:lang w:val="en-GB"/>
              </w:rPr>
              <w:t>Pain Assessment in Advanced Dementia (PAINAD) scale was administered before and after the measurement.</w:t>
            </w:r>
          </w:p>
        </w:tc>
        <w:tc>
          <w:tcPr>
            <w:tcW w:w="3261" w:type="dxa"/>
            <w:tcBorders>
              <w:top w:val="single" w:sz="4" w:space="0" w:color="auto"/>
              <w:left w:val="nil"/>
              <w:bottom w:val="single" w:sz="4" w:space="0" w:color="auto"/>
            </w:tcBorders>
            <w:vAlign w:val="center"/>
          </w:tcPr>
          <w:p w14:paraId="7A35F431" w14:textId="77777777" w:rsidR="005A499B" w:rsidRPr="00523AB6" w:rsidRDefault="005A499B" w:rsidP="007E42ED">
            <w:pPr>
              <w:spacing w:after="0"/>
              <w:rPr>
                <w:rFonts w:ascii="Calibri" w:hAnsi="Calibri" w:cs="Calibri"/>
                <w:lang w:val="en-GB"/>
              </w:rPr>
            </w:pPr>
            <w:r w:rsidRPr="00523AB6">
              <w:rPr>
                <w:lang w:val="en-GB"/>
              </w:rPr>
              <w:t>The d</w:t>
            </w:r>
            <w:r w:rsidRPr="00523AB6">
              <w:rPr>
                <w:rFonts w:ascii="Calibri" w:hAnsi="Calibri" w:cs="Calibri"/>
                <w:lang w:val="en-GB"/>
              </w:rPr>
              <w:t xml:space="preserve">etrended fluctuation analysis of EEG signals fluctuated in participants experiencing pain, but not in the participant without pain. </w:t>
            </w:r>
          </w:p>
        </w:tc>
      </w:tr>
      <w:tr w:rsidR="005A499B" w:rsidRPr="005A499B" w14:paraId="6ECD714D" w14:textId="77777777" w:rsidTr="007E42ED">
        <w:trPr>
          <w:trHeight w:val="903"/>
        </w:trPr>
        <w:tc>
          <w:tcPr>
            <w:tcW w:w="993" w:type="dxa"/>
            <w:tcBorders>
              <w:top w:val="single" w:sz="4" w:space="0" w:color="auto"/>
              <w:bottom w:val="single" w:sz="4" w:space="0" w:color="auto"/>
              <w:right w:val="nil"/>
            </w:tcBorders>
            <w:noWrap/>
            <w:vAlign w:val="center"/>
          </w:tcPr>
          <w:p w14:paraId="4AEAB0B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Roh</w:t>
            </w:r>
          </w:p>
        </w:tc>
        <w:tc>
          <w:tcPr>
            <w:tcW w:w="708" w:type="dxa"/>
            <w:tcBorders>
              <w:top w:val="single" w:sz="4" w:space="0" w:color="auto"/>
              <w:left w:val="nil"/>
              <w:bottom w:val="single" w:sz="4" w:space="0" w:color="auto"/>
              <w:right w:val="nil"/>
            </w:tcBorders>
            <w:noWrap/>
            <w:vAlign w:val="center"/>
          </w:tcPr>
          <w:p w14:paraId="288AC70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left w:val="nil"/>
              <w:bottom w:val="single" w:sz="4" w:space="0" w:color="auto"/>
              <w:right w:val="nil"/>
            </w:tcBorders>
            <w:noWrap/>
            <w:vAlign w:val="center"/>
          </w:tcPr>
          <w:p w14:paraId="6F0176B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South Korea</w:t>
            </w:r>
          </w:p>
        </w:tc>
        <w:tc>
          <w:tcPr>
            <w:tcW w:w="1275" w:type="dxa"/>
            <w:tcBorders>
              <w:top w:val="single" w:sz="4" w:space="0" w:color="auto"/>
              <w:left w:val="nil"/>
              <w:bottom w:val="single" w:sz="4" w:space="0" w:color="auto"/>
              <w:right w:val="nil"/>
            </w:tcBorders>
            <w:vAlign w:val="center"/>
          </w:tcPr>
          <w:p w14:paraId="2634F06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57F84F4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6C05394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portable system to measure stress and mental state.</w:t>
            </w:r>
          </w:p>
        </w:tc>
        <w:tc>
          <w:tcPr>
            <w:tcW w:w="3541" w:type="dxa"/>
            <w:tcBorders>
              <w:top w:val="single" w:sz="4" w:space="0" w:color="auto"/>
              <w:left w:val="nil"/>
              <w:bottom w:val="single" w:sz="4" w:space="0" w:color="auto"/>
              <w:right w:val="nil"/>
            </w:tcBorders>
            <w:vAlign w:val="center"/>
          </w:tcPr>
          <w:p w14:paraId="1F73D36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10 healthy adults in the laboratory. For 10 minutes, participants wore a headband and did three stressful tasks with rest in between.</w:t>
            </w:r>
          </w:p>
        </w:tc>
        <w:tc>
          <w:tcPr>
            <w:tcW w:w="3261" w:type="dxa"/>
            <w:tcBorders>
              <w:top w:val="single" w:sz="4" w:space="0" w:color="auto"/>
              <w:left w:val="nil"/>
              <w:bottom w:val="single" w:sz="4" w:space="0" w:color="auto"/>
            </w:tcBorders>
            <w:vAlign w:val="center"/>
          </w:tcPr>
          <w:p w14:paraId="3982ED1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Compared to the resting state, the largest lyapunov exponent value (the physiological marker for stress and mental state) decreased to 0.734 and the standard deviation of heart rate variability (HRV), also derived from EEG data, increased to 73ms during stressful tasks.</w:t>
            </w:r>
          </w:p>
        </w:tc>
      </w:tr>
      <w:tr w:rsidR="005A499B" w:rsidRPr="00523AB6" w14:paraId="0F99891A" w14:textId="77777777" w:rsidTr="007E42ED">
        <w:trPr>
          <w:trHeight w:val="511"/>
        </w:trPr>
        <w:tc>
          <w:tcPr>
            <w:tcW w:w="13890" w:type="dxa"/>
            <w:gridSpan w:val="9"/>
            <w:tcBorders>
              <w:top w:val="single" w:sz="4" w:space="0" w:color="auto"/>
              <w:bottom w:val="single" w:sz="4" w:space="0" w:color="auto"/>
            </w:tcBorders>
            <w:noWrap/>
            <w:vAlign w:val="center"/>
          </w:tcPr>
          <w:p w14:paraId="5A8085CA" w14:textId="77777777" w:rsidR="005A499B" w:rsidRPr="00523AB6" w:rsidRDefault="005A499B" w:rsidP="007E42ED">
            <w:pPr>
              <w:spacing w:after="0"/>
              <w:rPr>
                <w:b/>
                <w:bCs/>
                <w:lang w:val="en-GB"/>
              </w:rPr>
            </w:pPr>
            <w:r w:rsidRPr="00523AB6">
              <w:rPr>
                <w:b/>
                <w:bCs/>
                <w:lang w:val="en-GB"/>
              </w:rPr>
              <w:t>Electrocardiography (ECG)</w:t>
            </w:r>
          </w:p>
        </w:tc>
      </w:tr>
      <w:tr w:rsidR="005A499B" w:rsidRPr="005A499B" w14:paraId="1C8CFDB7" w14:textId="77777777" w:rsidTr="007E42ED">
        <w:trPr>
          <w:trHeight w:val="903"/>
        </w:trPr>
        <w:tc>
          <w:tcPr>
            <w:tcW w:w="993" w:type="dxa"/>
            <w:tcBorders>
              <w:top w:val="single" w:sz="4" w:space="0" w:color="auto"/>
              <w:bottom w:val="single" w:sz="4" w:space="0" w:color="auto"/>
              <w:right w:val="nil"/>
            </w:tcBorders>
            <w:noWrap/>
            <w:vAlign w:val="center"/>
          </w:tcPr>
          <w:p w14:paraId="102D617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 jonckheere</w:t>
            </w:r>
          </w:p>
        </w:tc>
        <w:tc>
          <w:tcPr>
            <w:tcW w:w="708" w:type="dxa"/>
            <w:tcBorders>
              <w:top w:val="single" w:sz="4" w:space="0" w:color="auto"/>
              <w:left w:val="nil"/>
              <w:bottom w:val="single" w:sz="4" w:space="0" w:color="auto"/>
              <w:right w:val="nil"/>
            </w:tcBorders>
            <w:noWrap/>
            <w:vAlign w:val="center"/>
          </w:tcPr>
          <w:p w14:paraId="3800125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2014</w:t>
            </w:r>
          </w:p>
        </w:tc>
        <w:tc>
          <w:tcPr>
            <w:tcW w:w="993" w:type="dxa"/>
            <w:gridSpan w:val="2"/>
            <w:tcBorders>
              <w:top w:val="single" w:sz="4" w:space="0" w:color="auto"/>
              <w:left w:val="nil"/>
              <w:bottom w:val="single" w:sz="4" w:space="0" w:color="auto"/>
              <w:right w:val="nil"/>
            </w:tcBorders>
            <w:noWrap/>
            <w:vAlign w:val="center"/>
          </w:tcPr>
          <w:p w14:paraId="75CBF80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France</w:t>
            </w:r>
          </w:p>
        </w:tc>
        <w:tc>
          <w:tcPr>
            <w:tcW w:w="1275" w:type="dxa"/>
            <w:tcBorders>
              <w:top w:val="single" w:sz="4" w:space="0" w:color="auto"/>
              <w:left w:val="nil"/>
              <w:bottom w:val="single" w:sz="4" w:space="0" w:color="auto"/>
              <w:right w:val="nil"/>
            </w:tcBorders>
            <w:vAlign w:val="center"/>
          </w:tcPr>
          <w:p w14:paraId="2CF72AB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212F7AC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358660F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an ambulant device which monitors pain with HRV analysis.</w:t>
            </w:r>
          </w:p>
        </w:tc>
        <w:tc>
          <w:tcPr>
            <w:tcW w:w="3541" w:type="dxa"/>
            <w:tcBorders>
              <w:top w:val="single" w:sz="4" w:space="0" w:color="auto"/>
              <w:left w:val="nil"/>
              <w:bottom w:val="single" w:sz="4" w:space="0" w:color="auto"/>
              <w:right w:val="nil"/>
            </w:tcBorders>
            <w:vAlign w:val="center"/>
          </w:tcPr>
          <w:p w14:paraId="7F42A57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12 adults having physical therapy after surgery. Pain was scored with the Visual Analogue Scale (VAS) during the first and second therapy session.</w:t>
            </w:r>
          </w:p>
        </w:tc>
        <w:tc>
          <w:tcPr>
            <w:tcW w:w="3261" w:type="dxa"/>
            <w:tcBorders>
              <w:top w:val="single" w:sz="4" w:space="0" w:color="auto"/>
              <w:left w:val="nil"/>
              <w:bottom w:val="single" w:sz="4" w:space="0" w:color="auto"/>
            </w:tcBorders>
            <w:vAlign w:val="center"/>
          </w:tcPr>
          <w:p w14:paraId="3AD1C55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HRV was correlated with the</w:t>
            </w:r>
            <w:r w:rsidRPr="00523AB6">
              <w:rPr>
                <w:lang w:val="en-US"/>
              </w:rPr>
              <w:t xml:space="preserve"> </w:t>
            </w:r>
            <w:r w:rsidRPr="00523AB6">
              <w:rPr>
                <w:rFonts w:ascii="Calibri" w:hAnsi="Calibri" w:cs="Calibri"/>
                <w:lang w:val="en-GB"/>
              </w:rPr>
              <w:t>VAS (</w:t>
            </w:r>
            <w:r w:rsidRPr="00523AB6">
              <w:rPr>
                <w:rFonts w:ascii="Calibri" w:hAnsi="Calibri" w:cs="Calibri"/>
                <w:i/>
                <w:iCs/>
                <w:lang w:val="en-GB"/>
              </w:rPr>
              <w:t>r</w:t>
            </w:r>
            <w:r w:rsidRPr="00523AB6">
              <w:rPr>
                <w:rFonts w:ascii="Calibri" w:hAnsi="Calibri" w:cs="Calibri"/>
                <w:lang w:val="en-GB"/>
              </w:rPr>
              <w:t xml:space="preserve"> = - 0.50, </w:t>
            </w:r>
            <w:r w:rsidRPr="00523AB6">
              <w:rPr>
                <w:rFonts w:ascii="Calibri" w:hAnsi="Calibri" w:cs="Calibri"/>
                <w:i/>
                <w:iCs/>
                <w:lang w:val="en-GB"/>
              </w:rPr>
              <w:t xml:space="preserve">p </w:t>
            </w:r>
            <w:r w:rsidRPr="00523AB6">
              <w:rPr>
                <w:rFonts w:ascii="Calibri" w:hAnsi="Calibri" w:cs="Calibri"/>
                <w:lang w:val="en-GB"/>
              </w:rPr>
              <w:t>= 0.002). HRV was lo</w:t>
            </w:r>
            <w:r w:rsidRPr="00523AB6">
              <w:rPr>
                <w:rFonts w:ascii="Calibri" w:hAnsi="Calibri" w:cs="Calibri" w:hint="eastAsia"/>
                <w:lang w:val="en-GB"/>
              </w:rPr>
              <w:t xml:space="preserve">wer in the VAS &gt; 30 subgroup than in the VAS </w:t>
            </w:r>
            <w:r w:rsidRPr="00523AB6">
              <w:rPr>
                <w:rFonts w:ascii="Calibri" w:hAnsi="Calibri" w:cs="Calibri" w:hint="eastAsia"/>
                <w:lang w:val="en-GB"/>
              </w:rPr>
              <w:t>≤</w:t>
            </w:r>
            <w:r w:rsidRPr="00523AB6">
              <w:rPr>
                <w:rFonts w:ascii="Calibri" w:hAnsi="Calibri" w:cs="Calibri" w:hint="eastAsia"/>
                <w:lang w:val="en-GB"/>
              </w:rPr>
              <w:t xml:space="preserve"> 30 one (p=0.002).</w:t>
            </w:r>
          </w:p>
        </w:tc>
      </w:tr>
      <w:tr w:rsidR="005A499B" w:rsidRPr="005A499B" w14:paraId="592C274A" w14:textId="77777777" w:rsidTr="007E42ED">
        <w:trPr>
          <w:trHeight w:val="903"/>
        </w:trPr>
        <w:tc>
          <w:tcPr>
            <w:tcW w:w="993" w:type="dxa"/>
            <w:tcBorders>
              <w:top w:val="single" w:sz="4" w:space="0" w:color="auto"/>
              <w:bottom w:val="single" w:sz="4" w:space="0" w:color="auto"/>
              <w:right w:val="nil"/>
            </w:tcBorders>
            <w:noWrap/>
            <w:vAlign w:val="center"/>
          </w:tcPr>
          <w:p w14:paraId="67EE1E2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Grasso</w:t>
            </w:r>
          </w:p>
        </w:tc>
        <w:tc>
          <w:tcPr>
            <w:tcW w:w="708" w:type="dxa"/>
            <w:tcBorders>
              <w:top w:val="single" w:sz="4" w:space="0" w:color="auto"/>
              <w:left w:val="nil"/>
              <w:bottom w:val="single" w:sz="4" w:space="0" w:color="auto"/>
              <w:right w:val="nil"/>
            </w:tcBorders>
            <w:noWrap/>
            <w:vAlign w:val="center"/>
          </w:tcPr>
          <w:p w14:paraId="3507EC1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2018</w:t>
            </w:r>
          </w:p>
        </w:tc>
        <w:tc>
          <w:tcPr>
            <w:tcW w:w="993" w:type="dxa"/>
            <w:gridSpan w:val="2"/>
            <w:tcBorders>
              <w:top w:val="single" w:sz="4" w:space="0" w:color="auto"/>
              <w:left w:val="nil"/>
              <w:bottom w:val="single" w:sz="4" w:space="0" w:color="auto"/>
              <w:right w:val="nil"/>
            </w:tcBorders>
            <w:noWrap/>
            <w:vAlign w:val="center"/>
          </w:tcPr>
          <w:p w14:paraId="0BF8854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81E79C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Mortara H12 (Mortara Instrument, Milwaukee, Wis, USA)</w:t>
            </w:r>
          </w:p>
        </w:tc>
        <w:tc>
          <w:tcPr>
            <w:tcW w:w="1134" w:type="dxa"/>
            <w:tcBorders>
              <w:top w:val="single" w:sz="4" w:space="0" w:color="auto"/>
              <w:left w:val="nil"/>
              <w:bottom w:val="single" w:sz="4" w:space="0" w:color="auto"/>
              <w:right w:val="nil"/>
            </w:tcBorders>
            <w:vAlign w:val="center"/>
          </w:tcPr>
          <w:p w14:paraId="2432472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apnea</w:t>
            </w:r>
          </w:p>
        </w:tc>
        <w:tc>
          <w:tcPr>
            <w:tcW w:w="1985" w:type="dxa"/>
            <w:tcBorders>
              <w:top w:val="single" w:sz="4" w:space="0" w:color="auto"/>
              <w:left w:val="nil"/>
              <w:bottom w:val="single" w:sz="4" w:space="0" w:color="auto"/>
              <w:right w:val="nil"/>
            </w:tcBorders>
            <w:vAlign w:val="center"/>
          </w:tcPr>
          <w:p w14:paraId="37E0225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evaluate the portable ECG system in its detection of sleep disordered </w:t>
            </w:r>
            <w:r w:rsidRPr="00523AB6">
              <w:rPr>
                <w:rFonts w:ascii="Calibri" w:hAnsi="Calibri" w:cs="Calibri"/>
                <w:lang w:val="en-GB"/>
              </w:rPr>
              <w:lastRenderedPageBreak/>
              <w:t>breathing compared to standard PSG.</w:t>
            </w:r>
          </w:p>
        </w:tc>
        <w:tc>
          <w:tcPr>
            <w:tcW w:w="3541" w:type="dxa"/>
            <w:tcBorders>
              <w:top w:val="single" w:sz="4" w:space="0" w:color="auto"/>
              <w:left w:val="nil"/>
              <w:bottom w:val="single" w:sz="4" w:space="0" w:color="auto"/>
              <w:right w:val="nil"/>
            </w:tcBorders>
            <w:vAlign w:val="center"/>
          </w:tcPr>
          <w:p w14:paraId="2C9263E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Quantitative prospective cohort study with 30 adult patients with the suspicion of sleep disordered breathing. The ECG monitor and PSG were worn simultaneously overnight in the laboratory.</w:t>
            </w:r>
          </w:p>
        </w:tc>
        <w:tc>
          <w:tcPr>
            <w:tcW w:w="3261" w:type="dxa"/>
            <w:tcBorders>
              <w:top w:val="single" w:sz="4" w:space="0" w:color="auto"/>
              <w:left w:val="nil"/>
              <w:bottom w:val="single" w:sz="4" w:space="0" w:color="auto"/>
            </w:tcBorders>
            <w:vAlign w:val="center"/>
          </w:tcPr>
          <w:p w14:paraId="070EADB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ECG parameters correlated with PSG parameter of apnea (</w:t>
            </w:r>
            <w:r w:rsidRPr="00523AB6">
              <w:rPr>
                <w:rFonts w:ascii="Calibri" w:hAnsi="Calibri" w:cs="Calibri"/>
                <w:i/>
                <w:iCs/>
                <w:lang w:val="en-GB"/>
              </w:rPr>
              <w:t>r</w:t>
            </w:r>
            <w:r w:rsidRPr="00523AB6">
              <w:rPr>
                <w:rFonts w:ascii="Calibri" w:hAnsi="Calibri" w:cs="Calibri"/>
                <w:lang w:val="en-GB"/>
              </w:rPr>
              <w:t xml:space="preserve"> = 0.77 -  0.81). The ECG system was accurate and sensitive but relatively imprecise in detecting the severity of the apnea.</w:t>
            </w:r>
          </w:p>
        </w:tc>
      </w:tr>
      <w:tr w:rsidR="005A499B" w:rsidRPr="005A499B" w14:paraId="649A3E96" w14:textId="77777777" w:rsidTr="007E42ED">
        <w:trPr>
          <w:trHeight w:val="903"/>
        </w:trPr>
        <w:tc>
          <w:tcPr>
            <w:tcW w:w="993" w:type="dxa"/>
            <w:tcBorders>
              <w:top w:val="single" w:sz="4" w:space="0" w:color="auto"/>
              <w:bottom w:val="single" w:sz="4" w:space="0" w:color="auto"/>
              <w:right w:val="nil"/>
            </w:tcBorders>
            <w:noWrap/>
            <w:vAlign w:val="center"/>
          </w:tcPr>
          <w:p w14:paraId="0DEC36D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Li</w:t>
            </w:r>
          </w:p>
        </w:tc>
        <w:tc>
          <w:tcPr>
            <w:tcW w:w="708" w:type="dxa"/>
            <w:tcBorders>
              <w:top w:val="single" w:sz="4" w:space="0" w:color="auto"/>
              <w:left w:val="nil"/>
              <w:bottom w:val="single" w:sz="4" w:space="0" w:color="auto"/>
              <w:right w:val="nil"/>
            </w:tcBorders>
            <w:noWrap/>
            <w:vAlign w:val="center"/>
          </w:tcPr>
          <w:p w14:paraId="3A00EB1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5046A28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China</w:t>
            </w:r>
          </w:p>
        </w:tc>
        <w:tc>
          <w:tcPr>
            <w:tcW w:w="1275" w:type="dxa"/>
            <w:tcBorders>
              <w:top w:val="single" w:sz="4" w:space="0" w:color="auto"/>
              <w:left w:val="nil"/>
              <w:bottom w:val="single" w:sz="4" w:space="0" w:color="auto"/>
              <w:right w:val="nil"/>
            </w:tcBorders>
            <w:vAlign w:val="center"/>
          </w:tcPr>
          <w:p w14:paraId="40D6B79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myBeat-WHS-1 (Union Tool Co., Ltd., Japan)</w:t>
            </w:r>
          </w:p>
        </w:tc>
        <w:tc>
          <w:tcPr>
            <w:tcW w:w="1134" w:type="dxa"/>
            <w:tcBorders>
              <w:top w:val="single" w:sz="4" w:space="0" w:color="auto"/>
              <w:left w:val="nil"/>
              <w:bottom w:val="single" w:sz="4" w:space="0" w:color="auto"/>
              <w:right w:val="nil"/>
            </w:tcBorders>
            <w:vAlign w:val="center"/>
          </w:tcPr>
          <w:p w14:paraId="084EEB5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56A6176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use a wearable ECG monitor to measure workplace stress in nurses.</w:t>
            </w:r>
          </w:p>
        </w:tc>
        <w:tc>
          <w:tcPr>
            <w:tcW w:w="3541" w:type="dxa"/>
            <w:tcBorders>
              <w:top w:val="single" w:sz="4" w:space="0" w:color="auto"/>
              <w:left w:val="nil"/>
              <w:bottom w:val="single" w:sz="4" w:space="0" w:color="auto"/>
              <w:right w:val="nil"/>
            </w:tcBorders>
            <w:vAlign w:val="center"/>
          </w:tcPr>
          <w:p w14:paraId="3CDCC53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17 healthy nurses during one work day at the hospital. Participants wore the device and filled in the Chinese Nurses Stress Response Scale (CNSRS) after work. </w:t>
            </w:r>
          </w:p>
        </w:tc>
        <w:tc>
          <w:tcPr>
            <w:tcW w:w="3261" w:type="dxa"/>
            <w:tcBorders>
              <w:top w:val="single" w:sz="4" w:space="0" w:color="auto"/>
              <w:left w:val="nil"/>
              <w:bottom w:val="single" w:sz="4" w:space="0" w:color="auto"/>
            </w:tcBorders>
            <w:vAlign w:val="center"/>
          </w:tcPr>
          <w:p w14:paraId="7C8710B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HRV parameters were correlated with time, work and rest phases, postures, and subscales of the CNSRS (physiological reaction, irritability, social phobia, and fatigue).</w:t>
            </w:r>
          </w:p>
        </w:tc>
      </w:tr>
      <w:tr w:rsidR="005A499B" w:rsidRPr="005A499B" w14:paraId="0CE22E9D" w14:textId="77777777" w:rsidTr="007E42ED">
        <w:trPr>
          <w:trHeight w:val="903"/>
        </w:trPr>
        <w:tc>
          <w:tcPr>
            <w:tcW w:w="993" w:type="dxa"/>
            <w:tcBorders>
              <w:top w:val="single" w:sz="4" w:space="0" w:color="auto"/>
              <w:bottom w:val="single" w:sz="4" w:space="0" w:color="auto"/>
              <w:right w:val="nil"/>
            </w:tcBorders>
            <w:noWrap/>
            <w:vAlign w:val="center"/>
          </w:tcPr>
          <w:p w14:paraId="0C5FDA2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Miranda</w:t>
            </w:r>
          </w:p>
        </w:tc>
        <w:tc>
          <w:tcPr>
            <w:tcW w:w="708" w:type="dxa"/>
            <w:tcBorders>
              <w:top w:val="single" w:sz="4" w:space="0" w:color="auto"/>
              <w:left w:val="nil"/>
              <w:bottom w:val="single" w:sz="4" w:space="0" w:color="auto"/>
              <w:right w:val="nil"/>
            </w:tcBorders>
            <w:noWrap/>
            <w:vAlign w:val="center"/>
          </w:tcPr>
          <w:p w14:paraId="544200C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2017</w:t>
            </w:r>
          </w:p>
        </w:tc>
        <w:tc>
          <w:tcPr>
            <w:tcW w:w="993" w:type="dxa"/>
            <w:gridSpan w:val="2"/>
            <w:tcBorders>
              <w:top w:val="single" w:sz="4" w:space="0" w:color="auto"/>
              <w:left w:val="nil"/>
              <w:bottom w:val="single" w:sz="4" w:space="0" w:color="auto"/>
              <w:right w:val="nil"/>
            </w:tcBorders>
            <w:noWrap/>
            <w:vAlign w:val="center"/>
          </w:tcPr>
          <w:p w14:paraId="0325E6D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601546D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HxM Bluetooth chest belt (Zephyr)</w:t>
            </w:r>
          </w:p>
        </w:tc>
        <w:tc>
          <w:tcPr>
            <w:tcW w:w="1134" w:type="dxa"/>
            <w:tcBorders>
              <w:top w:val="single" w:sz="4" w:space="0" w:color="auto"/>
              <w:left w:val="nil"/>
              <w:bottom w:val="single" w:sz="4" w:space="0" w:color="auto"/>
              <w:right w:val="nil"/>
            </w:tcBorders>
            <w:vAlign w:val="center"/>
          </w:tcPr>
          <w:p w14:paraId="2B4C125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Anxiety</w:t>
            </w:r>
          </w:p>
        </w:tc>
        <w:tc>
          <w:tcPr>
            <w:tcW w:w="1985" w:type="dxa"/>
            <w:tcBorders>
              <w:top w:val="single" w:sz="4" w:space="0" w:color="auto"/>
              <w:left w:val="nil"/>
              <w:bottom w:val="single" w:sz="4" w:space="0" w:color="auto"/>
              <w:right w:val="nil"/>
            </w:tcBorders>
            <w:vAlign w:val="center"/>
          </w:tcPr>
          <w:p w14:paraId="206912E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system to detect internal states of anxiety during caregiving tasks.</w:t>
            </w:r>
          </w:p>
        </w:tc>
        <w:tc>
          <w:tcPr>
            <w:tcW w:w="3541" w:type="dxa"/>
            <w:tcBorders>
              <w:top w:val="single" w:sz="4" w:space="0" w:color="auto"/>
              <w:left w:val="nil"/>
              <w:bottom w:val="single" w:sz="4" w:space="0" w:color="auto"/>
              <w:right w:val="nil"/>
            </w:tcBorders>
            <w:vAlign w:val="center"/>
          </w:tcPr>
          <w:p w14:paraId="7A06628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10 healthy adults in the laboratory. During 30 min sessions, participants had a relaxation stage and performed cognitive therapy tasks with a simulated person with dementia. Video recordings of each 30s of the session were coded by the participants for the presence of anxiety.</w:t>
            </w:r>
          </w:p>
        </w:tc>
        <w:tc>
          <w:tcPr>
            <w:tcW w:w="3261" w:type="dxa"/>
            <w:tcBorders>
              <w:top w:val="single" w:sz="4" w:space="0" w:color="auto"/>
              <w:left w:val="nil"/>
              <w:bottom w:val="single" w:sz="4" w:space="0" w:color="auto"/>
            </w:tcBorders>
            <w:vAlign w:val="center"/>
          </w:tcPr>
          <w:p w14:paraId="61FEF3F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Using inter beat interval as classification feature, the accuracy of the model was 73%.</w:t>
            </w:r>
          </w:p>
        </w:tc>
      </w:tr>
      <w:tr w:rsidR="005A499B" w:rsidRPr="00523AB6" w14:paraId="442C7ADB" w14:textId="77777777" w:rsidTr="007E42ED">
        <w:trPr>
          <w:trHeight w:val="511"/>
        </w:trPr>
        <w:tc>
          <w:tcPr>
            <w:tcW w:w="13890" w:type="dxa"/>
            <w:gridSpan w:val="9"/>
            <w:tcBorders>
              <w:top w:val="single" w:sz="4" w:space="0" w:color="auto"/>
              <w:bottom w:val="single" w:sz="4" w:space="0" w:color="auto"/>
            </w:tcBorders>
            <w:noWrap/>
            <w:vAlign w:val="center"/>
          </w:tcPr>
          <w:p w14:paraId="5C22F561" w14:textId="77777777" w:rsidR="005A499B" w:rsidRPr="00523AB6" w:rsidRDefault="005A499B" w:rsidP="007E42ED">
            <w:pPr>
              <w:spacing w:after="0"/>
              <w:rPr>
                <w:b/>
                <w:bCs/>
                <w:lang w:val="en-GB"/>
              </w:rPr>
            </w:pPr>
            <w:r w:rsidRPr="00523AB6">
              <w:rPr>
                <w:b/>
                <w:bCs/>
                <w:lang w:val="en-GB"/>
              </w:rPr>
              <w:t>Electrodermal activity (EDA) monitors</w:t>
            </w:r>
          </w:p>
        </w:tc>
      </w:tr>
      <w:tr w:rsidR="005A499B" w:rsidRPr="005A499B" w14:paraId="367CB311" w14:textId="77777777" w:rsidTr="007E42ED">
        <w:trPr>
          <w:trHeight w:val="903"/>
        </w:trPr>
        <w:tc>
          <w:tcPr>
            <w:tcW w:w="993" w:type="dxa"/>
            <w:tcBorders>
              <w:top w:val="single" w:sz="4" w:space="0" w:color="auto"/>
              <w:bottom w:val="single" w:sz="4" w:space="0" w:color="auto"/>
              <w:right w:val="nil"/>
            </w:tcBorders>
            <w:noWrap/>
            <w:vAlign w:val="center"/>
          </w:tcPr>
          <w:p w14:paraId="7971FD9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Aslanidis</w:t>
            </w:r>
          </w:p>
        </w:tc>
        <w:tc>
          <w:tcPr>
            <w:tcW w:w="708" w:type="dxa"/>
            <w:tcBorders>
              <w:top w:val="single" w:sz="4" w:space="0" w:color="auto"/>
              <w:left w:val="nil"/>
              <w:bottom w:val="single" w:sz="4" w:space="0" w:color="auto"/>
              <w:right w:val="nil"/>
            </w:tcBorders>
            <w:noWrap/>
            <w:vAlign w:val="center"/>
          </w:tcPr>
          <w:p w14:paraId="251BA35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2018</w:t>
            </w:r>
          </w:p>
        </w:tc>
        <w:tc>
          <w:tcPr>
            <w:tcW w:w="993" w:type="dxa"/>
            <w:gridSpan w:val="2"/>
            <w:tcBorders>
              <w:top w:val="single" w:sz="4" w:space="0" w:color="auto"/>
              <w:left w:val="nil"/>
              <w:bottom w:val="single" w:sz="4" w:space="0" w:color="auto"/>
              <w:right w:val="nil"/>
            </w:tcBorders>
            <w:noWrap/>
            <w:vAlign w:val="center"/>
          </w:tcPr>
          <w:p w14:paraId="30560DB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Greece</w:t>
            </w:r>
          </w:p>
        </w:tc>
        <w:tc>
          <w:tcPr>
            <w:tcW w:w="1275" w:type="dxa"/>
            <w:tcBorders>
              <w:top w:val="single" w:sz="4" w:space="0" w:color="auto"/>
              <w:left w:val="nil"/>
              <w:bottom w:val="single" w:sz="4" w:space="0" w:color="auto"/>
              <w:right w:val="nil"/>
            </w:tcBorders>
            <w:vAlign w:val="center"/>
          </w:tcPr>
          <w:p w14:paraId="7058AF1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Med Storm Pain Monitor System (MED Storm® Innovation AS, Oslo, Norway)</w:t>
            </w:r>
          </w:p>
        </w:tc>
        <w:tc>
          <w:tcPr>
            <w:tcW w:w="1134" w:type="dxa"/>
            <w:tcBorders>
              <w:top w:val="single" w:sz="4" w:space="0" w:color="auto"/>
              <w:left w:val="nil"/>
              <w:bottom w:val="single" w:sz="4" w:space="0" w:color="auto"/>
              <w:right w:val="nil"/>
            </w:tcBorders>
            <w:vAlign w:val="center"/>
          </w:tcPr>
          <w:p w14:paraId="154128F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7FCD8D6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monitor electrodermal activity changes during pain.</w:t>
            </w:r>
          </w:p>
        </w:tc>
        <w:tc>
          <w:tcPr>
            <w:tcW w:w="3541" w:type="dxa"/>
            <w:tcBorders>
              <w:top w:val="single" w:sz="4" w:space="0" w:color="auto"/>
              <w:left w:val="nil"/>
              <w:bottom w:val="single" w:sz="4" w:space="0" w:color="auto"/>
              <w:right w:val="nil"/>
            </w:tcBorders>
            <w:vAlign w:val="center"/>
          </w:tcPr>
          <w:p w14:paraId="0BB79EE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cohort study with 25 adult patients under sedation in the ICU. Participants were monitored for four hours. During a 10-second pain stimulus, electrical dermal activity changes in the palm were measured and compared to observation, BIS, cardiovascular and respiratory measurements.</w:t>
            </w:r>
          </w:p>
        </w:tc>
        <w:tc>
          <w:tcPr>
            <w:tcW w:w="3261" w:type="dxa"/>
            <w:tcBorders>
              <w:top w:val="single" w:sz="4" w:space="0" w:color="auto"/>
              <w:left w:val="nil"/>
              <w:bottom w:val="single" w:sz="4" w:space="0" w:color="auto"/>
            </w:tcBorders>
            <w:vAlign w:val="center"/>
          </w:tcPr>
          <w:p w14:paraId="1E58247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EDA monitoring was more sensitive to pain compared to cardiovascular, respiratory and BIS measurements.</w:t>
            </w:r>
          </w:p>
        </w:tc>
      </w:tr>
      <w:tr w:rsidR="005A499B" w:rsidRPr="005A499B" w14:paraId="6F233EF1" w14:textId="77777777" w:rsidTr="007E42ED">
        <w:trPr>
          <w:trHeight w:val="903"/>
        </w:trPr>
        <w:tc>
          <w:tcPr>
            <w:tcW w:w="993" w:type="dxa"/>
            <w:tcBorders>
              <w:top w:val="single" w:sz="4" w:space="0" w:color="auto"/>
              <w:bottom w:val="single" w:sz="4" w:space="0" w:color="auto"/>
              <w:right w:val="nil"/>
            </w:tcBorders>
            <w:noWrap/>
            <w:vAlign w:val="center"/>
          </w:tcPr>
          <w:p w14:paraId="68EE5CF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De Vries</w:t>
            </w:r>
          </w:p>
        </w:tc>
        <w:tc>
          <w:tcPr>
            <w:tcW w:w="708" w:type="dxa"/>
            <w:tcBorders>
              <w:top w:val="single" w:sz="4" w:space="0" w:color="auto"/>
              <w:left w:val="nil"/>
              <w:bottom w:val="single" w:sz="4" w:space="0" w:color="auto"/>
              <w:right w:val="nil"/>
            </w:tcBorders>
            <w:noWrap/>
            <w:vAlign w:val="center"/>
          </w:tcPr>
          <w:p w14:paraId="1B71DFC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7AA3946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7081714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Sentisock (Mentech, Eindhoven, the Netherlands)</w:t>
            </w:r>
          </w:p>
        </w:tc>
        <w:tc>
          <w:tcPr>
            <w:tcW w:w="1134" w:type="dxa"/>
            <w:tcBorders>
              <w:top w:val="single" w:sz="4" w:space="0" w:color="auto"/>
              <w:left w:val="nil"/>
              <w:bottom w:val="single" w:sz="4" w:space="0" w:color="auto"/>
              <w:right w:val="nil"/>
            </w:tcBorders>
            <w:vAlign w:val="center"/>
          </w:tcPr>
          <w:p w14:paraId="30E3E22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3167A38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sock-integrated EDA sensor in monitoring stress.</w:t>
            </w:r>
          </w:p>
        </w:tc>
        <w:tc>
          <w:tcPr>
            <w:tcW w:w="3541" w:type="dxa"/>
            <w:tcBorders>
              <w:top w:val="single" w:sz="4" w:space="0" w:color="auto"/>
              <w:left w:val="nil"/>
              <w:bottom w:val="single" w:sz="4" w:space="0" w:color="auto"/>
              <w:right w:val="nil"/>
            </w:tcBorders>
            <w:vAlign w:val="center"/>
          </w:tcPr>
          <w:p w14:paraId="6FFA003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28 healthy adults in the laboratory. Measurements were taken at baseline, during mental stress and physical stress in a 75 min session. Sock-integrated EDA data was compared to wrist EDA measured by Empatica E4 and self-report of the participants using the Self-Assessment-Manikin scale.</w:t>
            </w:r>
          </w:p>
        </w:tc>
        <w:tc>
          <w:tcPr>
            <w:tcW w:w="3261" w:type="dxa"/>
            <w:tcBorders>
              <w:top w:val="single" w:sz="4" w:space="0" w:color="auto"/>
              <w:left w:val="nil"/>
              <w:bottom w:val="single" w:sz="4" w:space="0" w:color="auto"/>
            </w:tcBorders>
            <w:vAlign w:val="center"/>
          </w:tcPr>
          <w:p w14:paraId="64E7D77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Sentisock: F1-score: 0.84, sensitivity: 81%, specificity: 86%, balanced accuracy: 83% </w:t>
            </w:r>
          </w:p>
          <w:p w14:paraId="2D429A3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Empatica E4: F1-score: 0.83, sensitivity: 81% , specificity: 84%, balanced accuracy: 82%</w:t>
            </w:r>
          </w:p>
        </w:tc>
      </w:tr>
      <w:tr w:rsidR="005A499B" w:rsidRPr="005A499B" w14:paraId="6EBA6DDC" w14:textId="77777777" w:rsidTr="007E42ED">
        <w:trPr>
          <w:trHeight w:val="903"/>
        </w:trPr>
        <w:tc>
          <w:tcPr>
            <w:tcW w:w="993" w:type="dxa"/>
            <w:tcBorders>
              <w:top w:val="single" w:sz="4" w:space="0" w:color="auto"/>
              <w:bottom w:val="single" w:sz="4" w:space="0" w:color="auto"/>
              <w:right w:val="nil"/>
            </w:tcBorders>
            <w:noWrap/>
            <w:vAlign w:val="center"/>
          </w:tcPr>
          <w:p w14:paraId="3632934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Leborgne</w:t>
            </w:r>
          </w:p>
        </w:tc>
        <w:tc>
          <w:tcPr>
            <w:tcW w:w="708" w:type="dxa"/>
            <w:tcBorders>
              <w:top w:val="single" w:sz="4" w:space="0" w:color="auto"/>
              <w:left w:val="nil"/>
              <w:bottom w:val="single" w:sz="4" w:space="0" w:color="auto"/>
              <w:right w:val="nil"/>
            </w:tcBorders>
            <w:noWrap/>
            <w:vAlign w:val="center"/>
          </w:tcPr>
          <w:p w14:paraId="4D48915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2023</w:t>
            </w:r>
          </w:p>
        </w:tc>
        <w:tc>
          <w:tcPr>
            <w:tcW w:w="993" w:type="dxa"/>
            <w:gridSpan w:val="2"/>
            <w:tcBorders>
              <w:top w:val="single" w:sz="4" w:space="0" w:color="auto"/>
              <w:left w:val="nil"/>
              <w:bottom w:val="single" w:sz="4" w:space="0" w:color="auto"/>
              <w:right w:val="nil"/>
            </w:tcBorders>
            <w:noWrap/>
            <w:vAlign w:val="center"/>
          </w:tcPr>
          <w:p w14:paraId="73FB7C5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11DDB3A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w:t>
            </w:r>
          </w:p>
        </w:tc>
        <w:tc>
          <w:tcPr>
            <w:tcW w:w="1134" w:type="dxa"/>
            <w:tcBorders>
              <w:top w:val="single" w:sz="4" w:space="0" w:color="auto"/>
              <w:left w:val="nil"/>
              <w:bottom w:val="single" w:sz="4" w:space="0" w:color="auto"/>
              <w:right w:val="nil"/>
            </w:tcBorders>
            <w:vAlign w:val="center"/>
          </w:tcPr>
          <w:p w14:paraId="0141E15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576F828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sock garment to detect stress in people with intellectual disabilities.</w:t>
            </w:r>
          </w:p>
        </w:tc>
        <w:tc>
          <w:tcPr>
            <w:tcW w:w="3541" w:type="dxa"/>
            <w:tcBorders>
              <w:top w:val="single" w:sz="4" w:space="0" w:color="auto"/>
              <w:left w:val="nil"/>
              <w:bottom w:val="single" w:sz="4" w:space="0" w:color="auto"/>
              <w:right w:val="nil"/>
            </w:tcBorders>
            <w:vAlign w:val="center"/>
          </w:tcPr>
          <w:p w14:paraId="6BEE60E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study. Sixty adults with severe intellectual disabilities in long-term care facilities tried on the garment. It was not clear whether the experiment was conducted with other participants in the laboratory, where the sock sensor was compared with Empatica E4 (Empatica Inc, Boston, USA) during sitting, walking, standing, and doing math. </w:t>
            </w:r>
          </w:p>
        </w:tc>
        <w:tc>
          <w:tcPr>
            <w:tcW w:w="3261" w:type="dxa"/>
            <w:tcBorders>
              <w:top w:val="single" w:sz="4" w:space="0" w:color="auto"/>
              <w:left w:val="nil"/>
              <w:bottom w:val="single" w:sz="4" w:space="0" w:color="auto"/>
            </w:tcBorders>
            <w:vAlign w:val="center"/>
          </w:tcPr>
          <w:p w14:paraId="3308ABF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signal quality was good for neural and stable positions, but more noise was present during movement. The sock sensors recognized EDC changes in stressful situations with an accuracy of 85%. </w:t>
            </w:r>
          </w:p>
        </w:tc>
      </w:tr>
      <w:tr w:rsidR="005A499B" w:rsidRPr="005A499B" w14:paraId="439BEA74" w14:textId="77777777" w:rsidTr="007E42ED">
        <w:trPr>
          <w:trHeight w:val="903"/>
        </w:trPr>
        <w:tc>
          <w:tcPr>
            <w:tcW w:w="993" w:type="dxa"/>
            <w:tcBorders>
              <w:top w:val="single" w:sz="4" w:space="0" w:color="auto"/>
              <w:bottom w:val="single" w:sz="4" w:space="0" w:color="auto"/>
              <w:right w:val="nil"/>
            </w:tcBorders>
            <w:noWrap/>
            <w:vAlign w:val="center"/>
          </w:tcPr>
          <w:p w14:paraId="01157B2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Setz</w:t>
            </w:r>
          </w:p>
        </w:tc>
        <w:tc>
          <w:tcPr>
            <w:tcW w:w="708" w:type="dxa"/>
            <w:tcBorders>
              <w:top w:val="single" w:sz="4" w:space="0" w:color="auto"/>
              <w:left w:val="nil"/>
              <w:bottom w:val="single" w:sz="4" w:space="0" w:color="auto"/>
              <w:right w:val="nil"/>
            </w:tcBorders>
            <w:noWrap/>
            <w:vAlign w:val="center"/>
          </w:tcPr>
          <w:p w14:paraId="3023105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2010</w:t>
            </w:r>
          </w:p>
        </w:tc>
        <w:tc>
          <w:tcPr>
            <w:tcW w:w="993" w:type="dxa"/>
            <w:gridSpan w:val="2"/>
            <w:tcBorders>
              <w:top w:val="single" w:sz="4" w:space="0" w:color="auto"/>
              <w:left w:val="nil"/>
              <w:bottom w:val="single" w:sz="4" w:space="0" w:color="auto"/>
              <w:right w:val="nil"/>
            </w:tcBorders>
            <w:noWrap/>
            <w:vAlign w:val="center"/>
          </w:tcPr>
          <w:p w14:paraId="4C36ACC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Switzerland</w:t>
            </w:r>
          </w:p>
        </w:tc>
        <w:tc>
          <w:tcPr>
            <w:tcW w:w="1275" w:type="dxa"/>
            <w:tcBorders>
              <w:top w:val="single" w:sz="4" w:space="0" w:color="auto"/>
              <w:left w:val="nil"/>
              <w:bottom w:val="single" w:sz="4" w:space="0" w:color="auto"/>
              <w:right w:val="nil"/>
            </w:tcBorders>
            <w:vAlign w:val="center"/>
          </w:tcPr>
          <w:p w14:paraId="688F251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Emotion Board (developed by the authors)</w:t>
            </w:r>
          </w:p>
        </w:tc>
        <w:tc>
          <w:tcPr>
            <w:tcW w:w="1134" w:type="dxa"/>
            <w:tcBorders>
              <w:top w:val="single" w:sz="4" w:space="0" w:color="auto"/>
              <w:left w:val="nil"/>
              <w:bottom w:val="single" w:sz="4" w:space="0" w:color="auto"/>
              <w:right w:val="nil"/>
            </w:tcBorders>
            <w:vAlign w:val="center"/>
          </w:tcPr>
          <w:p w14:paraId="568F074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4817D8E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accuracy of EDA in discriminating stress from cognitive load.</w:t>
            </w:r>
          </w:p>
        </w:tc>
        <w:tc>
          <w:tcPr>
            <w:tcW w:w="3541" w:type="dxa"/>
            <w:tcBorders>
              <w:top w:val="single" w:sz="4" w:space="0" w:color="auto"/>
              <w:left w:val="nil"/>
              <w:bottom w:val="single" w:sz="4" w:space="0" w:color="auto"/>
              <w:right w:val="nil"/>
            </w:tcBorders>
            <w:vAlign w:val="center"/>
          </w:tcPr>
          <w:p w14:paraId="55EA18F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randomized controlled trial with 33 healthy adults in the laboratory. Participants went through a 2-hour stress session with social and cognitive stress, as well as a 2-hour cognitive load session.  </w:t>
            </w:r>
          </w:p>
        </w:tc>
        <w:tc>
          <w:tcPr>
            <w:tcW w:w="3261" w:type="dxa"/>
            <w:tcBorders>
              <w:top w:val="single" w:sz="4" w:space="0" w:color="auto"/>
              <w:left w:val="nil"/>
              <w:bottom w:val="single" w:sz="4" w:space="0" w:color="auto"/>
            </w:tcBorders>
            <w:vAlign w:val="center"/>
          </w:tcPr>
          <w:p w14:paraId="10CDD61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Maximum accuracy of discriminating stress from cognitive load: 83%</w:t>
            </w:r>
          </w:p>
        </w:tc>
      </w:tr>
      <w:tr w:rsidR="005A499B" w:rsidRPr="00523AB6" w14:paraId="3BA07AE3" w14:textId="77777777" w:rsidTr="007E42ED">
        <w:trPr>
          <w:trHeight w:val="511"/>
        </w:trPr>
        <w:tc>
          <w:tcPr>
            <w:tcW w:w="13890" w:type="dxa"/>
            <w:gridSpan w:val="9"/>
            <w:tcBorders>
              <w:top w:val="single" w:sz="4" w:space="0" w:color="auto"/>
              <w:bottom w:val="single" w:sz="4" w:space="0" w:color="auto"/>
            </w:tcBorders>
            <w:noWrap/>
            <w:vAlign w:val="center"/>
          </w:tcPr>
          <w:p w14:paraId="4F7E4EC3" w14:textId="77777777" w:rsidR="005A499B" w:rsidRPr="00523AB6" w:rsidRDefault="005A499B" w:rsidP="007E42ED">
            <w:pPr>
              <w:spacing w:after="0"/>
              <w:rPr>
                <w:b/>
                <w:bCs/>
                <w:lang w:val="en-GB"/>
              </w:rPr>
            </w:pPr>
            <w:r w:rsidRPr="00523AB6">
              <w:rPr>
                <w:b/>
                <w:bCs/>
                <w:lang w:val="en-GB"/>
              </w:rPr>
              <w:t>Surface electromyogram (sEMG)</w:t>
            </w:r>
          </w:p>
        </w:tc>
      </w:tr>
      <w:tr w:rsidR="005A499B" w:rsidRPr="005A499B" w14:paraId="5335D929" w14:textId="77777777" w:rsidTr="007E42ED">
        <w:trPr>
          <w:trHeight w:val="903"/>
        </w:trPr>
        <w:tc>
          <w:tcPr>
            <w:tcW w:w="993" w:type="dxa"/>
            <w:tcBorders>
              <w:top w:val="single" w:sz="4" w:space="0" w:color="auto"/>
              <w:bottom w:val="single" w:sz="4" w:space="0" w:color="auto"/>
              <w:right w:val="nil"/>
            </w:tcBorders>
            <w:noWrap/>
            <w:vAlign w:val="center"/>
          </w:tcPr>
          <w:p w14:paraId="16972D7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Carlson</w:t>
            </w:r>
          </w:p>
        </w:tc>
        <w:tc>
          <w:tcPr>
            <w:tcW w:w="708" w:type="dxa"/>
            <w:tcBorders>
              <w:top w:val="single" w:sz="4" w:space="0" w:color="auto"/>
              <w:left w:val="nil"/>
              <w:bottom w:val="single" w:sz="4" w:space="0" w:color="auto"/>
              <w:right w:val="nil"/>
            </w:tcBorders>
            <w:noWrap/>
            <w:vAlign w:val="center"/>
          </w:tcPr>
          <w:p w14:paraId="40B7B6E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1996</w:t>
            </w:r>
          </w:p>
        </w:tc>
        <w:tc>
          <w:tcPr>
            <w:tcW w:w="993" w:type="dxa"/>
            <w:gridSpan w:val="2"/>
            <w:tcBorders>
              <w:top w:val="single" w:sz="4" w:space="0" w:color="auto"/>
              <w:left w:val="nil"/>
              <w:bottom w:val="single" w:sz="4" w:space="0" w:color="auto"/>
              <w:right w:val="nil"/>
            </w:tcBorders>
            <w:noWrap/>
            <w:vAlign w:val="center"/>
          </w:tcPr>
          <w:p w14:paraId="62F1584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FD4356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BioPrompt 3000 (Physical Health Devices)</w:t>
            </w:r>
          </w:p>
        </w:tc>
        <w:tc>
          <w:tcPr>
            <w:tcW w:w="1134" w:type="dxa"/>
            <w:tcBorders>
              <w:top w:val="single" w:sz="4" w:space="0" w:color="auto"/>
              <w:left w:val="nil"/>
              <w:bottom w:val="single" w:sz="4" w:space="0" w:color="auto"/>
              <w:right w:val="nil"/>
            </w:tcBorders>
            <w:vAlign w:val="center"/>
          </w:tcPr>
          <w:p w14:paraId="6B12285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32A306C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determine whether there is difference in ambulatory sEMG signals in the</w:t>
            </w:r>
            <w:r w:rsidRPr="00523AB6">
              <w:rPr>
                <w:lang w:val="en-US"/>
              </w:rPr>
              <w:t xml:space="preserve"> </w:t>
            </w:r>
            <w:r w:rsidRPr="00523AB6">
              <w:rPr>
                <w:rFonts w:ascii="Calibri" w:hAnsi="Calibri" w:cs="Calibri"/>
                <w:lang w:val="en-GB"/>
              </w:rPr>
              <w:t>upper trapezius muscle for people with and without pain.</w:t>
            </w:r>
          </w:p>
        </w:tc>
        <w:tc>
          <w:tcPr>
            <w:tcW w:w="3541" w:type="dxa"/>
            <w:tcBorders>
              <w:top w:val="single" w:sz="4" w:space="0" w:color="auto"/>
              <w:left w:val="nil"/>
              <w:bottom w:val="single" w:sz="4" w:space="0" w:color="auto"/>
              <w:right w:val="nil"/>
            </w:tcBorders>
            <w:vAlign w:val="center"/>
          </w:tcPr>
          <w:p w14:paraId="334799F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case-control study with 10 adult participants with cervical pain and 10 adult participants without pain. Participants were monitored by the ambulatory device in their normal life for three consecutive days during daytime. </w:t>
            </w:r>
          </w:p>
        </w:tc>
        <w:tc>
          <w:tcPr>
            <w:tcW w:w="3261" w:type="dxa"/>
            <w:tcBorders>
              <w:top w:val="single" w:sz="4" w:space="0" w:color="auto"/>
              <w:left w:val="nil"/>
              <w:bottom w:val="single" w:sz="4" w:space="0" w:color="auto"/>
            </w:tcBorders>
            <w:vAlign w:val="center"/>
          </w:tcPr>
          <w:p w14:paraId="5CEB8AB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No difference in sEMG signals was found between the group with pain and the group without.</w:t>
            </w:r>
          </w:p>
        </w:tc>
      </w:tr>
      <w:tr w:rsidR="005A499B" w:rsidRPr="005A499B" w14:paraId="7331D8AE" w14:textId="77777777" w:rsidTr="007E42ED">
        <w:trPr>
          <w:trHeight w:val="903"/>
        </w:trPr>
        <w:tc>
          <w:tcPr>
            <w:tcW w:w="993" w:type="dxa"/>
            <w:tcBorders>
              <w:top w:val="single" w:sz="4" w:space="0" w:color="auto"/>
              <w:bottom w:val="single" w:sz="4" w:space="0" w:color="auto"/>
              <w:right w:val="nil"/>
            </w:tcBorders>
            <w:noWrap/>
            <w:vAlign w:val="center"/>
          </w:tcPr>
          <w:p w14:paraId="53D8E0B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Yang</w:t>
            </w:r>
          </w:p>
        </w:tc>
        <w:tc>
          <w:tcPr>
            <w:tcW w:w="708" w:type="dxa"/>
            <w:tcBorders>
              <w:top w:val="single" w:sz="4" w:space="0" w:color="auto"/>
              <w:left w:val="nil"/>
              <w:bottom w:val="single" w:sz="4" w:space="0" w:color="auto"/>
              <w:right w:val="nil"/>
            </w:tcBorders>
            <w:noWrap/>
            <w:vAlign w:val="center"/>
          </w:tcPr>
          <w:p w14:paraId="4230EE9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2018</w:t>
            </w:r>
          </w:p>
        </w:tc>
        <w:tc>
          <w:tcPr>
            <w:tcW w:w="993" w:type="dxa"/>
            <w:gridSpan w:val="2"/>
            <w:tcBorders>
              <w:top w:val="single" w:sz="4" w:space="0" w:color="auto"/>
              <w:left w:val="nil"/>
              <w:bottom w:val="single" w:sz="4" w:space="0" w:color="auto"/>
              <w:right w:val="nil"/>
            </w:tcBorders>
            <w:noWrap/>
            <w:vAlign w:val="center"/>
          </w:tcPr>
          <w:p w14:paraId="6A3E269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China, </w:t>
            </w:r>
            <w:r w:rsidRPr="00523AB6">
              <w:rPr>
                <w:lang w:val="en-US"/>
              </w:rPr>
              <w:t xml:space="preserve"> </w:t>
            </w:r>
            <w:r w:rsidRPr="00523AB6">
              <w:rPr>
                <w:rFonts w:ascii="Calibri" w:eastAsia="Times New Roman" w:hAnsi="Calibri" w:cs="Calibri"/>
                <w:lang w:val="en-GB"/>
              </w:rPr>
              <w:t>Finland, Austria, France, and Sweden</w:t>
            </w:r>
          </w:p>
        </w:tc>
        <w:tc>
          <w:tcPr>
            <w:tcW w:w="1275" w:type="dxa"/>
            <w:tcBorders>
              <w:top w:val="single" w:sz="4" w:space="0" w:color="auto"/>
              <w:left w:val="nil"/>
              <w:bottom w:val="single" w:sz="4" w:space="0" w:color="auto"/>
              <w:right w:val="nil"/>
            </w:tcBorders>
            <w:vAlign w:val="center"/>
          </w:tcPr>
          <w:p w14:paraId="6D5A715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41BB5A0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4B7940D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facial expression monitoring system for automatic pain assessment.</w:t>
            </w:r>
          </w:p>
        </w:tc>
        <w:tc>
          <w:tcPr>
            <w:tcW w:w="3541" w:type="dxa"/>
            <w:tcBorders>
              <w:top w:val="single" w:sz="4" w:space="0" w:color="auto"/>
              <w:left w:val="nil"/>
              <w:bottom w:val="single" w:sz="4" w:space="0" w:color="auto"/>
              <w:right w:val="nil"/>
            </w:tcBorders>
            <w:vAlign w:val="center"/>
          </w:tcPr>
          <w:p w14:paraId="05BA505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one healthy adult in the laboratory. The participant mimicked painful expressions, which were compared to frowning and neutral expressions. The duration of the measurement was not reported.</w:t>
            </w:r>
          </w:p>
        </w:tc>
        <w:tc>
          <w:tcPr>
            <w:tcW w:w="3261" w:type="dxa"/>
            <w:tcBorders>
              <w:top w:val="single" w:sz="4" w:space="0" w:color="auto"/>
              <w:left w:val="nil"/>
              <w:bottom w:val="single" w:sz="4" w:space="0" w:color="auto"/>
            </w:tcBorders>
            <w:vAlign w:val="center"/>
          </w:tcPr>
          <w:p w14:paraId="57A86B8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Muscle activities in the face during painful expressions and neutral expressions could be differentiated.</w:t>
            </w:r>
          </w:p>
        </w:tc>
      </w:tr>
      <w:tr w:rsidR="005A499B" w:rsidRPr="00523AB6" w14:paraId="2AE0BD16" w14:textId="77777777" w:rsidTr="007E42ED">
        <w:trPr>
          <w:trHeight w:val="511"/>
        </w:trPr>
        <w:tc>
          <w:tcPr>
            <w:tcW w:w="13890" w:type="dxa"/>
            <w:gridSpan w:val="9"/>
            <w:tcBorders>
              <w:top w:val="single" w:sz="4" w:space="0" w:color="auto"/>
              <w:bottom w:val="single" w:sz="4" w:space="0" w:color="auto"/>
            </w:tcBorders>
            <w:noWrap/>
            <w:vAlign w:val="center"/>
          </w:tcPr>
          <w:p w14:paraId="5A5285B8" w14:textId="77777777" w:rsidR="005A499B" w:rsidRPr="00523AB6" w:rsidRDefault="005A499B" w:rsidP="007E42ED">
            <w:pPr>
              <w:spacing w:after="0"/>
              <w:rPr>
                <w:b/>
                <w:bCs/>
                <w:lang w:val="en-GB"/>
              </w:rPr>
            </w:pPr>
            <w:r w:rsidRPr="00523AB6">
              <w:rPr>
                <w:b/>
                <w:bCs/>
                <w:lang w:val="en-GB"/>
              </w:rPr>
              <w:t>Incontinence sensors</w:t>
            </w:r>
          </w:p>
        </w:tc>
      </w:tr>
      <w:tr w:rsidR="005A499B" w:rsidRPr="005A499B" w14:paraId="50617752" w14:textId="77777777" w:rsidTr="007E42ED">
        <w:trPr>
          <w:trHeight w:val="903"/>
        </w:trPr>
        <w:tc>
          <w:tcPr>
            <w:tcW w:w="993" w:type="dxa"/>
            <w:tcBorders>
              <w:top w:val="single" w:sz="4" w:space="0" w:color="auto"/>
              <w:bottom w:val="single" w:sz="4" w:space="0" w:color="auto"/>
              <w:right w:val="nil"/>
            </w:tcBorders>
            <w:noWrap/>
            <w:vAlign w:val="center"/>
          </w:tcPr>
          <w:p w14:paraId="0AC2B54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Boerakker</w:t>
            </w:r>
          </w:p>
        </w:tc>
        <w:tc>
          <w:tcPr>
            <w:tcW w:w="708" w:type="dxa"/>
            <w:tcBorders>
              <w:top w:val="single" w:sz="4" w:space="0" w:color="auto"/>
              <w:left w:val="nil"/>
              <w:bottom w:val="single" w:sz="4" w:space="0" w:color="auto"/>
              <w:right w:val="nil"/>
            </w:tcBorders>
            <w:noWrap/>
            <w:vAlign w:val="center"/>
          </w:tcPr>
          <w:p w14:paraId="6AB15F2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319C266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4E79D89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Abena Nova (Abena Group, Denmark), WeSense (Seneca Sense Technologies, Canada)</w:t>
            </w:r>
          </w:p>
        </w:tc>
        <w:tc>
          <w:tcPr>
            <w:tcW w:w="1134" w:type="dxa"/>
            <w:tcBorders>
              <w:top w:val="single" w:sz="4" w:space="0" w:color="auto"/>
              <w:left w:val="nil"/>
              <w:bottom w:val="single" w:sz="4" w:space="0" w:color="auto"/>
              <w:right w:val="nil"/>
            </w:tcBorders>
            <w:vAlign w:val="center"/>
          </w:tcPr>
          <w:p w14:paraId="3377FCC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1D28BD1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the use of intelligent incontinence material in nursing homes.</w:t>
            </w:r>
          </w:p>
        </w:tc>
        <w:tc>
          <w:tcPr>
            <w:tcW w:w="3541" w:type="dxa"/>
            <w:tcBorders>
              <w:top w:val="single" w:sz="4" w:space="0" w:color="auto"/>
              <w:left w:val="nil"/>
              <w:bottom w:val="single" w:sz="4" w:space="0" w:color="auto"/>
              <w:right w:val="nil"/>
            </w:tcBorders>
            <w:vAlign w:val="center"/>
          </w:tcPr>
          <w:p w14:paraId="3EEB566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Mixed-methods pilot study with 25 older adults in nursing homes with urinary incontinence. Abena Nova and WeSense were compared to the regular incontinence material.</w:t>
            </w:r>
          </w:p>
        </w:tc>
        <w:tc>
          <w:tcPr>
            <w:tcW w:w="3261" w:type="dxa"/>
            <w:tcBorders>
              <w:top w:val="single" w:sz="4" w:space="0" w:color="auto"/>
              <w:left w:val="nil"/>
              <w:bottom w:val="single" w:sz="4" w:space="0" w:color="auto"/>
            </w:tcBorders>
            <w:vAlign w:val="center"/>
          </w:tcPr>
          <w:p w14:paraId="655D891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Abena Nova reduced the use of incontinence materials by 34%, WeSense reduced it by 16%.</w:t>
            </w:r>
          </w:p>
        </w:tc>
      </w:tr>
      <w:tr w:rsidR="005A499B" w:rsidRPr="005A499B" w14:paraId="3FA3F5F2" w14:textId="77777777" w:rsidTr="007E42ED">
        <w:trPr>
          <w:trHeight w:val="903"/>
        </w:trPr>
        <w:tc>
          <w:tcPr>
            <w:tcW w:w="993" w:type="dxa"/>
            <w:tcBorders>
              <w:top w:val="single" w:sz="4" w:space="0" w:color="auto"/>
              <w:bottom w:val="single" w:sz="4" w:space="0" w:color="auto"/>
              <w:right w:val="nil"/>
            </w:tcBorders>
            <w:noWrap/>
            <w:vAlign w:val="center"/>
          </w:tcPr>
          <w:p w14:paraId="462B6C9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Cusick</w:t>
            </w:r>
          </w:p>
        </w:tc>
        <w:tc>
          <w:tcPr>
            <w:tcW w:w="708" w:type="dxa"/>
            <w:tcBorders>
              <w:top w:val="single" w:sz="4" w:space="0" w:color="auto"/>
              <w:left w:val="nil"/>
              <w:bottom w:val="single" w:sz="4" w:space="0" w:color="auto"/>
              <w:right w:val="nil"/>
            </w:tcBorders>
            <w:noWrap/>
            <w:vAlign w:val="center"/>
          </w:tcPr>
          <w:p w14:paraId="0AF0C01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2003</w:t>
            </w:r>
          </w:p>
        </w:tc>
        <w:tc>
          <w:tcPr>
            <w:tcW w:w="993" w:type="dxa"/>
            <w:gridSpan w:val="2"/>
            <w:tcBorders>
              <w:top w:val="single" w:sz="4" w:space="0" w:color="auto"/>
              <w:left w:val="nil"/>
              <w:bottom w:val="single" w:sz="4" w:space="0" w:color="auto"/>
              <w:right w:val="nil"/>
            </w:tcBorders>
            <w:noWrap/>
            <w:vAlign w:val="center"/>
          </w:tcPr>
          <w:p w14:paraId="5106A5F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UK</w:t>
            </w:r>
          </w:p>
        </w:tc>
        <w:tc>
          <w:tcPr>
            <w:tcW w:w="1275" w:type="dxa"/>
            <w:tcBorders>
              <w:top w:val="single" w:sz="4" w:space="0" w:color="auto"/>
              <w:left w:val="nil"/>
              <w:bottom w:val="single" w:sz="4" w:space="0" w:color="auto"/>
              <w:right w:val="nil"/>
            </w:tcBorders>
            <w:vAlign w:val="center"/>
          </w:tcPr>
          <w:p w14:paraId="0719227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6A4BD1C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79BB68A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and test an incontinence sensor.</w:t>
            </w:r>
          </w:p>
        </w:tc>
        <w:tc>
          <w:tcPr>
            <w:tcW w:w="3541" w:type="dxa"/>
            <w:tcBorders>
              <w:top w:val="single" w:sz="4" w:space="0" w:color="auto"/>
              <w:left w:val="nil"/>
              <w:bottom w:val="single" w:sz="4" w:space="0" w:color="auto"/>
              <w:right w:val="nil"/>
            </w:tcBorders>
            <w:vAlign w:val="center"/>
          </w:tcPr>
          <w:p w14:paraId="25AAB2B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volunteers. No details on the participants were reported. A total of </w:t>
            </w:r>
            <w:r w:rsidRPr="00523AB6">
              <w:rPr>
                <w:rFonts w:ascii="Calibri" w:hAnsi="Calibri" w:cs="Calibri"/>
                <w:lang w:val="en-GB"/>
              </w:rPr>
              <w:lastRenderedPageBreak/>
              <w:t xml:space="preserve">71 events were simulated, of which 20 simulated incontinence events.*  </w:t>
            </w:r>
            <w:r w:rsidRPr="00523AB6">
              <w:rPr>
                <w:rFonts w:ascii="Calibri" w:eastAsia="Times New Roman" w:hAnsi="Calibri" w:cs="Calibri"/>
                <w:lang w:val="en-GB"/>
              </w:rPr>
              <w:t xml:space="preserve"> </w:t>
            </w:r>
          </w:p>
        </w:tc>
        <w:tc>
          <w:tcPr>
            <w:tcW w:w="3261" w:type="dxa"/>
            <w:tcBorders>
              <w:top w:val="single" w:sz="4" w:space="0" w:color="auto"/>
              <w:left w:val="nil"/>
              <w:bottom w:val="single" w:sz="4" w:space="0" w:color="auto"/>
            </w:tcBorders>
            <w:vAlign w:val="center"/>
          </w:tcPr>
          <w:p w14:paraId="2096436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5 false-positive events, 2 false negatives events. The authors concluded that the system met the technological requirements.</w:t>
            </w:r>
          </w:p>
        </w:tc>
      </w:tr>
      <w:tr w:rsidR="005A499B" w:rsidRPr="005A499B" w14:paraId="646B404B" w14:textId="77777777" w:rsidTr="007E42ED">
        <w:trPr>
          <w:trHeight w:val="903"/>
        </w:trPr>
        <w:tc>
          <w:tcPr>
            <w:tcW w:w="993" w:type="dxa"/>
            <w:tcBorders>
              <w:top w:val="single" w:sz="4" w:space="0" w:color="auto"/>
              <w:bottom w:val="single" w:sz="4" w:space="0" w:color="auto"/>
              <w:right w:val="nil"/>
            </w:tcBorders>
            <w:noWrap/>
            <w:vAlign w:val="center"/>
          </w:tcPr>
          <w:p w14:paraId="101F1B9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Ouslander</w:t>
            </w:r>
          </w:p>
        </w:tc>
        <w:tc>
          <w:tcPr>
            <w:tcW w:w="708" w:type="dxa"/>
            <w:tcBorders>
              <w:top w:val="single" w:sz="4" w:space="0" w:color="auto"/>
              <w:left w:val="nil"/>
              <w:bottom w:val="single" w:sz="4" w:space="0" w:color="auto"/>
              <w:right w:val="nil"/>
            </w:tcBorders>
            <w:noWrap/>
            <w:vAlign w:val="center"/>
          </w:tcPr>
          <w:p w14:paraId="1472E93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1998</w:t>
            </w:r>
          </w:p>
        </w:tc>
        <w:tc>
          <w:tcPr>
            <w:tcW w:w="993" w:type="dxa"/>
            <w:gridSpan w:val="2"/>
            <w:tcBorders>
              <w:top w:val="single" w:sz="4" w:space="0" w:color="auto"/>
              <w:left w:val="nil"/>
              <w:bottom w:val="single" w:sz="4" w:space="0" w:color="auto"/>
              <w:right w:val="nil"/>
            </w:tcBorders>
            <w:noWrap/>
            <w:vAlign w:val="center"/>
          </w:tcPr>
          <w:p w14:paraId="1769D00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15D74D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left w:val="nil"/>
              <w:bottom w:val="single" w:sz="4" w:space="0" w:color="auto"/>
              <w:right w:val="nil"/>
            </w:tcBorders>
            <w:vAlign w:val="center"/>
          </w:tcPr>
          <w:p w14:paraId="0958BBC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2C282F9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the relationship between incontinence and sleep disruption.</w:t>
            </w:r>
          </w:p>
        </w:tc>
        <w:tc>
          <w:tcPr>
            <w:tcW w:w="3541" w:type="dxa"/>
            <w:tcBorders>
              <w:top w:val="single" w:sz="4" w:space="0" w:color="auto"/>
              <w:left w:val="nil"/>
              <w:bottom w:val="single" w:sz="4" w:space="0" w:color="auto"/>
              <w:right w:val="nil"/>
            </w:tcBorders>
            <w:vAlign w:val="center"/>
          </w:tcPr>
          <w:p w14:paraId="1CB7529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73 older adults in nursing homes. Night-time incontinence was recorded both by a device and by staff.</w:t>
            </w:r>
          </w:p>
        </w:tc>
        <w:tc>
          <w:tcPr>
            <w:tcW w:w="3261" w:type="dxa"/>
            <w:tcBorders>
              <w:top w:val="single" w:sz="4" w:space="0" w:color="auto"/>
              <w:left w:val="nil"/>
              <w:bottom w:val="single" w:sz="4" w:space="0" w:color="auto"/>
            </w:tcBorders>
            <w:vAlign w:val="center"/>
          </w:tcPr>
          <w:p w14:paraId="3FE8E37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records of the device (wet/dry status) coincide with the records made by staff.</w:t>
            </w:r>
          </w:p>
        </w:tc>
      </w:tr>
      <w:tr w:rsidR="005A499B" w:rsidRPr="00523AB6" w14:paraId="62038600" w14:textId="77777777" w:rsidTr="007E42ED">
        <w:trPr>
          <w:trHeight w:val="903"/>
        </w:trPr>
        <w:tc>
          <w:tcPr>
            <w:tcW w:w="993" w:type="dxa"/>
            <w:tcBorders>
              <w:top w:val="single" w:sz="4" w:space="0" w:color="auto"/>
              <w:bottom w:val="single" w:sz="4" w:space="0" w:color="auto"/>
              <w:right w:val="nil"/>
            </w:tcBorders>
            <w:noWrap/>
            <w:vAlign w:val="center"/>
          </w:tcPr>
          <w:p w14:paraId="018E64F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 (This manuscript is the device website)</w:t>
            </w:r>
          </w:p>
        </w:tc>
        <w:tc>
          <w:tcPr>
            <w:tcW w:w="708" w:type="dxa"/>
            <w:tcBorders>
              <w:top w:val="single" w:sz="4" w:space="0" w:color="auto"/>
              <w:left w:val="nil"/>
              <w:bottom w:val="single" w:sz="4" w:space="0" w:color="auto"/>
              <w:right w:val="nil"/>
            </w:tcBorders>
            <w:noWrap/>
            <w:vAlign w:val="center"/>
          </w:tcPr>
          <w:p w14:paraId="4EC380B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3D2EB0E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Denmark</w:t>
            </w:r>
          </w:p>
        </w:tc>
        <w:tc>
          <w:tcPr>
            <w:tcW w:w="1275" w:type="dxa"/>
            <w:tcBorders>
              <w:top w:val="single" w:sz="4" w:space="0" w:color="auto"/>
              <w:left w:val="nil"/>
              <w:bottom w:val="single" w:sz="4" w:space="0" w:color="auto"/>
              <w:right w:val="nil"/>
            </w:tcBorders>
            <w:vAlign w:val="center"/>
          </w:tcPr>
          <w:p w14:paraId="4346200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TENA Identifi Sensor Wear (Essity Hygiene and Health AB, Denmark)</w:t>
            </w:r>
          </w:p>
        </w:tc>
        <w:tc>
          <w:tcPr>
            <w:tcW w:w="1134" w:type="dxa"/>
            <w:tcBorders>
              <w:top w:val="single" w:sz="4" w:space="0" w:color="auto"/>
              <w:left w:val="nil"/>
              <w:bottom w:val="single" w:sz="4" w:space="0" w:color="auto"/>
              <w:right w:val="nil"/>
            </w:tcBorders>
            <w:vAlign w:val="center"/>
          </w:tcPr>
          <w:p w14:paraId="7446B12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57065F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report customer results.</w:t>
            </w:r>
          </w:p>
        </w:tc>
        <w:tc>
          <w:tcPr>
            <w:tcW w:w="3541" w:type="dxa"/>
            <w:tcBorders>
              <w:top w:val="single" w:sz="4" w:space="0" w:color="auto"/>
              <w:left w:val="nil"/>
              <w:bottom w:val="single" w:sz="4" w:space="0" w:color="auto"/>
              <w:right w:val="nil"/>
            </w:tcBorders>
            <w:vAlign w:val="center"/>
          </w:tcPr>
          <w:p w14:paraId="2A8434F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324 adults. Further details not reported.*</w:t>
            </w:r>
          </w:p>
        </w:tc>
        <w:tc>
          <w:tcPr>
            <w:tcW w:w="3261" w:type="dxa"/>
            <w:tcBorders>
              <w:top w:val="single" w:sz="4" w:space="0" w:color="auto"/>
              <w:left w:val="nil"/>
              <w:bottom w:val="single" w:sz="4" w:space="0" w:color="auto"/>
            </w:tcBorders>
            <w:vAlign w:val="center"/>
          </w:tcPr>
          <w:p w14:paraId="2CF1CA7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Leakage was reduced by 66%, </w:t>
            </w:r>
          </w:p>
          <w:p w14:paraId="52F0268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Time saved (per client per year): 86.7 hours, incontinence material changes reduced by 22%, toilet visits reduced by 6%, urine loss reduced by 14%, rubbish reduced by 36%. Clients can use materials with less absorption capacities.</w:t>
            </w:r>
          </w:p>
        </w:tc>
      </w:tr>
      <w:tr w:rsidR="005A499B" w:rsidRPr="005A499B" w14:paraId="4825F7C7"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3C38903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Tekcin</w:t>
            </w:r>
          </w:p>
        </w:tc>
        <w:tc>
          <w:tcPr>
            <w:tcW w:w="708" w:type="dxa"/>
            <w:tcBorders>
              <w:top w:val="single" w:sz="4" w:space="0" w:color="auto"/>
              <w:bottom w:val="single" w:sz="4" w:space="0" w:color="auto"/>
            </w:tcBorders>
            <w:noWrap/>
            <w:vAlign w:val="center"/>
          </w:tcPr>
          <w:p w14:paraId="6102064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bottom w:val="single" w:sz="4" w:space="0" w:color="auto"/>
            </w:tcBorders>
            <w:noWrap/>
            <w:vAlign w:val="center"/>
          </w:tcPr>
          <w:p w14:paraId="25B8437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Tekcin</w:t>
            </w:r>
          </w:p>
        </w:tc>
        <w:tc>
          <w:tcPr>
            <w:tcW w:w="1275" w:type="dxa"/>
            <w:tcBorders>
              <w:top w:val="single" w:sz="4" w:space="0" w:color="auto"/>
              <w:bottom w:val="single" w:sz="4" w:space="0" w:color="auto"/>
            </w:tcBorders>
            <w:vAlign w:val="center"/>
          </w:tcPr>
          <w:p w14:paraId="28FFF18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bottom w:val="single" w:sz="4" w:space="0" w:color="auto"/>
            </w:tcBorders>
            <w:vAlign w:val="center"/>
          </w:tcPr>
          <w:p w14:paraId="7DE0EF8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3952E09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humidity sensor to measure urinary incontinence.</w:t>
            </w:r>
          </w:p>
        </w:tc>
        <w:tc>
          <w:tcPr>
            <w:tcW w:w="3541" w:type="dxa"/>
            <w:tcBorders>
              <w:top w:val="single" w:sz="4" w:space="0" w:color="auto"/>
              <w:bottom w:val="single" w:sz="4" w:space="0" w:color="auto"/>
            </w:tcBorders>
            <w:vAlign w:val="center"/>
          </w:tcPr>
          <w:p w14:paraId="3B7E0DB1"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non-randomized experimental study in the laboratory. No participants were involved. The sensor was tested in a humidity chamber and water was dripped on it to measure the change in resistance.</w:t>
            </w:r>
          </w:p>
        </w:tc>
        <w:tc>
          <w:tcPr>
            <w:tcW w:w="3261" w:type="dxa"/>
            <w:tcBorders>
              <w:top w:val="single" w:sz="4" w:space="0" w:color="auto"/>
              <w:bottom w:val="single" w:sz="4" w:space="0" w:color="auto"/>
            </w:tcBorders>
            <w:vAlign w:val="center"/>
          </w:tcPr>
          <w:p w14:paraId="6DE0122B"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In the humidity chamber, the resistance decreased as the humidity increased. Change in resistance of the sensor was measurable with 0.1ml of water dripped on it. </w:t>
            </w:r>
          </w:p>
        </w:tc>
      </w:tr>
      <w:tr w:rsidR="005A499B" w:rsidRPr="005A499B" w14:paraId="298056D5"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739F666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Toba</w:t>
            </w:r>
          </w:p>
        </w:tc>
        <w:tc>
          <w:tcPr>
            <w:tcW w:w="708" w:type="dxa"/>
            <w:tcBorders>
              <w:top w:val="single" w:sz="4" w:space="0" w:color="auto"/>
              <w:bottom w:val="single" w:sz="4" w:space="0" w:color="auto"/>
            </w:tcBorders>
            <w:noWrap/>
            <w:vAlign w:val="center"/>
          </w:tcPr>
          <w:p w14:paraId="4527965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1996</w:t>
            </w:r>
          </w:p>
        </w:tc>
        <w:tc>
          <w:tcPr>
            <w:tcW w:w="993" w:type="dxa"/>
            <w:gridSpan w:val="2"/>
            <w:tcBorders>
              <w:top w:val="single" w:sz="4" w:space="0" w:color="auto"/>
              <w:bottom w:val="single" w:sz="4" w:space="0" w:color="auto"/>
            </w:tcBorders>
            <w:noWrap/>
            <w:vAlign w:val="center"/>
          </w:tcPr>
          <w:p w14:paraId="1ABE7DA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Japan</w:t>
            </w:r>
          </w:p>
        </w:tc>
        <w:tc>
          <w:tcPr>
            <w:tcW w:w="1275" w:type="dxa"/>
            <w:tcBorders>
              <w:top w:val="single" w:sz="4" w:space="0" w:color="auto"/>
              <w:bottom w:val="single" w:sz="4" w:space="0" w:color="auto"/>
            </w:tcBorders>
            <w:vAlign w:val="center"/>
          </w:tcPr>
          <w:p w14:paraId="18E7AD3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bottom w:val="single" w:sz="4" w:space="0" w:color="auto"/>
            </w:tcBorders>
            <w:vAlign w:val="center"/>
          </w:tcPr>
          <w:p w14:paraId="0AEDC5C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5EC8CA6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effects of wearing a thin-film urinary drainage sensor in the incontinence material on urinary quality of life and nursing work hours.</w:t>
            </w:r>
          </w:p>
        </w:tc>
        <w:tc>
          <w:tcPr>
            <w:tcW w:w="3541" w:type="dxa"/>
            <w:tcBorders>
              <w:top w:val="single" w:sz="4" w:space="0" w:color="auto"/>
              <w:bottom w:val="single" w:sz="4" w:space="0" w:color="auto"/>
            </w:tcBorders>
            <w:vAlign w:val="center"/>
          </w:tcPr>
          <w:p w14:paraId="580A390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Mixed-method cross-sectional study with 4 older adults with urinary incontinence in long-term care facility. Incontinence materials were changed regularly (4 times a day) and as needed (as soon as possible after sensor detection) for 4 days each. The wetting times were compared. </w:t>
            </w:r>
            <w:r w:rsidRPr="00523AB6">
              <w:rPr>
                <w:rFonts w:ascii="Calibri" w:hAnsi="Calibri" w:cs="Calibri"/>
                <w:lang w:val="en-US"/>
              </w:rPr>
              <w:lastRenderedPageBreak/>
              <w:t xml:space="preserve">Working time was recorded and asked through a caregiver questionnaire. </w:t>
            </w:r>
          </w:p>
        </w:tc>
        <w:tc>
          <w:tcPr>
            <w:tcW w:w="3261" w:type="dxa"/>
            <w:tcBorders>
              <w:top w:val="single" w:sz="4" w:space="0" w:color="auto"/>
              <w:bottom w:val="single" w:sz="4" w:space="0" w:color="auto"/>
            </w:tcBorders>
            <w:vAlign w:val="center"/>
          </w:tcPr>
          <w:p w14:paraId="1B3A5FF7" w14:textId="77777777" w:rsidR="005A499B" w:rsidRPr="00523AB6" w:rsidRDefault="005A499B" w:rsidP="007E42ED">
            <w:pPr>
              <w:spacing w:after="0"/>
              <w:rPr>
                <w:rFonts w:ascii="Calibri" w:hAnsi="Calibri" w:cs="Calibri"/>
                <w:lang w:val="en-GB"/>
              </w:rPr>
            </w:pPr>
            <w:r w:rsidRPr="00523AB6">
              <w:rPr>
                <w:rFonts w:ascii="Calibri" w:hAnsi="Calibri" w:cs="Calibri"/>
                <w:lang w:val="en-US"/>
              </w:rPr>
              <w:lastRenderedPageBreak/>
              <w:t>Incontinence material</w:t>
            </w:r>
            <w:r w:rsidRPr="00523AB6">
              <w:rPr>
                <w:rFonts w:ascii="Calibri" w:hAnsi="Calibri" w:cs="Calibri"/>
                <w:lang w:val="en-GB"/>
              </w:rPr>
              <w:t xml:space="preserve"> wetting time was reduced from 1 hour 21 ± 11 minutes with the regular change to 9±1 minutes with the sensor. Total working time increased from 52 minutes to 90 minutes because of the change of the sensors.</w:t>
            </w:r>
          </w:p>
        </w:tc>
      </w:tr>
      <w:tr w:rsidR="005A499B" w:rsidRPr="00523AB6" w14:paraId="0D05926D" w14:textId="77777777" w:rsidTr="007E42ED">
        <w:trPr>
          <w:trHeight w:val="903"/>
        </w:trPr>
        <w:tc>
          <w:tcPr>
            <w:tcW w:w="993" w:type="dxa"/>
            <w:tcBorders>
              <w:top w:val="single" w:sz="4" w:space="0" w:color="auto"/>
              <w:bottom w:val="single" w:sz="4" w:space="0" w:color="auto"/>
              <w:right w:val="nil"/>
            </w:tcBorders>
            <w:noWrap/>
            <w:vAlign w:val="center"/>
          </w:tcPr>
          <w:p w14:paraId="3B8FE38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Van der Hurk</w:t>
            </w:r>
          </w:p>
        </w:tc>
        <w:tc>
          <w:tcPr>
            <w:tcW w:w="708" w:type="dxa"/>
            <w:tcBorders>
              <w:top w:val="single" w:sz="4" w:space="0" w:color="auto"/>
              <w:left w:val="nil"/>
              <w:bottom w:val="single" w:sz="4" w:space="0" w:color="auto"/>
              <w:right w:val="nil"/>
            </w:tcBorders>
            <w:noWrap/>
            <w:vAlign w:val="center"/>
          </w:tcPr>
          <w:p w14:paraId="1A1863B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1998</w:t>
            </w:r>
          </w:p>
        </w:tc>
        <w:tc>
          <w:tcPr>
            <w:tcW w:w="993" w:type="dxa"/>
            <w:gridSpan w:val="2"/>
            <w:tcBorders>
              <w:top w:val="single" w:sz="4" w:space="0" w:color="auto"/>
              <w:left w:val="nil"/>
              <w:bottom w:val="single" w:sz="4" w:space="0" w:color="auto"/>
              <w:right w:val="nil"/>
            </w:tcBorders>
            <w:noWrap/>
            <w:vAlign w:val="center"/>
          </w:tcPr>
          <w:p w14:paraId="34B6741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569085E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016E9A5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0B23826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evaluate the applicability and validity of the Urine Leakage Recording Device.</w:t>
            </w:r>
          </w:p>
        </w:tc>
        <w:tc>
          <w:tcPr>
            <w:tcW w:w="3541" w:type="dxa"/>
            <w:tcBorders>
              <w:top w:val="single" w:sz="4" w:space="0" w:color="auto"/>
              <w:left w:val="nil"/>
              <w:bottom w:val="single" w:sz="4" w:space="0" w:color="auto"/>
              <w:right w:val="nil"/>
            </w:tcBorders>
            <w:vAlign w:val="center"/>
          </w:tcPr>
          <w:p w14:paraId="6C4F576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5 older adults. Participants were instructed to turn and void during the experiment. 3 human assessors scored the data generated from the device to determine incontinence events. This was compared with the self-report of participants. The setting was probably laboratory, but not stated in the manuscript.</w:t>
            </w:r>
          </w:p>
        </w:tc>
        <w:tc>
          <w:tcPr>
            <w:tcW w:w="3261" w:type="dxa"/>
            <w:tcBorders>
              <w:top w:val="single" w:sz="4" w:space="0" w:color="auto"/>
              <w:left w:val="nil"/>
              <w:bottom w:val="single" w:sz="4" w:space="0" w:color="auto"/>
            </w:tcBorders>
            <w:vAlign w:val="center"/>
          </w:tcPr>
          <w:p w14:paraId="3AD80A0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Interscorer reliability: 0.92. True positive events: 5.3 out of 10, False positive events: 9.3. The authors concluded that the device was not useful.</w:t>
            </w:r>
          </w:p>
        </w:tc>
      </w:tr>
      <w:tr w:rsidR="005A499B" w:rsidRPr="005A499B" w14:paraId="7DD58E1F" w14:textId="77777777" w:rsidTr="007E42ED">
        <w:trPr>
          <w:trHeight w:val="903"/>
        </w:trPr>
        <w:tc>
          <w:tcPr>
            <w:tcW w:w="993" w:type="dxa"/>
            <w:tcBorders>
              <w:top w:val="single" w:sz="4" w:space="0" w:color="auto"/>
              <w:bottom w:val="single" w:sz="4" w:space="0" w:color="auto"/>
              <w:right w:val="nil"/>
            </w:tcBorders>
            <w:noWrap/>
            <w:vAlign w:val="center"/>
          </w:tcPr>
          <w:p w14:paraId="29CF17F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Wang</w:t>
            </w:r>
          </w:p>
        </w:tc>
        <w:tc>
          <w:tcPr>
            <w:tcW w:w="708" w:type="dxa"/>
            <w:tcBorders>
              <w:top w:val="single" w:sz="4" w:space="0" w:color="auto"/>
              <w:left w:val="nil"/>
              <w:bottom w:val="single" w:sz="4" w:space="0" w:color="auto"/>
              <w:right w:val="nil"/>
            </w:tcBorders>
            <w:noWrap/>
            <w:vAlign w:val="center"/>
          </w:tcPr>
          <w:p w14:paraId="08D6692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2009</w:t>
            </w:r>
          </w:p>
        </w:tc>
        <w:tc>
          <w:tcPr>
            <w:tcW w:w="993" w:type="dxa"/>
            <w:gridSpan w:val="2"/>
            <w:tcBorders>
              <w:top w:val="single" w:sz="4" w:space="0" w:color="auto"/>
              <w:left w:val="nil"/>
              <w:bottom w:val="single" w:sz="4" w:space="0" w:color="auto"/>
              <w:right w:val="nil"/>
            </w:tcBorders>
            <w:noWrap/>
            <w:vAlign w:val="center"/>
          </w:tcPr>
          <w:p w14:paraId="248D70B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6128D02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75C6353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left w:val="nil"/>
              <w:bottom w:val="single" w:sz="4" w:space="0" w:color="auto"/>
              <w:right w:val="nil"/>
            </w:tcBorders>
            <w:vAlign w:val="center"/>
          </w:tcPr>
          <w:p w14:paraId="4FF38E8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system to record urinary leakage in women doing intense physical activities.</w:t>
            </w:r>
          </w:p>
        </w:tc>
        <w:tc>
          <w:tcPr>
            <w:tcW w:w="3541" w:type="dxa"/>
            <w:tcBorders>
              <w:top w:val="single" w:sz="4" w:space="0" w:color="auto"/>
              <w:left w:val="nil"/>
              <w:bottom w:val="single" w:sz="4" w:space="0" w:color="auto"/>
              <w:right w:val="nil"/>
            </w:tcBorders>
            <w:vAlign w:val="center"/>
          </w:tcPr>
          <w:p w14:paraId="4DAF1F3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one adult woman. The sensitivity of the sensor was first tested in the laboratory with a burette dropping urine onto it. Then the participant wore the device during a 25-minute jog, releasing urine at the end.</w:t>
            </w:r>
          </w:p>
        </w:tc>
        <w:tc>
          <w:tcPr>
            <w:tcW w:w="3261" w:type="dxa"/>
            <w:tcBorders>
              <w:top w:val="single" w:sz="4" w:space="0" w:color="auto"/>
              <w:left w:val="nil"/>
              <w:bottom w:val="single" w:sz="4" w:space="0" w:color="auto"/>
            </w:tcBorders>
            <w:vAlign w:val="center"/>
          </w:tcPr>
          <w:p w14:paraId="524D62D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lab test suggested that the sensor could always detect a leakage of more than 0.5ml. The jogging experiment demonstrated that the sensitivity of the sensor was not influenced by sweat disturbance. </w:t>
            </w:r>
          </w:p>
        </w:tc>
      </w:tr>
      <w:tr w:rsidR="005A499B" w:rsidRPr="005A499B" w14:paraId="749F9765" w14:textId="77777777" w:rsidTr="007E42ED">
        <w:trPr>
          <w:trHeight w:val="499"/>
        </w:trPr>
        <w:tc>
          <w:tcPr>
            <w:tcW w:w="13890" w:type="dxa"/>
            <w:gridSpan w:val="9"/>
            <w:tcBorders>
              <w:top w:val="single" w:sz="4" w:space="0" w:color="auto"/>
              <w:bottom w:val="single" w:sz="4" w:space="0" w:color="auto"/>
            </w:tcBorders>
            <w:noWrap/>
            <w:vAlign w:val="center"/>
          </w:tcPr>
          <w:p w14:paraId="04BA2810" w14:textId="77777777" w:rsidR="005A499B" w:rsidRPr="00523AB6" w:rsidRDefault="005A499B" w:rsidP="007E42ED">
            <w:pPr>
              <w:spacing w:after="0"/>
              <w:rPr>
                <w:rFonts w:ascii="Calibri" w:hAnsi="Calibri" w:cs="Calibri"/>
                <w:lang w:val="en-US"/>
              </w:rPr>
            </w:pPr>
            <w:r w:rsidRPr="00523AB6">
              <w:rPr>
                <w:b/>
                <w:bCs/>
                <w:lang w:val="en-GB"/>
              </w:rPr>
              <w:t>Multi-modal systems - p</w:t>
            </w:r>
            <w:r w:rsidRPr="00523AB6">
              <w:rPr>
                <w:b/>
                <w:bCs/>
                <w:lang w:val="en-US"/>
              </w:rPr>
              <w:t>olysomnography (PSG)</w:t>
            </w:r>
          </w:p>
        </w:tc>
      </w:tr>
      <w:tr w:rsidR="005A499B" w:rsidRPr="005A499B" w14:paraId="604BF0E6"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297FF6A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Koley</w:t>
            </w:r>
          </w:p>
        </w:tc>
        <w:tc>
          <w:tcPr>
            <w:tcW w:w="708" w:type="dxa"/>
            <w:tcBorders>
              <w:top w:val="single" w:sz="4" w:space="0" w:color="auto"/>
              <w:bottom w:val="single" w:sz="4" w:space="0" w:color="auto"/>
            </w:tcBorders>
            <w:noWrap/>
            <w:vAlign w:val="center"/>
          </w:tcPr>
          <w:p w14:paraId="2D25388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2013</w:t>
            </w:r>
          </w:p>
        </w:tc>
        <w:tc>
          <w:tcPr>
            <w:tcW w:w="819" w:type="dxa"/>
            <w:tcBorders>
              <w:top w:val="single" w:sz="4" w:space="0" w:color="auto"/>
              <w:bottom w:val="single" w:sz="4" w:space="0" w:color="auto"/>
            </w:tcBorders>
            <w:noWrap/>
            <w:vAlign w:val="center"/>
          </w:tcPr>
          <w:p w14:paraId="07F7970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India</w:t>
            </w:r>
          </w:p>
        </w:tc>
        <w:tc>
          <w:tcPr>
            <w:tcW w:w="1449" w:type="dxa"/>
            <w:gridSpan w:val="2"/>
            <w:tcBorders>
              <w:top w:val="single" w:sz="4" w:space="0" w:color="auto"/>
              <w:bottom w:val="single" w:sz="4" w:space="0" w:color="auto"/>
            </w:tcBorders>
            <w:vAlign w:val="center"/>
          </w:tcPr>
          <w:p w14:paraId="40698930"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Alice LE (Philips Respironics)</w:t>
            </w:r>
          </w:p>
        </w:tc>
        <w:tc>
          <w:tcPr>
            <w:tcW w:w="1134" w:type="dxa"/>
            <w:tcBorders>
              <w:top w:val="single" w:sz="4" w:space="0" w:color="auto"/>
              <w:bottom w:val="single" w:sz="4" w:space="0" w:color="auto"/>
            </w:tcBorders>
            <w:vAlign w:val="center"/>
          </w:tcPr>
          <w:p w14:paraId="2BC0BF4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1C7682D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develop an algorism to detect apnea or hypopnea events using airflow data from PSG.</w:t>
            </w:r>
          </w:p>
        </w:tc>
        <w:tc>
          <w:tcPr>
            <w:tcW w:w="3541" w:type="dxa"/>
            <w:tcBorders>
              <w:top w:val="single" w:sz="4" w:space="0" w:color="auto"/>
              <w:bottom w:val="single" w:sz="4" w:space="0" w:color="auto"/>
            </w:tcBorders>
            <w:vAlign w:val="center"/>
          </w:tcPr>
          <w:p w14:paraId="09859A71"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36 adult participants with a variety of diseases. 28 participants received one recording session for a night. 8 participants had repeated test. Recordings were conducted at a Center for sleep disorders. The </w:t>
            </w:r>
            <w:r w:rsidRPr="00523AB6">
              <w:rPr>
                <w:rFonts w:ascii="Calibri" w:hAnsi="Calibri" w:cs="Calibri"/>
                <w:lang w:val="en-US"/>
              </w:rPr>
              <w:lastRenderedPageBreak/>
              <w:t>algorism results were compared with full PSG.</w:t>
            </w:r>
          </w:p>
        </w:tc>
        <w:tc>
          <w:tcPr>
            <w:tcW w:w="3261" w:type="dxa"/>
            <w:tcBorders>
              <w:top w:val="single" w:sz="4" w:space="0" w:color="auto"/>
              <w:bottom w:val="single" w:sz="4" w:space="0" w:color="auto"/>
            </w:tcBorders>
            <w:vAlign w:val="center"/>
          </w:tcPr>
          <w:p w14:paraId="6582A6F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Accuracies of event detection: hypopnea: 92%, apnea: 95%, and combined 97%.</w:t>
            </w:r>
          </w:p>
        </w:tc>
      </w:tr>
      <w:tr w:rsidR="005A499B" w:rsidRPr="00523AB6" w14:paraId="4EB0C297"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C6596F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Supe</w:t>
            </w:r>
          </w:p>
        </w:tc>
        <w:tc>
          <w:tcPr>
            <w:tcW w:w="708" w:type="dxa"/>
            <w:tcBorders>
              <w:top w:val="single" w:sz="4" w:space="0" w:color="auto"/>
              <w:bottom w:val="single" w:sz="4" w:space="0" w:color="auto"/>
            </w:tcBorders>
            <w:noWrap/>
            <w:vAlign w:val="center"/>
          </w:tcPr>
          <w:p w14:paraId="405DAC1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2017</w:t>
            </w:r>
          </w:p>
        </w:tc>
        <w:tc>
          <w:tcPr>
            <w:tcW w:w="819" w:type="dxa"/>
            <w:tcBorders>
              <w:top w:val="single" w:sz="4" w:space="0" w:color="auto"/>
              <w:bottom w:val="single" w:sz="4" w:space="0" w:color="auto"/>
            </w:tcBorders>
            <w:noWrap/>
            <w:vAlign w:val="center"/>
          </w:tcPr>
          <w:p w14:paraId="64A0D6A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USA</w:t>
            </w:r>
          </w:p>
        </w:tc>
        <w:tc>
          <w:tcPr>
            <w:tcW w:w="1449" w:type="dxa"/>
            <w:gridSpan w:val="2"/>
            <w:tcBorders>
              <w:top w:val="single" w:sz="4" w:space="0" w:color="auto"/>
              <w:bottom w:val="single" w:sz="4" w:space="0" w:color="auto"/>
            </w:tcBorders>
            <w:vAlign w:val="center"/>
          </w:tcPr>
          <w:p w14:paraId="0958E4F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Capnostream 20 Bedside Monitors (Covidien, Needham, Massachusetts, USA)</w:t>
            </w:r>
          </w:p>
        </w:tc>
        <w:tc>
          <w:tcPr>
            <w:tcW w:w="1134" w:type="dxa"/>
            <w:tcBorders>
              <w:top w:val="single" w:sz="4" w:space="0" w:color="auto"/>
              <w:bottom w:val="single" w:sz="4" w:space="0" w:color="auto"/>
            </w:tcBorders>
            <w:vAlign w:val="center"/>
          </w:tcPr>
          <w:p w14:paraId="3254DF6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Hypopnea</w:t>
            </w:r>
          </w:p>
        </w:tc>
        <w:tc>
          <w:tcPr>
            <w:tcW w:w="1985" w:type="dxa"/>
            <w:tcBorders>
              <w:top w:val="single" w:sz="4" w:space="0" w:color="auto"/>
              <w:bottom w:val="single" w:sz="4" w:space="0" w:color="auto"/>
            </w:tcBorders>
            <w:vAlign w:val="center"/>
          </w:tcPr>
          <w:p w14:paraId="7D0C308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implement continuous monitoring to identify alarm conditions of respiratory distress.</w:t>
            </w:r>
          </w:p>
        </w:tc>
        <w:tc>
          <w:tcPr>
            <w:tcW w:w="3541" w:type="dxa"/>
            <w:tcBorders>
              <w:top w:val="single" w:sz="4" w:space="0" w:color="auto"/>
              <w:bottom w:val="single" w:sz="4" w:space="0" w:color="auto"/>
            </w:tcBorders>
            <w:vAlign w:val="center"/>
          </w:tcPr>
          <w:p w14:paraId="57AFE79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25 adult patients with obstructive sleep apnea on a post anesthesia care unit. The time of the monitoring ranged from a few hours to several days.</w:t>
            </w:r>
          </w:p>
        </w:tc>
        <w:tc>
          <w:tcPr>
            <w:tcW w:w="3261" w:type="dxa"/>
            <w:tcBorders>
              <w:top w:val="single" w:sz="4" w:space="0" w:color="auto"/>
              <w:bottom w:val="single" w:sz="4" w:space="0" w:color="auto"/>
            </w:tcBorders>
            <w:vAlign w:val="center"/>
          </w:tcPr>
          <w:p w14:paraId="12547F9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True positive rate: 57%, compared with clinician judgement. True negative rate: 100%. </w:t>
            </w:r>
          </w:p>
        </w:tc>
      </w:tr>
      <w:tr w:rsidR="005A499B" w:rsidRPr="005A499B" w14:paraId="009B7D60"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E25EDC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Koskinen</w:t>
            </w:r>
          </w:p>
        </w:tc>
        <w:tc>
          <w:tcPr>
            <w:tcW w:w="708" w:type="dxa"/>
            <w:tcBorders>
              <w:top w:val="single" w:sz="4" w:space="0" w:color="auto"/>
              <w:bottom w:val="single" w:sz="4" w:space="0" w:color="auto"/>
            </w:tcBorders>
            <w:noWrap/>
            <w:vAlign w:val="center"/>
          </w:tcPr>
          <w:p w14:paraId="4020AE3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40C908D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Finland</w:t>
            </w:r>
          </w:p>
        </w:tc>
        <w:tc>
          <w:tcPr>
            <w:tcW w:w="1449" w:type="dxa"/>
            <w:gridSpan w:val="2"/>
            <w:tcBorders>
              <w:top w:val="single" w:sz="4" w:space="0" w:color="auto"/>
              <w:bottom w:val="single" w:sz="4" w:space="0" w:color="auto"/>
            </w:tcBorders>
            <w:vAlign w:val="center"/>
          </w:tcPr>
          <w:p w14:paraId="7B65002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Collare (Nukute Ltd, Finland)</w:t>
            </w:r>
          </w:p>
        </w:tc>
        <w:tc>
          <w:tcPr>
            <w:tcW w:w="1134" w:type="dxa"/>
            <w:tcBorders>
              <w:top w:val="single" w:sz="4" w:space="0" w:color="auto"/>
              <w:bottom w:val="single" w:sz="4" w:space="0" w:color="auto"/>
            </w:tcBorders>
            <w:vAlign w:val="center"/>
          </w:tcPr>
          <w:p w14:paraId="6CC41FD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3B06CAE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validate the Nukute Collare in diagnosing sleep apnea.</w:t>
            </w:r>
          </w:p>
        </w:tc>
        <w:tc>
          <w:tcPr>
            <w:tcW w:w="3541" w:type="dxa"/>
            <w:tcBorders>
              <w:top w:val="single" w:sz="4" w:space="0" w:color="auto"/>
              <w:bottom w:val="single" w:sz="4" w:space="0" w:color="auto"/>
            </w:tcBorders>
            <w:vAlign w:val="center"/>
          </w:tcPr>
          <w:p w14:paraId="0EA20E1B"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Mixed-methods cross-sectional study with 71 adults with or without sleep apnea. Collare measurement was compared with standard PSG.*</w:t>
            </w:r>
          </w:p>
        </w:tc>
        <w:tc>
          <w:tcPr>
            <w:tcW w:w="3261" w:type="dxa"/>
            <w:tcBorders>
              <w:top w:val="single" w:sz="4" w:space="0" w:color="auto"/>
              <w:bottom w:val="single" w:sz="4" w:space="0" w:color="auto"/>
            </w:tcBorders>
            <w:vAlign w:val="center"/>
          </w:tcPr>
          <w:p w14:paraId="7A03D8A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91% sensitivity, 97% specificity, 91% positive predictive value, 97% negative predictive value, and 0.9-1.0 balanced accuracy.</w:t>
            </w:r>
          </w:p>
        </w:tc>
      </w:tr>
      <w:tr w:rsidR="005A499B" w:rsidRPr="005A499B" w14:paraId="0A9E00C6"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825855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Makinen</w:t>
            </w:r>
          </w:p>
        </w:tc>
        <w:tc>
          <w:tcPr>
            <w:tcW w:w="708" w:type="dxa"/>
            <w:tcBorders>
              <w:top w:val="single" w:sz="4" w:space="0" w:color="auto"/>
              <w:bottom w:val="single" w:sz="4" w:space="0" w:color="auto"/>
            </w:tcBorders>
            <w:noWrap/>
            <w:vAlign w:val="center"/>
          </w:tcPr>
          <w:p w14:paraId="0279670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2022</w:t>
            </w:r>
          </w:p>
        </w:tc>
        <w:tc>
          <w:tcPr>
            <w:tcW w:w="819" w:type="dxa"/>
            <w:tcBorders>
              <w:top w:val="single" w:sz="4" w:space="0" w:color="auto"/>
              <w:bottom w:val="single" w:sz="4" w:space="0" w:color="auto"/>
            </w:tcBorders>
            <w:noWrap/>
            <w:vAlign w:val="center"/>
          </w:tcPr>
          <w:p w14:paraId="06721F4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Finland</w:t>
            </w:r>
          </w:p>
        </w:tc>
        <w:tc>
          <w:tcPr>
            <w:tcW w:w="1449" w:type="dxa"/>
            <w:gridSpan w:val="2"/>
            <w:tcBorders>
              <w:top w:val="single" w:sz="4" w:space="0" w:color="auto"/>
              <w:bottom w:val="single" w:sz="4" w:space="0" w:color="auto"/>
            </w:tcBorders>
            <w:vAlign w:val="center"/>
          </w:tcPr>
          <w:p w14:paraId="6325E4C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Collare (Nukute Ltd, Finland)</w:t>
            </w:r>
          </w:p>
        </w:tc>
        <w:tc>
          <w:tcPr>
            <w:tcW w:w="1134" w:type="dxa"/>
            <w:tcBorders>
              <w:top w:val="single" w:sz="4" w:space="0" w:color="auto"/>
              <w:bottom w:val="single" w:sz="4" w:space="0" w:color="auto"/>
            </w:tcBorders>
            <w:vAlign w:val="center"/>
          </w:tcPr>
          <w:p w14:paraId="3FC72AF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56C7E72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validate the Nukute Collare in screening sleep apnea.</w:t>
            </w:r>
          </w:p>
        </w:tc>
        <w:tc>
          <w:tcPr>
            <w:tcW w:w="3541" w:type="dxa"/>
            <w:tcBorders>
              <w:top w:val="single" w:sz="4" w:space="0" w:color="auto"/>
              <w:bottom w:val="single" w:sz="4" w:space="0" w:color="auto"/>
            </w:tcBorders>
            <w:vAlign w:val="center"/>
          </w:tcPr>
          <w:p w14:paraId="4DFB771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41 adults. Collare measurement was compared with standard PSG.*</w:t>
            </w:r>
          </w:p>
        </w:tc>
        <w:tc>
          <w:tcPr>
            <w:tcW w:w="3261" w:type="dxa"/>
            <w:tcBorders>
              <w:top w:val="single" w:sz="4" w:space="0" w:color="auto"/>
              <w:bottom w:val="single" w:sz="4" w:space="0" w:color="auto"/>
            </w:tcBorders>
            <w:vAlign w:val="center"/>
          </w:tcPr>
          <w:p w14:paraId="4314A8D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Accuracy of diagnosing sleep apnea automatically: 88% - 95%, accuracy of automatically classifying apnea severity: 76%.</w:t>
            </w:r>
          </w:p>
        </w:tc>
      </w:tr>
      <w:tr w:rsidR="005A499B" w:rsidRPr="005A499B" w14:paraId="27C60758"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A90560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Rotariu</w:t>
            </w:r>
          </w:p>
        </w:tc>
        <w:tc>
          <w:tcPr>
            <w:tcW w:w="708" w:type="dxa"/>
            <w:tcBorders>
              <w:top w:val="single" w:sz="4" w:space="0" w:color="auto"/>
              <w:bottom w:val="single" w:sz="4" w:space="0" w:color="auto"/>
            </w:tcBorders>
            <w:noWrap/>
            <w:vAlign w:val="center"/>
          </w:tcPr>
          <w:p w14:paraId="3E419A9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2013</w:t>
            </w:r>
          </w:p>
        </w:tc>
        <w:tc>
          <w:tcPr>
            <w:tcW w:w="819" w:type="dxa"/>
            <w:tcBorders>
              <w:top w:val="single" w:sz="4" w:space="0" w:color="auto"/>
              <w:bottom w:val="single" w:sz="4" w:space="0" w:color="auto"/>
            </w:tcBorders>
            <w:noWrap/>
            <w:vAlign w:val="center"/>
          </w:tcPr>
          <w:p w14:paraId="75D5893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Romania</w:t>
            </w:r>
          </w:p>
        </w:tc>
        <w:tc>
          <w:tcPr>
            <w:tcW w:w="1449" w:type="dxa"/>
            <w:gridSpan w:val="2"/>
            <w:tcBorders>
              <w:top w:val="single" w:sz="4" w:space="0" w:color="auto"/>
              <w:bottom w:val="single" w:sz="4" w:space="0" w:color="auto"/>
            </w:tcBorders>
            <w:vAlign w:val="center"/>
          </w:tcPr>
          <w:p w14:paraId="1BFD2F4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Developed by the authors</w:t>
            </w:r>
          </w:p>
        </w:tc>
        <w:tc>
          <w:tcPr>
            <w:tcW w:w="1134" w:type="dxa"/>
            <w:tcBorders>
              <w:top w:val="single" w:sz="4" w:space="0" w:color="auto"/>
              <w:bottom w:val="single" w:sz="4" w:space="0" w:color="auto"/>
            </w:tcBorders>
            <w:vAlign w:val="center"/>
          </w:tcPr>
          <w:p w14:paraId="5B0BE18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71D8DCD9"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develop a system to monitor sleep apnea using wireless sensor nodes.</w:t>
            </w:r>
          </w:p>
        </w:tc>
        <w:tc>
          <w:tcPr>
            <w:tcW w:w="3541" w:type="dxa"/>
            <w:tcBorders>
              <w:top w:val="single" w:sz="4" w:space="0" w:color="auto"/>
              <w:bottom w:val="single" w:sz="4" w:space="0" w:color="auto"/>
            </w:tcBorders>
            <w:vAlign w:val="center"/>
          </w:tcPr>
          <w:p w14:paraId="279D6FF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3 patients in the hospital. The patients simulated apnea events to test the system.</w:t>
            </w:r>
          </w:p>
        </w:tc>
        <w:tc>
          <w:tcPr>
            <w:tcW w:w="3261" w:type="dxa"/>
            <w:tcBorders>
              <w:top w:val="single" w:sz="4" w:space="0" w:color="auto"/>
              <w:bottom w:val="single" w:sz="4" w:space="0" w:color="auto"/>
            </w:tcBorders>
            <w:vAlign w:val="center"/>
          </w:tcPr>
          <w:p w14:paraId="5DDDF9D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Simulated apnea events were detected by the system and alarms were triggered.</w:t>
            </w:r>
          </w:p>
        </w:tc>
      </w:tr>
      <w:tr w:rsidR="005A499B" w:rsidRPr="005A499B" w14:paraId="11766E6F"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73147FD3"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Jungquist</w:t>
            </w:r>
          </w:p>
        </w:tc>
        <w:tc>
          <w:tcPr>
            <w:tcW w:w="708" w:type="dxa"/>
            <w:tcBorders>
              <w:top w:val="single" w:sz="4" w:space="0" w:color="auto"/>
              <w:bottom w:val="single" w:sz="4" w:space="0" w:color="auto"/>
            </w:tcBorders>
            <w:noWrap/>
            <w:vAlign w:val="center"/>
          </w:tcPr>
          <w:p w14:paraId="7478BF1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2019</w:t>
            </w:r>
          </w:p>
        </w:tc>
        <w:tc>
          <w:tcPr>
            <w:tcW w:w="819" w:type="dxa"/>
            <w:tcBorders>
              <w:top w:val="single" w:sz="4" w:space="0" w:color="auto"/>
              <w:bottom w:val="single" w:sz="4" w:space="0" w:color="auto"/>
            </w:tcBorders>
            <w:noWrap/>
            <w:vAlign w:val="center"/>
          </w:tcPr>
          <w:p w14:paraId="5747652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USA</w:t>
            </w:r>
          </w:p>
        </w:tc>
        <w:tc>
          <w:tcPr>
            <w:tcW w:w="1449" w:type="dxa"/>
            <w:gridSpan w:val="2"/>
            <w:tcBorders>
              <w:top w:val="single" w:sz="4" w:space="0" w:color="auto"/>
              <w:bottom w:val="single" w:sz="4" w:space="0" w:color="auto"/>
            </w:tcBorders>
            <w:vAlign w:val="center"/>
          </w:tcPr>
          <w:p w14:paraId="6900E2A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ExSpiron 1Xi Minute Ventilation Monitor (Respiratory Motion)</w:t>
            </w:r>
          </w:p>
        </w:tc>
        <w:tc>
          <w:tcPr>
            <w:tcW w:w="1134" w:type="dxa"/>
            <w:tcBorders>
              <w:top w:val="single" w:sz="4" w:space="0" w:color="auto"/>
              <w:bottom w:val="single" w:sz="4" w:space="0" w:color="auto"/>
            </w:tcBorders>
            <w:vAlign w:val="center"/>
          </w:tcPr>
          <w:p w14:paraId="6205390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Hypopnea</w:t>
            </w:r>
          </w:p>
        </w:tc>
        <w:tc>
          <w:tcPr>
            <w:tcW w:w="1985" w:type="dxa"/>
            <w:tcBorders>
              <w:top w:val="single" w:sz="4" w:space="0" w:color="auto"/>
              <w:bottom w:val="single" w:sz="4" w:space="0" w:color="auto"/>
            </w:tcBorders>
            <w:vAlign w:val="center"/>
          </w:tcPr>
          <w:p w14:paraId="7D699921"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To compare Minute ventilation, capnography, and pulse oximetry in identifying respiratory depression and to develop and </w:t>
            </w:r>
            <w:r w:rsidRPr="00523AB6">
              <w:rPr>
                <w:rFonts w:ascii="Calibri" w:hAnsi="Calibri" w:cs="Calibri"/>
                <w:lang w:val="en-US"/>
              </w:rPr>
              <w:lastRenderedPageBreak/>
              <w:t>algorism for early detection.</w:t>
            </w:r>
          </w:p>
        </w:tc>
        <w:tc>
          <w:tcPr>
            <w:tcW w:w="3541" w:type="dxa"/>
            <w:tcBorders>
              <w:top w:val="single" w:sz="4" w:space="0" w:color="auto"/>
              <w:bottom w:val="single" w:sz="4" w:space="0" w:color="auto"/>
            </w:tcBorders>
            <w:vAlign w:val="center"/>
          </w:tcPr>
          <w:p w14:paraId="5724942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Quantitative cross-sectional study with 48 adult participants in the post anesthesia care unit. The participants were the devices during their whole stay in the unit.</w:t>
            </w:r>
          </w:p>
        </w:tc>
        <w:tc>
          <w:tcPr>
            <w:tcW w:w="3261" w:type="dxa"/>
            <w:tcBorders>
              <w:top w:val="single" w:sz="4" w:space="0" w:color="auto"/>
              <w:bottom w:val="single" w:sz="4" w:space="0" w:color="auto"/>
            </w:tcBorders>
            <w:vAlign w:val="center"/>
          </w:tcPr>
          <w:p w14:paraId="31547E1A"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Minute ventilation and capnography were both effective in detecting respiratory depression, while pulse oximetry was not. A machine learning model could predict an opioid-induced respiratory depression </w:t>
            </w:r>
            <w:r w:rsidRPr="00523AB6">
              <w:rPr>
                <w:rFonts w:ascii="Calibri" w:hAnsi="Calibri" w:cs="Calibri"/>
                <w:lang w:val="en-US"/>
              </w:rPr>
              <w:lastRenderedPageBreak/>
              <w:t>event 10 min in advance with 80% accuracy.</w:t>
            </w:r>
          </w:p>
        </w:tc>
      </w:tr>
      <w:tr w:rsidR="005A499B" w:rsidRPr="005A499B" w14:paraId="4D280431"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07775AA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Acebo</w:t>
            </w:r>
          </w:p>
        </w:tc>
        <w:tc>
          <w:tcPr>
            <w:tcW w:w="708" w:type="dxa"/>
            <w:tcBorders>
              <w:top w:val="single" w:sz="4" w:space="0" w:color="auto"/>
              <w:bottom w:val="single" w:sz="4" w:space="0" w:color="auto"/>
            </w:tcBorders>
            <w:noWrap/>
            <w:vAlign w:val="center"/>
          </w:tcPr>
          <w:p w14:paraId="08DCEF8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1991</w:t>
            </w:r>
          </w:p>
        </w:tc>
        <w:tc>
          <w:tcPr>
            <w:tcW w:w="819" w:type="dxa"/>
            <w:tcBorders>
              <w:top w:val="single" w:sz="4" w:space="0" w:color="auto"/>
              <w:bottom w:val="single" w:sz="4" w:space="0" w:color="auto"/>
            </w:tcBorders>
            <w:noWrap/>
            <w:vAlign w:val="center"/>
          </w:tcPr>
          <w:p w14:paraId="1EDE502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USA</w:t>
            </w:r>
          </w:p>
        </w:tc>
        <w:tc>
          <w:tcPr>
            <w:tcW w:w="1449" w:type="dxa"/>
            <w:gridSpan w:val="2"/>
            <w:tcBorders>
              <w:top w:val="single" w:sz="4" w:space="0" w:color="auto"/>
              <w:bottom w:val="single" w:sz="4" w:space="0" w:color="auto"/>
            </w:tcBorders>
            <w:vAlign w:val="center"/>
          </w:tcPr>
          <w:p w14:paraId="51B6E6C0"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Home monitoring system, brand not reported</w:t>
            </w:r>
          </w:p>
        </w:tc>
        <w:tc>
          <w:tcPr>
            <w:tcW w:w="1134" w:type="dxa"/>
            <w:tcBorders>
              <w:top w:val="single" w:sz="4" w:space="0" w:color="auto"/>
              <w:bottom w:val="single" w:sz="4" w:space="0" w:color="auto"/>
            </w:tcBorders>
            <w:vAlign w:val="center"/>
          </w:tcPr>
          <w:p w14:paraId="70BF3F1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-apnea</w:t>
            </w:r>
          </w:p>
        </w:tc>
        <w:tc>
          <w:tcPr>
            <w:tcW w:w="1985" w:type="dxa"/>
            <w:tcBorders>
              <w:top w:val="single" w:sz="4" w:space="0" w:color="auto"/>
              <w:bottom w:val="single" w:sz="4" w:space="0" w:color="auto"/>
            </w:tcBorders>
            <w:vAlign w:val="center"/>
          </w:tcPr>
          <w:p w14:paraId="73E56D4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investigate the reliability and validity of measures of sleep and apnea using the home sleep monitoring system.</w:t>
            </w:r>
          </w:p>
        </w:tc>
        <w:tc>
          <w:tcPr>
            <w:tcW w:w="3541" w:type="dxa"/>
            <w:tcBorders>
              <w:top w:val="single" w:sz="4" w:space="0" w:color="auto"/>
              <w:bottom w:val="single" w:sz="4" w:space="0" w:color="auto"/>
            </w:tcBorders>
            <w:vAlign w:val="center"/>
          </w:tcPr>
          <w:p w14:paraId="439D9DD9"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14 adults (Study 1) and 8 older adults living in nursing facilities (study 2). Study 1: One night, together with standard PSG in the Sleep Disorders Center. Study 2: Four weekly 24-h recordings were made on successive weeks at the participants’ homes.</w:t>
            </w:r>
          </w:p>
        </w:tc>
        <w:tc>
          <w:tcPr>
            <w:tcW w:w="3261" w:type="dxa"/>
            <w:tcBorders>
              <w:top w:val="single" w:sz="4" w:space="0" w:color="auto"/>
              <w:bottom w:val="single" w:sz="4" w:space="0" w:color="auto"/>
            </w:tcBorders>
            <w:vAlign w:val="center"/>
          </w:tcPr>
          <w:p w14:paraId="10BD671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Study 1: Significant agreement was found for each sleep measure and the apnea index between the home monitoring system and standard PSG. Study 2: There were significant individual differences, and the measurement is reliable for each sleep measure and the number of apneas.</w:t>
            </w:r>
          </w:p>
        </w:tc>
      </w:tr>
      <w:tr w:rsidR="005A499B" w:rsidRPr="005A499B" w14:paraId="4C404C55"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13359FC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Buyse</w:t>
            </w:r>
          </w:p>
        </w:tc>
        <w:tc>
          <w:tcPr>
            <w:tcW w:w="708" w:type="dxa"/>
            <w:tcBorders>
              <w:top w:val="single" w:sz="4" w:space="0" w:color="auto"/>
              <w:bottom w:val="single" w:sz="4" w:space="0" w:color="auto"/>
            </w:tcBorders>
            <w:noWrap/>
            <w:vAlign w:val="center"/>
          </w:tcPr>
          <w:p w14:paraId="0B40205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2023</w:t>
            </w:r>
          </w:p>
        </w:tc>
        <w:tc>
          <w:tcPr>
            <w:tcW w:w="819" w:type="dxa"/>
            <w:tcBorders>
              <w:top w:val="single" w:sz="4" w:space="0" w:color="auto"/>
              <w:bottom w:val="single" w:sz="4" w:space="0" w:color="auto"/>
            </w:tcBorders>
            <w:noWrap/>
            <w:vAlign w:val="center"/>
          </w:tcPr>
          <w:p w14:paraId="36256B2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Belgium</w:t>
            </w:r>
          </w:p>
        </w:tc>
        <w:tc>
          <w:tcPr>
            <w:tcW w:w="1449" w:type="dxa"/>
            <w:gridSpan w:val="2"/>
            <w:tcBorders>
              <w:top w:val="single" w:sz="4" w:space="0" w:color="auto"/>
              <w:bottom w:val="single" w:sz="4" w:space="0" w:color="auto"/>
            </w:tcBorders>
            <w:vAlign w:val="center"/>
          </w:tcPr>
          <w:p w14:paraId="548D27F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Hospital PSG, model and brand not reported </w:t>
            </w:r>
          </w:p>
        </w:tc>
        <w:tc>
          <w:tcPr>
            <w:tcW w:w="1134" w:type="dxa"/>
            <w:tcBorders>
              <w:top w:val="single" w:sz="4" w:space="0" w:color="auto"/>
              <w:bottom w:val="single" w:sz="4" w:space="0" w:color="auto"/>
            </w:tcBorders>
            <w:vAlign w:val="center"/>
          </w:tcPr>
          <w:p w14:paraId="4643E6CF" w14:textId="77777777" w:rsidR="005A499B" w:rsidRPr="00523AB6" w:rsidRDefault="005A499B" w:rsidP="007E42ED">
            <w:pPr>
              <w:spacing w:after="0" w:line="240" w:lineRule="auto"/>
              <w:rPr>
                <w:rFonts w:ascii="Calibri" w:hAnsi="Calibri" w:cs="Calibri"/>
                <w:lang w:val="en-GB"/>
              </w:rPr>
            </w:pPr>
            <w:r w:rsidRPr="00523AB6">
              <w:rPr>
                <w:rFonts w:ascii="Calibri" w:hAnsi="Calibri" w:cs="Calibri"/>
                <w:lang w:val="en-GB"/>
              </w:rPr>
              <w:t>Sleep -apnea</w:t>
            </w:r>
          </w:p>
        </w:tc>
        <w:tc>
          <w:tcPr>
            <w:tcW w:w="1985" w:type="dxa"/>
            <w:tcBorders>
              <w:top w:val="single" w:sz="4" w:space="0" w:color="auto"/>
              <w:bottom w:val="single" w:sz="4" w:space="0" w:color="auto"/>
            </w:tcBorders>
            <w:vAlign w:val="center"/>
          </w:tcPr>
          <w:p w14:paraId="35FA5B2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whether lowering the cut-off scores for type 3 portable monitoring would benefit the diagnosis and treatment of obstructive sleep apnea.</w:t>
            </w:r>
          </w:p>
        </w:tc>
        <w:tc>
          <w:tcPr>
            <w:tcW w:w="3541" w:type="dxa"/>
            <w:tcBorders>
              <w:top w:val="single" w:sz="4" w:space="0" w:color="auto"/>
              <w:bottom w:val="single" w:sz="4" w:space="0" w:color="auto"/>
            </w:tcBorders>
            <w:vAlign w:val="center"/>
          </w:tcPr>
          <w:p w14:paraId="6086E936" w14:textId="77777777" w:rsidR="005A499B" w:rsidRPr="00523AB6" w:rsidRDefault="005A499B" w:rsidP="007E42ED">
            <w:pPr>
              <w:spacing w:after="0"/>
              <w:rPr>
                <w:rFonts w:ascii="Calibri" w:hAnsi="Calibri" w:cs="Calibri"/>
                <w:lang w:val="en-GB"/>
              </w:rPr>
            </w:pPr>
            <w:r w:rsidRPr="00523AB6">
              <w:rPr>
                <w:rFonts w:ascii="Calibri" w:hAnsi="Calibri" w:cs="Calibri"/>
                <w:lang w:val="en-US"/>
              </w:rPr>
              <w:t>Quantitative cross-sectional study with a database of 865 adults who started continuous positive airway pressure. Apnea-hypopnea index (AHI) of both the in-hospital PSG and portable monitoring were simulated from the existing data. Calculations of negative tests were performed with different Portable monitoring- respiratory event index (PM-REI) cut-of scores.</w:t>
            </w:r>
          </w:p>
        </w:tc>
        <w:tc>
          <w:tcPr>
            <w:tcW w:w="3261" w:type="dxa"/>
            <w:tcBorders>
              <w:top w:val="single" w:sz="4" w:space="0" w:color="auto"/>
              <w:bottom w:val="single" w:sz="4" w:space="0" w:color="auto"/>
            </w:tcBorders>
            <w:vAlign w:val="center"/>
          </w:tcPr>
          <w:p w14:paraId="32ADAFD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Portable monitoring underestimated the hypopnea events by 15 events/hour, compared to in-hospital PSG. Lowering the PM-REI cut-off score for portable monitoring reduced the negative test rate from 57% to 34%.</w:t>
            </w:r>
          </w:p>
        </w:tc>
      </w:tr>
      <w:tr w:rsidR="005A499B" w:rsidRPr="005A499B" w14:paraId="4D23ACA6"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9BD48A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Ravishankar</w:t>
            </w:r>
          </w:p>
        </w:tc>
        <w:tc>
          <w:tcPr>
            <w:tcW w:w="708" w:type="dxa"/>
            <w:tcBorders>
              <w:top w:val="single" w:sz="4" w:space="0" w:color="auto"/>
              <w:bottom w:val="single" w:sz="4" w:space="0" w:color="auto"/>
            </w:tcBorders>
            <w:noWrap/>
            <w:vAlign w:val="center"/>
          </w:tcPr>
          <w:p w14:paraId="4D99C89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2014</w:t>
            </w:r>
          </w:p>
        </w:tc>
        <w:tc>
          <w:tcPr>
            <w:tcW w:w="819" w:type="dxa"/>
            <w:tcBorders>
              <w:top w:val="single" w:sz="4" w:space="0" w:color="auto"/>
              <w:bottom w:val="single" w:sz="4" w:space="0" w:color="auto"/>
            </w:tcBorders>
            <w:noWrap/>
            <w:vAlign w:val="center"/>
          </w:tcPr>
          <w:p w14:paraId="1FB2694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India and USA</w:t>
            </w:r>
          </w:p>
        </w:tc>
        <w:tc>
          <w:tcPr>
            <w:tcW w:w="1449" w:type="dxa"/>
            <w:gridSpan w:val="2"/>
            <w:tcBorders>
              <w:top w:val="single" w:sz="4" w:space="0" w:color="auto"/>
              <w:bottom w:val="single" w:sz="4" w:space="0" w:color="auto"/>
            </w:tcBorders>
            <w:vAlign w:val="center"/>
          </w:tcPr>
          <w:p w14:paraId="1A7EC49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ICU bedside monitors, brand not reported</w:t>
            </w:r>
          </w:p>
        </w:tc>
        <w:tc>
          <w:tcPr>
            <w:tcW w:w="1134" w:type="dxa"/>
            <w:tcBorders>
              <w:top w:val="single" w:sz="4" w:space="0" w:color="auto"/>
              <w:bottom w:val="single" w:sz="4" w:space="0" w:color="auto"/>
            </w:tcBorders>
            <w:vAlign w:val="center"/>
          </w:tcPr>
          <w:p w14:paraId="0C493E0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Hypopnea</w:t>
            </w:r>
          </w:p>
        </w:tc>
        <w:tc>
          <w:tcPr>
            <w:tcW w:w="1985" w:type="dxa"/>
            <w:tcBorders>
              <w:top w:val="single" w:sz="4" w:space="0" w:color="auto"/>
              <w:bottom w:val="single" w:sz="4" w:space="0" w:color="auto"/>
            </w:tcBorders>
            <w:vAlign w:val="center"/>
          </w:tcPr>
          <w:p w14:paraId="70DD9CE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develop an algorithm to detect respiratory distress.</w:t>
            </w:r>
          </w:p>
        </w:tc>
        <w:tc>
          <w:tcPr>
            <w:tcW w:w="3541" w:type="dxa"/>
            <w:tcBorders>
              <w:top w:val="single" w:sz="4" w:space="0" w:color="auto"/>
              <w:bottom w:val="single" w:sz="4" w:space="0" w:color="auto"/>
            </w:tcBorders>
            <w:vAlign w:val="center"/>
          </w:tcPr>
          <w:p w14:paraId="00DA6979"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using ICU patient records. Preliminary analysis: 50 records with acute respiratory failure and 48 records without. Extended analysis: 157 records with no acute respiratory distress.</w:t>
            </w:r>
          </w:p>
        </w:tc>
        <w:tc>
          <w:tcPr>
            <w:tcW w:w="3261" w:type="dxa"/>
            <w:tcBorders>
              <w:top w:val="single" w:sz="4" w:space="0" w:color="auto"/>
              <w:bottom w:val="single" w:sz="4" w:space="0" w:color="auto"/>
            </w:tcBorders>
            <w:vAlign w:val="center"/>
          </w:tcPr>
          <w:p w14:paraId="560D091E"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True Positive Rate: 88-92%; False Positive Rate: 6-12%. The algorithm would be able to detect respiratory instability when existing systems would not.</w:t>
            </w:r>
          </w:p>
        </w:tc>
      </w:tr>
      <w:tr w:rsidR="005A499B" w:rsidRPr="005A499B" w14:paraId="376ABC86"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CA33F0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Li</w:t>
            </w:r>
          </w:p>
        </w:tc>
        <w:tc>
          <w:tcPr>
            <w:tcW w:w="708" w:type="dxa"/>
            <w:tcBorders>
              <w:top w:val="single" w:sz="4" w:space="0" w:color="auto"/>
              <w:bottom w:val="single" w:sz="4" w:space="0" w:color="auto"/>
            </w:tcBorders>
            <w:noWrap/>
            <w:vAlign w:val="center"/>
          </w:tcPr>
          <w:p w14:paraId="4DB70BB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024999F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 USA</w:t>
            </w:r>
          </w:p>
        </w:tc>
        <w:tc>
          <w:tcPr>
            <w:tcW w:w="1449" w:type="dxa"/>
            <w:gridSpan w:val="2"/>
            <w:tcBorders>
              <w:top w:val="single" w:sz="4" w:space="0" w:color="auto"/>
              <w:bottom w:val="single" w:sz="4" w:space="0" w:color="auto"/>
            </w:tcBorders>
            <w:vAlign w:val="center"/>
          </w:tcPr>
          <w:p w14:paraId="5CA55A5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Nox-T3 (Nox Medical, Reykjavik, Iceland)</w:t>
            </w:r>
          </w:p>
        </w:tc>
        <w:tc>
          <w:tcPr>
            <w:tcW w:w="1134" w:type="dxa"/>
            <w:tcBorders>
              <w:top w:val="single" w:sz="4" w:space="0" w:color="auto"/>
              <w:bottom w:val="single" w:sz="4" w:space="0" w:color="auto"/>
            </w:tcBorders>
            <w:vAlign w:val="center"/>
          </w:tcPr>
          <w:p w14:paraId="4E86ECB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disordered breathing</w:t>
            </w:r>
          </w:p>
        </w:tc>
        <w:tc>
          <w:tcPr>
            <w:tcW w:w="1985" w:type="dxa"/>
            <w:tcBorders>
              <w:top w:val="single" w:sz="4" w:space="0" w:color="auto"/>
              <w:bottom w:val="single" w:sz="4" w:space="0" w:color="auto"/>
            </w:tcBorders>
            <w:vAlign w:val="center"/>
          </w:tcPr>
          <w:p w14:paraId="2933C25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evaluate the portable monitor in diagnosing sleep disordered breathing.</w:t>
            </w:r>
          </w:p>
        </w:tc>
        <w:tc>
          <w:tcPr>
            <w:tcW w:w="3541" w:type="dxa"/>
            <w:tcBorders>
              <w:top w:val="single" w:sz="4" w:space="0" w:color="auto"/>
              <w:bottom w:val="single" w:sz="4" w:space="0" w:color="auto"/>
            </w:tcBorders>
            <w:vAlign w:val="center"/>
          </w:tcPr>
          <w:p w14:paraId="41B303E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84 adults with chronic heart failure. </w:t>
            </w:r>
            <w:r w:rsidRPr="00523AB6">
              <w:rPr>
                <w:rFonts w:ascii="Calibri" w:hAnsi="Calibri" w:cs="Calibri"/>
                <w:lang w:val="en-GB"/>
              </w:rPr>
              <w:t xml:space="preserve">Participants were monitored at home for one night. Another measurement was conducted with both PSG and the portable monitor in the laboratory.  </w:t>
            </w:r>
          </w:p>
        </w:tc>
        <w:tc>
          <w:tcPr>
            <w:tcW w:w="3261" w:type="dxa"/>
            <w:tcBorders>
              <w:top w:val="single" w:sz="4" w:space="0" w:color="auto"/>
              <w:bottom w:val="single" w:sz="4" w:space="0" w:color="auto"/>
            </w:tcBorders>
            <w:vAlign w:val="center"/>
          </w:tcPr>
          <w:p w14:paraId="0BA9AAA2" w14:textId="77777777" w:rsidR="005A499B" w:rsidRPr="00523AB6" w:rsidRDefault="005A499B" w:rsidP="007E42ED">
            <w:pPr>
              <w:spacing w:after="0"/>
              <w:rPr>
                <w:rFonts w:ascii="Calibri" w:hAnsi="Calibri" w:cs="Calibri"/>
                <w:lang w:val="en-US"/>
              </w:rPr>
            </w:pPr>
            <w:r w:rsidRPr="00523AB6">
              <w:rPr>
                <w:rFonts w:ascii="Calibri" w:hAnsi="Calibri" w:cs="Calibri" w:hint="eastAsia"/>
                <w:lang w:val="en-US"/>
              </w:rPr>
              <w:t>Diagnos</w:t>
            </w:r>
            <w:r w:rsidRPr="00523AB6">
              <w:rPr>
                <w:rFonts w:ascii="Calibri" w:hAnsi="Calibri" w:cs="Calibri"/>
                <w:lang w:val="en-US"/>
              </w:rPr>
              <w:t>ing</w:t>
            </w:r>
            <w:r w:rsidRPr="00523AB6">
              <w:rPr>
                <w:rFonts w:ascii="Calibri" w:hAnsi="Calibri" w:cs="Calibri" w:hint="eastAsia"/>
                <w:lang w:val="en-US"/>
              </w:rPr>
              <w:t xml:space="preserve"> sleep disordered breathing at </w:t>
            </w:r>
            <w:r w:rsidRPr="00523AB6">
              <w:rPr>
                <w:rFonts w:ascii="Times New Roman" w:hAnsi="Times New Roman" w:cs="Times New Roman"/>
                <w:lang w:val="en-US"/>
              </w:rPr>
              <w:t>≥</w:t>
            </w:r>
            <w:r w:rsidRPr="00523AB6">
              <w:rPr>
                <w:rFonts w:ascii="Calibri" w:hAnsi="Calibri" w:cs="Calibri" w:hint="eastAsia"/>
                <w:lang w:val="en-US"/>
              </w:rPr>
              <w:t xml:space="preserve"> 5 </w:t>
            </w:r>
            <w:r w:rsidRPr="00523AB6">
              <w:rPr>
                <w:rFonts w:ascii="Calibri" w:hAnsi="Calibri" w:cs="Calibri"/>
                <w:lang w:val="en-US"/>
              </w:rPr>
              <w:t>AHI</w:t>
            </w:r>
            <w:r w:rsidRPr="00523AB6">
              <w:rPr>
                <w:rFonts w:ascii="Calibri" w:hAnsi="Calibri" w:cs="Calibri" w:hint="eastAsia"/>
                <w:lang w:val="en-US"/>
              </w:rPr>
              <w:t xml:space="preserve"> events per hour</w:t>
            </w:r>
            <w:r w:rsidRPr="00523AB6">
              <w:rPr>
                <w:rFonts w:ascii="Calibri" w:hAnsi="Calibri" w:cs="Calibri"/>
                <w:lang w:val="en-US"/>
              </w:rPr>
              <w:t>:</w:t>
            </w:r>
            <w:r w:rsidRPr="00523AB6">
              <w:rPr>
                <w:rFonts w:ascii="Calibri" w:hAnsi="Calibri" w:cs="Calibri" w:hint="eastAsia"/>
                <w:lang w:val="en-US"/>
              </w:rPr>
              <w:t xml:space="preserve">  8</w:t>
            </w:r>
            <w:r w:rsidRPr="00523AB6">
              <w:rPr>
                <w:rFonts w:ascii="Calibri" w:hAnsi="Calibri" w:cs="Calibri"/>
                <w:lang w:val="en-US"/>
              </w:rPr>
              <w:t>7</w:t>
            </w:r>
            <w:r w:rsidRPr="00523AB6">
              <w:rPr>
                <w:rFonts w:ascii="Calibri" w:hAnsi="Calibri" w:cs="Calibri" w:hint="eastAsia"/>
                <w:lang w:val="en-US"/>
              </w:rPr>
              <w:t>% sensitivity, 7</w:t>
            </w:r>
            <w:r w:rsidRPr="00523AB6">
              <w:rPr>
                <w:rFonts w:ascii="Calibri" w:hAnsi="Calibri" w:cs="Calibri"/>
                <w:lang w:val="en-US"/>
              </w:rPr>
              <w:t>7</w:t>
            </w:r>
            <w:r w:rsidRPr="00523AB6">
              <w:rPr>
                <w:rFonts w:ascii="Calibri" w:hAnsi="Calibri" w:cs="Calibri" w:hint="eastAsia"/>
                <w:lang w:val="en-US"/>
              </w:rPr>
              <w:t xml:space="preserve">% specificity. </w:t>
            </w:r>
          </w:p>
          <w:p w14:paraId="0703CA0B" w14:textId="77777777" w:rsidR="005A499B" w:rsidRPr="00523AB6" w:rsidRDefault="005A499B" w:rsidP="007E42ED">
            <w:pPr>
              <w:spacing w:after="0"/>
              <w:rPr>
                <w:rFonts w:ascii="Calibri" w:hAnsi="Calibri" w:cs="Calibri"/>
                <w:lang w:val="en-US"/>
              </w:rPr>
            </w:pPr>
            <w:r w:rsidRPr="00523AB6">
              <w:rPr>
                <w:rFonts w:ascii="Calibri" w:hAnsi="Calibri" w:cs="Calibri" w:hint="eastAsia"/>
                <w:lang w:val="en-US"/>
              </w:rPr>
              <w:t>Detecti</w:t>
            </w:r>
            <w:r w:rsidRPr="00523AB6">
              <w:rPr>
                <w:rFonts w:ascii="Calibri" w:hAnsi="Calibri" w:cs="Calibri"/>
                <w:lang w:val="en-US"/>
              </w:rPr>
              <w:t>ng</w:t>
            </w:r>
            <w:r w:rsidRPr="00523AB6">
              <w:rPr>
                <w:rFonts w:ascii="Calibri" w:hAnsi="Calibri" w:cs="Calibri" w:hint="eastAsia"/>
                <w:lang w:val="en-US"/>
              </w:rPr>
              <w:t xml:space="preserve"> of Cheyne-Stokes respiration</w:t>
            </w:r>
            <w:r w:rsidRPr="00523AB6">
              <w:rPr>
                <w:rFonts w:ascii="Calibri" w:hAnsi="Calibri" w:cs="Calibri"/>
                <w:lang w:val="en-US"/>
              </w:rPr>
              <w:t>:</w:t>
            </w:r>
            <w:r w:rsidRPr="00523AB6">
              <w:rPr>
                <w:rFonts w:ascii="Calibri" w:hAnsi="Calibri" w:cs="Calibri" w:hint="eastAsia"/>
                <w:lang w:val="en-US"/>
              </w:rPr>
              <w:t xml:space="preserve"> </w:t>
            </w:r>
            <w:r w:rsidRPr="00523AB6">
              <w:rPr>
                <w:rFonts w:ascii="Calibri" w:hAnsi="Calibri" w:cs="Calibri"/>
                <w:lang w:val="en-US"/>
              </w:rPr>
              <w:t>95%</w:t>
            </w:r>
            <w:r w:rsidRPr="00523AB6">
              <w:rPr>
                <w:rFonts w:ascii="Calibri" w:hAnsi="Calibri" w:cs="Calibri" w:hint="eastAsia"/>
                <w:lang w:val="en-US"/>
              </w:rPr>
              <w:t xml:space="preserve"> sensitivity, 91% specificity</w:t>
            </w:r>
            <w:r w:rsidRPr="00523AB6">
              <w:rPr>
                <w:rFonts w:ascii="Calibri" w:hAnsi="Calibri" w:cs="Calibri"/>
                <w:lang w:val="en-US"/>
              </w:rPr>
              <w:t>, compared to PSG.</w:t>
            </w:r>
          </w:p>
        </w:tc>
      </w:tr>
      <w:tr w:rsidR="005A499B" w:rsidRPr="005A499B" w14:paraId="2C83E56A"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14CF20D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To</w:t>
            </w:r>
          </w:p>
        </w:tc>
        <w:tc>
          <w:tcPr>
            <w:tcW w:w="708" w:type="dxa"/>
            <w:tcBorders>
              <w:top w:val="single" w:sz="4" w:space="0" w:color="auto"/>
              <w:bottom w:val="single" w:sz="4" w:space="0" w:color="auto"/>
            </w:tcBorders>
            <w:noWrap/>
            <w:vAlign w:val="center"/>
          </w:tcPr>
          <w:p w14:paraId="692ADE5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2CA0CFC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w:t>
            </w:r>
          </w:p>
        </w:tc>
        <w:tc>
          <w:tcPr>
            <w:tcW w:w="1449" w:type="dxa"/>
            <w:gridSpan w:val="2"/>
            <w:tcBorders>
              <w:top w:val="single" w:sz="4" w:space="0" w:color="auto"/>
              <w:bottom w:val="single" w:sz="4" w:space="0" w:color="auto"/>
            </w:tcBorders>
            <w:vAlign w:val="center"/>
          </w:tcPr>
          <w:p w14:paraId="3050D2A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Nox-T3 (Nox Medical, Reykjavik, Iceland)</w:t>
            </w:r>
          </w:p>
        </w:tc>
        <w:tc>
          <w:tcPr>
            <w:tcW w:w="1134" w:type="dxa"/>
            <w:tcBorders>
              <w:top w:val="single" w:sz="4" w:space="0" w:color="auto"/>
              <w:bottom w:val="single" w:sz="4" w:space="0" w:color="auto"/>
            </w:tcBorders>
            <w:vAlign w:val="center"/>
          </w:tcPr>
          <w:p w14:paraId="27AE08B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5A912939"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test the reliability of Nox-T3 in diagnosing sleep apnea in people with major diseases.</w:t>
            </w:r>
          </w:p>
        </w:tc>
        <w:tc>
          <w:tcPr>
            <w:tcW w:w="3541" w:type="dxa"/>
            <w:tcBorders>
              <w:top w:val="single" w:sz="4" w:space="0" w:color="auto"/>
              <w:bottom w:val="single" w:sz="4" w:space="0" w:color="auto"/>
            </w:tcBorders>
            <w:vAlign w:val="center"/>
          </w:tcPr>
          <w:p w14:paraId="0DE75A4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74 adults with psychiatric illnesses, stroke, ischemic heart diseases, chronic kidney diseases or other major diseases, suspected of having obstructive sleep apnea. Participants were simultaneously monitored by standard PSG and Nox-T3 overnight for at least four hours in the hospital.</w:t>
            </w:r>
          </w:p>
        </w:tc>
        <w:tc>
          <w:tcPr>
            <w:tcW w:w="3261" w:type="dxa"/>
            <w:tcBorders>
              <w:top w:val="single" w:sz="4" w:space="0" w:color="auto"/>
              <w:bottom w:val="single" w:sz="4" w:space="0" w:color="auto"/>
            </w:tcBorders>
            <w:vAlign w:val="center"/>
          </w:tcPr>
          <w:p w14:paraId="7F7E54B0"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Nox-T3 respiratory event index was significantly lower than the PSG AHI. Nox-T3 can reliably diagnose obstructive sleep apnea, but can underestimated the severity.</w:t>
            </w:r>
          </w:p>
        </w:tc>
      </w:tr>
      <w:tr w:rsidR="005A499B" w:rsidRPr="005A499B" w14:paraId="26001A5B"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B04E88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Xu</w:t>
            </w:r>
          </w:p>
        </w:tc>
        <w:tc>
          <w:tcPr>
            <w:tcW w:w="708" w:type="dxa"/>
            <w:tcBorders>
              <w:top w:val="single" w:sz="4" w:space="0" w:color="auto"/>
              <w:bottom w:val="single" w:sz="4" w:space="0" w:color="auto"/>
            </w:tcBorders>
            <w:noWrap/>
            <w:vAlign w:val="center"/>
          </w:tcPr>
          <w:p w14:paraId="665A494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2017</w:t>
            </w:r>
          </w:p>
        </w:tc>
        <w:tc>
          <w:tcPr>
            <w:tcW w:w="819" w:type="dxa"/>
            <w:tcBorders>
              <w:top w:val="single" w:sz="4" w:space="0" w:color="auto"/>
              <w:bottom w:val="single" w:sz="4" w:space="0" w:color="auto"/>
            </w:tcBorders>
            <w:noWrap/>
            <w:vAlign w:val="center"/>
          </w:tcPr>
          <w:p w14:paraId="30BA23C0"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w:t>
            </w:r>
          </w:p>
        </w:tc>
        <w:tc>
          <w:tcPr>
            <w:tcW w:w="1449" w:type="dxa"/>
            <w:gridSpan w:val="2"/>
            <w:tcBorders>
              <w:top w:val="single" w:sz="4" w:space="0" w:color="auto"/>
              <w:bottom w:val="single" w:sz="4" w:space="0" w:color="auto"/>
            </w:tcBorders>
            <w:vAlign w:val="center"/>
          </w:tcPr>
          <w:p w14:paraId="6FFA595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Nox-T3 (Nox Medical, Reykjavik, Iceland)</w:t>
            </w:r>
          </w:p>
        </w:tc>
        <w:tc>
          <w:tcPr>
            <w:tcW w:w="1134" w:type="dxa"/>
            <w:tcBorders>
              <w:top w:val="single" w:sz="4" w:space="0" w:color="auto"/>
              <w:bottom w:val="single" w:sz="4" w:space="0" w:color="auto"/>
            </w:tcBorders>
            <w:vAlign w:val="center"/>
          </w:tcPr>
          <w:p w14:paraId="72430BB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1126527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validate the portable monitor in the diagnosis of sleep apnea.</w:t>
            </w:r>
          </w:p>
        </w:tc>
        <w:tc>
          <w:tcPr>
            <w:tcW w:w="3541" w:type="dxa"/>
            <w:tcBorders>
              <w:top w:val="single" w:sz="4" w:space="0" w:color="auto"/>
              <w:bottom w:val="single" w:sz="4" w:space="0" w:color="auto"/>
            </w:tcBorders>
            <w:vAlign w:val="center"/>
          </w:tcPr>
          <w:p w14:paraId="06365C00"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80 adults. </w:t>
            </w:r>
            <w:r w:rsidRPr="00523AB6">
              <w:rPr>
                <w:rFonts w:ascii="Calibri" w:hAnsi="Calibri" w:cs="Calibri"/>
                <w:lang w:val="en-GB"/>
              </w:rPr>
              <w:t xml:space="preserve"> Participants were monitored at home for one night. Another measurement was conducted with both PSG and the portable monitor in the laboratory.  </w:t>
            </w:r>
          </w:p>
        </w:tc>
        <w:tc>
          <w:tcPr>
            <w:tcW w:w="3261" w:type="dxa"/>
            <w:tcBorders>
              <w:top w:val="single" w:sz="4" w:space="0" w:color="auto"/>
              <w:bottom w:val="single" w:sz="4" w:space="0" w:color="auto"/>
            </w:tcBorders>
            <w:vAlign w:val="center"/>
          </w:tcPr>
          <w:p w14:paraId="6E742B6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A</w:t>
            </w:r>
            <w:r w:rsidRPr="00523AB6">
              <w:rPr>
                <w:rFonts w:ascii="Calibri" w:hAnsi="Calibri" w:cs="Calibri" w:hint="eastAsia"/>
                <w:lang w:val="en-US"/>
              </w:rPr>
              <w:t xml:space="preserve">t </w:t>
            </w:r>
            <w:r w:rsidRPr="00523AB6">
              <w:rPr>
                <w:rFonts w:ascii="Times New Roman" w:hAnsi="Times New Roman" w:cs="Times New Roman"/>
                <w:lang w:val="en-US"/>
              </w:rPr>
              <w:t>≥</w:t>
            </w:r>
            <w:r w:rsidRPr="00523AB6">
              <w:rPr>
                <w:rFonts w:ascii="Calibri" w:hAnsi="Calibri" w:cs="Calibri" w:hint="eastAsia"/>
                <w:lang w:val="en-US"/>
              </w:rPr>
              <w:t xml:space="preserve"> 5 </w:t>
            </w:r>
            <w:r w:rsidRPr="00523AB6">
              <w:rPr>
                <w:rFonts w:ascii="Calibri" w:hAnsi="Calibri" w:cs="Calibri"/>
                <w:lang w:val="en-US"/>
              </w:rPr>
              <w:t xml:space="preserve">AHI </w:t>
            </w:r>
            <w:r w:rsidRPr="00523AB6">
              <w:rPr>
                <w:rFonts w:ascii="Calibri" w:hAnsi="Calibri" w:cs="Calibri" w:hint="eastAsia"/>
                <w:lang w:val="en-US"/>
              </w:rPr>
              <w:t>events per hour</w:t>
            </w:r>
            <w:r w:rsidRPr="00523AB6">
              <w:rPr>
                <w:rFonts w:ascii="Calibri" w:hAnsi="Calibri" w:cs="Calibri"/>
                <w:lang w:val="en-US"/>
              </w:rPr>
              <w:t xml:space="preserve">: </w:t>
            </w:r>
            <w:r w:rsidRPr="00523AB6">
              <w:rPr>
                <w:rFonts w:ascii="Calibri" w:hAnsi="Calibri" w:cs="Calibri" w:hint="eastAsia"/>
                <w:lang w:val="en-US"/>
              </w:rPr>
              <w:t xml:space="preserve">95% sensitivity, 69% specificity. </w:t>
            </w:r>
          </w:p>
          <w:p w14:paraId="79B1686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A</w:t>
            </w:r>
            <w:r w:rsidRPr="00523AB6">
              <w:rPr>
                <w:rFonts w:ascii="Calibri" w:hAnsi="Calibri" w:cs="Calibri" w:hint="eastAsia"/>
                <w:lang w:val="en-US"/>
              </w:rPr>
              <w:t xml:space="preserve">t </w:t>
            </w:r>
            <w:r w:rsidRPr="00523AB6">
              <w:rPr>
                <w:rFonts w:ascii="Times New Roman" w:hAnsi="Times New Roman" w:cs="Times New Roman"/>
                <w:lang w:val="en-US"/>
              </w:rPr>
              <w:t>≥</w:t>
            </w:r>
            <w:r w:rsidRPr="00523AB6">
              <w:rPr>
                <w:rFonts w:ascii="Calibri" w:hAnsi="Calibri" w:cs="Calibri" w:hint="eastAsia"/>
                <w:lang w:val="en-US"/>
              </w:rPr>
              <w:t xml:space="preserve"> 15 </w:t>
            </w:r>
            <w:r w:rsidRPr="00523AB6">
              <w:rPr>
                <w:rFonts w:ascii="Calibri" w:hAnsi="Calibri" w:cs="Calibri"/>
                <w:lang w:val="en-US"/>
              </w:rPr>
              <w:t>AHI e</w:t>
            </w:r>
            <w:r w:rsidRPr="00523AB6">
              <w:rPr>
                <w:rFonts w:ascii="Calibri" w:hAnsi="Calibri" w:cs="Calibri" w:hint="eastAsia"/>
                <w:lang w:val="en-US"/>
              </w:rPr>
              <w:t>vents per hour</w:t>
            </w:r>
            <w:r w:rsidRPr="00523AB6">
              <w:rPr>
                <w:rFonts w:ascii="Calibri" w:hAnsi="Calibri" w:cs="Calibri"/>
                <w:lang w:val="en-US"/>
              </w:rPr>
              <w:t xml:space="preserve">: </w:t>
            </w:r>
            <w:r w:rsidRPr="00523AB6">
              <w:rPr>
                <w:rFonts w:ascii="Calibri" w:hAnsi="Calibri" w:cs="Calibri" w:hint="eastAsia"/>
                <w:lang w:val="en-US"/>
              </w:rPr>
              <w:t>93% sensitivity, 85% specificity</w:t>
            </w:r>
            <w:r w:rsidRPr="00523AB6">
              <w:rPr>
                <w:rFonts w:ascii="Calibri" w:hAnsi="Calibri" w:cs="Calibri"/>
                <w:lang w:val="en-US"/>
              </w:rPr>
              <w:t>, compared to standard PSG</w:t>
            </w:r>
          </w:p>
        </w:tc>
      </w:tr>
      <w:tr w:rsidR="005A499B" w:rsidRPr="005A499B" w14:paraId="3B4EA193"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CFFD92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Wang</w:t>
            </w:r>
          </w:p>
        </w:tc>
        <w:tc>
          <w:tcPr>
            <w:tcW w:w="708" w:type="dxa"/>
            <w:tcBorders>
              <w:top w:val="single" w:sz="4" w:space="0" w:color="auto"/>
              <w:bottom w:val="single" w:sz="4" w:space="0" w:color="auto"/>
            </w:tcBorders>
            <w:noWrap/>
            <w:vAlign w:val="center"/>
          </w:tcPr>
          <w:p w14:paraId="2E3B24B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2015</w:t>
            </w:r>
          </w:p>
        </w:tc>
        <w:tc>
          <w:tcPr>
            <w:tcW w:w="819" w:type="dxa"/>
            <w:tcBorders>
              <w:top w:val="single" w:sz="4" w:space="0" w:color="auto"/>
              <w:bottom w:val="single" w:sz="4" w:space="0" w:color="auto"/>
            </w:tcBorders>
            <w:noWrap/>
            <w:vAlign w:val="center"/>
          </w:tcPr>
          <w:p w14:paraId="2DFCF92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w:t>
            </w:r>
          </w:p>
        </w:tc>
        <w:tc>
          <w:tcPr>
            <w:tcW w:w="1449" w:type="dxa"/>
            <w:gridSpan w:val="2"/>
            <w:tcBorders>
              <w:top w:val="single" w:sz="4" w:space="0" w:color="auto"/>
              <w:bottom w:val="single" w:sz="4" w:space="0" w:color="auto"/>
            </w:tcBorders>
            <w:vAlign w:val="center"/>
          </w:tcPr>
          <w:p w14:paraId="5CEFBB4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Oximeter (Konica Minolta, Japan)</w:t>
            </w:r>
          </w:p>
        </w:tc>
        <w:tc>
          <w:tcPr>
            <w:tcW w:w="1134" w:type="dxa"/>
            <w:tcBorders>
              <w:top w:val="single" w:sz="4" w:space="0" w:color="auto"/>
              <w:bottom w:val="single" w:sz="4" w:space="0" w:color="auto"/>
            </w:tcBorders>
            <w:vAlign w:val="center"/>
          </w:tcPr>
          <w:p w14:paraId="73F0E97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7C393D10"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evaluate the use of oximeter in diagnosing obstructive sleep apnea.</w:t>
            </w:r>
          </w:p>
        </w:tc>
        <w:tc>
          <w:tcPr>
            <w:tcW w:w="3541" w:type="dxa"/>
            <w:tcBorders>
              <w:top w:val="single" w:sz="4" w:space="0" w:color="auto"/>
              <w:bottom w:val="single" w:sz="4" w:space="0" w:color="auto"/>
            </w:tcBorders>
            <w:vAlign w:val="center"/>
          </w:tcPr>
          <w:p w14:paraId="3AE88FEA"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244 patients with obstructive sleep apnea hypopnea syndrome in the hospital. Participants were monitored overnight with both an oximeter and a full PSG.</w:t>
            </w:r>
          </w:p>
        </w:tc>
        <w:tc>
          <w:tcPr>
            <w:tcW w:w="3261" w:type="dxa"/>
            <w:tcBorders>
              <w:top w:val="single" w:sz="4" w:space="0" w:color="auto"/>
              <w:bottom w:val="single" w:sz="4" w:space="0" w:color="auto"/>
            </w:tcBorders>
            <w:vAlign w:val="center"/>
          </w:tcPr>
          <w:p w14:paraId="06E5DCA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Oximeter demonstrated a sensitivity of 68% and a specificity of 73% in diagnosing obstructive sleep apnea hypopnea syndrome, compared with PSG.</w:t>
            </w:r>
          </w:p>
        </w:tc>
      </w:tr>
      <w:tr w:rsidR="005A499B" w:rsidRPr="005A499B" w14:paraId="4A6F03F2"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2995300"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lastRenderedPageBreak/>
              <w:t>Chang</w:t>
            </w:r>
          </w:p>
        </w:tc>
        <w:tc>
          <w:tcPr>
            <w:tcW w:w="708" w:type="dxa"/>
            <w:tcBorders>
              <w:top w:val="single" w:sz="4" w:space="0" w:color="auto"/>
              <w:bottom w:val="single" w:sz="4" w:space="0" w:color="auto"/>
            </w:tcBorders>
            <w:noWrap/>
            <w:vAlign w:val="center"/>
          </w:tcPr>
          <w:p w14:paraId="5F12159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2019</w:t>
            </w:r>
          </w:p>
        </w:tc>
        <w:tc>
          <w:tcPr>
            <w:tcW w:w="819" w:type="dxa"/>
            <w:tcBorders>
              <w:top w:val="single" w:sz="4" w:space="0" w:color="auto"/>
              <w:bottom w:val="single" w:sz="4" w:space="0" w:color="auto"/>
            </w:tcBorders>
            <w:noWrap/>
            <w:vAlign w:val="center"/>
          </w:tcPr>
          <w:p w14:paraId="53D345F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China, USA</w:t>
            </w:r>
          </w:p>
        </w:tc>
        <w:tc>
          <w:tcPr>
            <w:tcW w:w="1449" w:type="dxa"/>
            <w:gridSpan w:val="2"/>
            <w:tcBorders>
              <w:top w:val="single" w:sz="4" w:space="0" w:color="auto"/>
              <w:bottom w:val="single" w:sz="4" w:space="0" w:color="auto"/>
            </w:tcBorders>
            <w:vAlign w:val="center"/>
          </w:tcPr>
          <w:p w14:paraId="6B2F846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PM, Nox-T3 (Nox Medical, Reykjavik, Iceland)</w:t>
            </w:r>
          </w:p>
        </w:tc>
        <w:tc>
          <w:tcPr>
            <w:tcW w:w="1134" w:type="dxa"/>
            <w:tcBorders>
              <w:top w:val="single" w:sz="4" w:space="0" w:color="auto"/>
              <w:bottom w:val="single" w:sz="4" w:space="0" w:color="auto"/>
            </w:tcBorders>
            <w:vAlign w:val="center"/>
          </w:tcPr>
          <w:p w14:paraId="18F6FFF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hAnsi="Calibri" w:cs="Calibri"/>
                <w:lang w:val="en-GB"/>
              </w:rPr>
              <w:t>Sleep -apnea</w:t>
            </w:r>
          </w:p>
        </w:tc>
        <w:tc>
          <w:tcPr>
            <w:tcW w:w="1985" w:type="dxa"/>
            <w:tcBorders>
              <w:top w:val="single" w:sz="4" w:space="0" w:color="auto"/>
              <w:bottom w:val="single" w:sz="4" w:space="0" w:color="auto"/>
            </w:tcBorders>
            <w:vAlign w:val="center"/>
          </w:tcPr>
          <w:p w14:paraId="56C68883"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To evaluate a portable monitor in diagnosing obstructive sleep apnea.</w:t>
            </w:r>
          </w:p>
        </w:tc>
        <w:tc>
          <w:tcPr>
            <w:tcW w:w="3541" w:type="dxa"/>
            <w:tcBorders>
              <w:top w:val="single" w:sz="4" w:space="0" w:color="auto"/>
              <w:bottom w:val="single" w:sz="4" w:space="0" w:color="auto"/>
            </w:tcBorders>
            <w:vAlign w:val="center"/>
          </w:tcPr>
          <w:p w14:paraId="196FE501"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Quantitative cross-sectional study with 90 adults with</w:t>
            </w:r>
            <w:r w:rsidRPr="00523AB6">
              <w:rPr>
                <w:lang w:val="en-US"/>
              </w:rPr>
              <w:t xml:space="preserve"> </w:t>
            </w:r>
            <w:r w:rsidRPr="00523AB6">
              <w:rPr>
                <w:rFonts w:ascii="Calibri" w:hAnsi="Calibri" w:cs="Calibri"/>
                <w:lang w:val="en-GB"/>
              </w:rPr>
              <w:t xml:space="preserve">chronic obstructive pulmonary disease. Participants were monitored at home for one night. Another measurement was conducted with both PSG and the portable monitor in the laboratory.  </w:t>
            </w:r>
          </w:p>
        </w:tc>
        <w:tc>
          <w:tcPr>
            <w:tcW w:w="3261" w:type="dxa"/>
            <w:tcBorders>
              <w:top w:val="single" w:sz="4" w:space="0" w:color="auto"/>
              <w:bottom w:val="single" w:sz="4" w:space="0" w:color="auto"/>
            </w:tcBorders>
            <w:vAlign w:val="center"/>
          </w:tcPr>
          <w:p w14:paraId="74B121EA"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95% sensitivity and 78% specificity in diagnosing obstructive sleep apnea compared to a standard PSG.</w:t>
            </w:r>
          </w:p>
        </w:tc>
      </w:tr>
      <w:tr w:rsidR="005A499B" w:rsidRPr="005A499B" w14:paraId="48727C02"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1FF7312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Alvarez</w:t>
            </w:r>
          </w:p>
        </w:tc>
        <w:tc>
          <w:tcPr>
            <w:tcW w:w="708" w:type="dxa"/>
            <w:tcBorders>
              <w:top w:val="single" w:sz="4" w:space="0" w:color="auto"/>
              <w:bottom w:val="single" w:sz="4" w:space="0" w:color="auto"/>
            </w:tcBorders>
            <w:noWrap/>
            <w:vAlign w:val="center"/>
          </w:tcPr>
          <w:p w14:paraId="6925A7F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2017</w:t>
            </w:r>
          </w:p>
        </w:tc>
        <w:tc>
          <w:tcPr>
            <w:tcW w:w="819" w:type="dxa"/>
            <w:tcBorders>
              <w:top w:val="single" w:sz="4" w:space="0" w:color="auto"/>
              <w:bottom w:val="single" w:sz="4" w:space="0" w:color="auto"/>
            </w:tcBorders>
            <w:noWrap/>
            <w:vAlign w:val="center"/>
          </w:tcPr>
          <w:p w14:paraId="64AA9AA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Spain</w:t>
            </w:r>
          </w:p>
        </w:tc>
        <w:tc>
          <w:tcPr>
            <w:tcW w:w="1449" w:type="dxa"/>
            <w:gridSpan w:val="2"/>
            <w:tcBorders>
              <w:top w:val="single" w:sz="4" w:space="0" w:color="auto"/>
              <w:bottom w:val="single" w:sz="4" w:space="0" w:color="auto"/>
            </w:tcBorders>
            <w:vAlign w:val="center"/>
          </w:tcPr>
          <w:p w14:paraId="7FFC01A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t>Reslink</w:t>
            </w:r>
            <w:r w:rsidRPr="00523AB6">
              <w:rPr>
                <w:rFonts w:ascii="Calibri" w:eastAsia="Times New Roman" w:hAnsi="Calibri" w:cs="Calibri"/>
                <w:vertAlign w:val="superscript"/>
                <w:lang w:val="en-GB"/>
              </w:rPr>
              <w:t>TM</w:t>
            </w:r>
            <w:r w:rsidRPr="00523AB6">
              <w:rPr>
                <w:rFonts w:ascii="Calibri" w:eastAsia="Times New Roman" w:hAnsi="Calibri" w:cs="Calibri"/>
                <w:lang w:val="en-GB"/>
              </w:rPr>
              <w:t xml:space="preserve"> module (ResMed Inc. SanDiego, CA)</w:t>
            </w:r>
          </w:p>
        </w:tc>
        <w:tc>
          <w:tcPr>
            <w:tcW w:w="1134" w:type="dxa"/>
            <w:tcBorders>
              <w:top w:val="single" w:sz="4" w:space="0" w:color="auto"/>
              <w:bottom w:val="single" w:sz="4" w:space="0" w:color="auto"/>
            </w:tcBorders>
            <w:vAlign w:val="center"/>
          </w:tcPr>
          <w:p w14:paraId="01D7A58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hypopnea</w:t>
            </w:r>
          </w:p>
        </w:tc>
        <w:tc>
          <w:tcPr>
            <w:tcW w:w="1985" w:type="dxa"/>
            <w:tcBorders>
              <w:top w:val="single" w:sz="4" w:space="0" w:color="auto"/>
              <w:bottom w:val="single" w:sz="4" w:space="0" w:color="auto"/>
            </w:tcBorders>
            <w:vAlign w:val="center"/>
          </w:tcPr>
          <w:p w14:paraId="48F6FC3F"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To evaluate the reliability of the built-in software compared to ventilatory Polygraphy.</w:t>
            </w:r>
          </w:p>
        </w:tc>
        <w:tc>
          <w:tcPr>
            <w:tcW w:w="3541" w:type="dxa"/>
            <w:tcBorders>
              <w:top w:val="single" w:sz="4" w:space="0" w:color="auto"/>
              <w:bottom w:val="single" w:sz="4" w:space="0" w:color="auto"/>
            </w:tcBorders>
            <w:vAlign w:val="center"/>
          </w:tcPr>
          <w:p w14:paraId="4637D78D"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Quantitative cross-sectional study with 26 adults with stable obesity hypoventilation syndrome under nocturnal non-invasive ventilation. Participants were monitored at home for a full night.</w:t>
            </w:r>
          </w:p>
        </w:tc>
        <w:tc>
          <w:tcPr>
            <w:tcW w:w="3261" w:type="dxa"/>
            <w:tcBorders>
              <w:top w:val="single" w:sz="4" w:space="0" w:color="auto"/>
              <w:bottom w:val="single" w:sz="4" w:space="0" w:color="auto"/>
            </w:tcBorders>
            <w:vAlign w:val="center"/>
          </w:tcPr>
          <w:p w14:paraId="675524D2" w14:textId="77777777" w:rsidR="005A499B" w:rsidRPr="00523AB6" w:rsidRDefault="005A499B" w:rsidP="007E42ED">
            <w:pPr>
              <w:spacing w:after="0"/>
              <w:rPr>
                <w:rFonts w:ascii="Calibri" w:hAnsi="Calibri" w:cs="Calibri"/>
                <w:lang w:val="en-US"/>
              </w:rPr>
            </w:pPr>
            <w:r w:rsidRPr="00523AB6">
              <w:rPr>
                <w:rFonts w:ascii="Calibri" w:hAnsi="Calibri" w:cs="Calibri"/>
                <w:lang w:val="en-GB"/>
              </w:rPr>
              <w:t>The built-in analysis is reproducible and reliable to assess quality of non-invasive ventilation when compared with Polygraphy (</w:t>
            </w:r>
            <w:r w:rsidRPr="00523AB6">
              <w:rPr>
                <w:rFonts w:ascii="Calibri" w:hAnsi="Calibri" w:cs="Calibri"/>
                <w:i/>
                <w:iCs/>
                <w:lang w:val="en-GB"/>
              </w:rPr>
              <w:t>r</w:t>
            </w:r>
            <w:r w:rsidRPr="00523AB6">
              <w:rPr>
                <w:rFonts w:ascii="Calibri" w:hAnsi="Calibri" w:cs="Calibri"/>
                <w:vertAlign w:val="superscript"/>
                <w:lang w:val="en-GB"/>
              </w:rPr>
              <w:t>2</w:t>
            </w:r>
            <w:r w:rsidRPr="00523AB6">
              <w:rPr>
                <w:rFonts w:ascii="Calibri" w:hAnsi="Calibri" w:cs="Calibri"/>
                <w:lang w:val="en-GB"/>
              </w:rPr>
              <w:t xml:space="preserve"> = 0.71,  </w:t>
            </w:r>
            <w:r w:rsidRPr="00523AB6">
              <w:rPr>
                <w:rFonts w:ascii="Calibri" w:hAnsi="Calibri" w:cs="Calibri"/>
                <w:i/>
                <w:iCs/>
                <w:lang w:val="en-GB"/>
              </w:rPr>
              <w:t>p</w:t>
            </w:r>
            <w:r w:rsidRPr="00523AB6">
              <w:rPr>
                <w:rFonts w:ascii="Calibri" w:hAnsi="Calibri" w:cs="Calibri"/>
                <w:lang w:val="en-GB"/>
              </w:rPr>
              <w:t xml:space="preserve"> &lt; 0.001), but is less consistent than manual scoring.</w:t>
            </w:r>
          </w:p>
        </w:tc>
      </w:tr>
      <w:tr w:rsidR="005A499B" w:rsidRPr="005A499B" w14:paraId="3195A5A3"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B0C2BE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Ganglberger</w:t>
            </w:r>
          </w:p>
        </w:tc>
        <w:tc>
          <w:tcPr>
            <w:tcW w:w="708" w:type="dxa"/>
            <w:tcBorders>
              <w:top w:val="single" w:sz="4" w:space="0" w:color="auto"/>
              <w:bottom w:val="single" w:sz="4" w:space="0" w:color="auto"/>
            </w:tcBorders>
            <w:noWrap/>
            <w:vAlign w:val="center"/>
          </w:tcPr>
          <w:p w14:paraId="4CFCE1D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2022</w:t>
            </w:r>
          </w:p>
        </w:tc>
        <w:tc>
          <w:tcPr>
            <w:tcW w:w="819" w:type="dxa"/>
            <w:tcBorders>
              <w:top w:val="single" w:sz="4" w:space="0" w:color="auto"/>
              <w:bottom w:val="single" w:sz="4" w:space="0" w:color="auto"/>
            </w:tcBorders>
            <w:noWrap/>
            <w:vAlign w:val="center"/>
          </w:tcPr>
          <w:p w14:paraId="1C717D8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USA</w:t>
            </w:r>
          </w:p>
        </w:tc>
        <w:tc>
          <w:tcPr>
            <w:tcW w:w="1449" w:type="dxa"/>
            <w:gridSpan w:val="2"/>
            <w:tcBorders>
              <w:top w:val="single" w:sz="4" w:space="0" w:color="auto"/>
              <w:bottom w:val="single" w:sz="4" w:space="0" w:color="auto"/>
            </w:tcBorders>
            <w:vAlign w:val="center"/>
          </w:tcPr>
          <w:p w14:paraId="48E97E4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Respiration belt: AirGo (brand not reported), standard PSG: Natus System (brand not reported)</w:t>
            </w:r>
          </w:p>
        </w:tc>
        <w:tc>
          <w:tcPr>
            <w:tcW w:w="1134" w:type="dxa"/>
            <w:tcBorders>
              <w:top w:val="single" w:sz="4" w:space="0" w:color="auto"/>
              <w:bottom w:val="single" w:sz="4" w:space="0" w:color="auto"/>
            </w:tcBorders>
            <w:vAlign w:val="center"/>
          </w:tcPr>
          <w:p w14:paraId="409D782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hAnsi="Calibri" w:cs="Calibri"/>
                <w:lang w:val="en-GB"/>
              </w:rPr>
              <w:t>Sleep -apnea</w:t>
            </w:r>
          </w:p>
        </w:tc>
        <w:tc>
          <w:tcPr>
            <w:tcW w:w="1985" w:type="dxa"/>
            <w:tcBorders>
              <w:top w:val="single" w:sz="4" w:space="0" w:color="auto"/>
              <w:bottom w:val="single" w:sz="4" w:space="0" w:color="auto"/>
            </w:tcBorders>
            <w:vAlign w:val="center"/>
          </w:tcPr>
          <w:p w14:paraId="74164EC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develop an algorithm to detect sleep-related respiratory abnormalities measured by a wearable device.</w:t>
            </w:r>
          </w:p>
        </w:tc>
        <w:tc>
          <w:tcPr>
            <w:tcW w:w="3541" w:type="dxa"/>
            <w:tcBorders>
              <w:top w:val="single" w:sz="4" w:space="0" w:color="auto"/>
              <w:bottom w:val="single" w:sz="4" w:space="0" w:color="auto"/>
            </w:tcBorders>
            <w:vAlign w:val="center"/>
          </w:tcPr>
          <w:p w14:paraId="16D8D20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404 overweight adults. Participants were monitored with both devices for at least one night in the laboratory. </w:t>
            </w:r>
          </w:p>
        </w:tc>
        <w:tc>
          <w:tcPr>
            <w:tcW w:w="3261" w:type="dxa"/>
            <w:tcBorders>
              <w:top w:val="single" w:sz="4" w:space="0" w:color="auto"/>
              <w:bottom w:val="single" w:sz="4" w:space="0" w:color="auto"/>
            </w:tcBorders>
            <w:vAlign w:val="center"/>
          </w:tcPr>
          <w:p w14:paraId="16FE3721"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The AHI from the PSG, labeled by experts, correlated with those predicted by models using data from the respiration belt and oxygen saturation (</w:t>
            </w:r>
            <w:r w:rsidRPr="00523AB6">
              <w:rPr>
                <w:rFonts w:ascii="Calibri" w:hAnsi="Calibri" w:cs="Calibri"/>
                <w:i/>
                <w:iCs/>
                <w:lang w:val="en-US"/>
              </w:rPr>
              <w:t>r</w:t>
            </w:r>
            <w:r w:rsidRPr="00523AB6">
              <w:rPr>
                <w:rFonts w:ascii="Calibri" w:hAnsi="Calibri" w:cs="Calibri"/>
                <w:lang w:val="en-US"/>
              </w:rPr>
              <w:t xml:space="preserve"> = 0.96), respiration-only (</w:t>
            </w:r>
            <w:r w:rsidRPr="00523AB6">
              <w:rPr>
                <w:rFonts w:ascii="Calibri" w:hAnsi="Calibri" w:cs="Calibri"/>
                <w:i/>
                <w:iCs/>
                <w:lang w:val="en-US"/>
              </w:rPr>
              <w:t>r</w:t>
            </w:r>
            <w:r w:rsidRPr="00523AB6">
              <w:rPr>
                <w:rFonts w:ascii="Calibri" w:hAnsi="Calibri" w:cs="Calibri"/>
                <w:lang w:val="en-US"/>
              </w:rPr>
              <w:t xml:space="preserve"> = 0.78), and saturation only (</w:t>
            </w:r>
            <w:r w:rsidRPr="00523AB6">
              <w:rPr>
                <w:rFonts w:ascii="Calibri" w:hAnsi="Calibri" w:cs="Calibri"/>
                <w:i/>
                <w:iCs/>
                <w:lang w:val="en-US"/>
              </w:rPr>
              <w:t>r</w:t>
            </w:r>
            <w:r w:rsidRPr="00523AB6">
              <w:rPr>
                <w:rFonts w:ascii="Calibri" w:hAnsi="Calibri" w:cs="Calibri"/>
                <w:lang w:val="en-US"/>
              </w:rPr>
              <w:t xml:space="preserve"> = 0.93). The AUCs were 94%, 86%, and 82% for the receiver operating characteristic curves, and 48%, 32%, and 51% for the precision-recall curves.</w:t>
            </w:r>
          </w:p>
        </w:tc>
      </w:tr>
      <w:tr w:rsidR="005A499B" w:rsidRPr="005A499B" w14:paraId="1FD3E25C"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5001DF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Tedeschi</w:t>
            </w:r>
          </w:p>
        </w:tc>
        <w:tc>
          <w:tcPr>
            <w:tcW w:w="708" w:type="dxa"/>
            <w:tcBorders>
              <w:top w:val="single" w:sz="4" w:space="0" w:color="auto"/>
              <w:bottom w:val="single" w:sz="4" w:space="0" w:color="auto"/>
            </w:tcBorders>
            <w:noWrap/>
            <w:vAlign w:val="center"/>
          </w:tcPr>
          <w:p w14:paraId="008AEFC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2013</w:t>
            </w:r>
          </w:p>
        </w:tc>
        <w:tc>
          <w:tcPr>
            <w:tcW w:w="819" w:type="dxa"/>
            <w:tcBorders>
              <w:top w:val="single" w:sz="4" w:space="0" w:color="auto"/>
              <w:bottom w:val="single" w:sz="4" w:space="0" w:color="auto"/>
            </w:tcBorders>
            <w:noWrap/>
            <w:vAlign w:val="center"/>
          </w:tcPr>
          <w:p w14:paraId="6D1CF3E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Italy</w:t>
            </w:r>
          </w:p>
        </w:tc>
        <w:tc>
          <w:tcPr>
            <w:tcW w:w="1449" w:type="dxa"/>
            <w:gridSpan w:val="2"/>
            <w:tcBorders>
              <w:top w:val="single" w:sz="4" w:space="0" w:color="auto"/>
              <w:bottom w:val="single" w:sz="4" w:space="0" w:color="auto"/>
            </w:tcBorders>
            <w:vAlign w:val="center"/>
          </w:tcPr>
          <w:p w14:paraId="0AC63D5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Somtè PSG (Compumedics, Abbotsford, Victoria, Australia)</w:t>
            </w:r>
          </w:p>
        </w:tc>
        <w:tc>
          <w:tcPr>
            <w:tcW w:w="1134" w:type="dxa"/>
            <w:tcBorders>
              <w:top w:val="single" w:sz="4" w:space="0" w:color="auto"/>
              <w:bottom w:val="single" w:sz="4" w:space="0" w:color="auto"/>
            </w:tcBorders>
            <w:vAlign w:val="center"/>
          </w:tcPr>
          <w:p w14:paraId="722AFB4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75F5DA9B"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Compare home unattended portable monitoring and automatic </w:t>
            </w:r>
            <w:r w:rsidRPr="00523AB6">
              <w:rPr>
                <w:rFonts w:ascii="Calibri" w:hAnsi="Calibri" w:cs="Calibri"/>
                <w:lang w:val="en-US"/>
              </w:rPr>
              <w:lastRenderedPageBreak/>
              <w:t>continuous positive airway pressure titration to an attended in-laboratory program.</w:t>
            </w:r>
          </w:p>
        </w:tc>
        <w:tc>
          <w:tcPr>
            <w:tcW w:w="3541" w:type="dxa"/>
            <w:tcBorders>
              <w:top w:val="single" w:sz="4" w:space="0" w:color="auto"/>
              <w:bottom w:val="single" w:sz="4" w:space="0" w:color="auto"/>
            </w:tcBorders>
            <w:vAlign w:val="center"/>
          </w:tcPr>
          <w:p w14:paraId="73D05F0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 xml:space="preserve">Randomized controlled trial with 131 adults with high suspicion of obstructive sleep apnea. 66 participants received home </w:t>
            </w:r>
            <w:r w:rsidRPr="00523AB6">
              <w:rPr>
                <w:rFonts w:ascii="Calibri" w:hAnsi="Calibri" w:cs="Calibri"/>
                <w:lang w:val="en-US"/>
              </w:rPr>
              <w:lastRenderedPageBreak/>
              <w:t>monitoring and 65 received in-laboratory standard PSG.</w:t>
            </w:r>
          </w:p>
        </w:tc>
        <w:tc>
          <w:tcPr>
            <w:tcW w:w="3261" w:type="dxa"/>
            <w:tcBorders>
              <w:top w:val="single" w:sz="4" w:space="0" w:color="auto"/>
              <w:bottom w:val="single" w:sz="4" w:space="0" w:color="auto"/>
            </w:tcBorders>
            <w:vAlign w:val="center"/>
          </w:tcPr>
          <w:p w14:paraId="1BDA469E"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Reliability: 97% for the home portable monitoring. 2 out of 66 recordings had low quality.</w:t>
            </w:r>
          </w:p>
        </w:tc>
      </w:tr>
      <w:tr w:rsidR="005A499B" w:rsidRPr="005A499B" w14:paraId="7D51AFF4"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1E9F976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Polese</w:t>
            </w:r>
          </w:p>
        </w:tc>
        <w:tc>
          <w:tcPr>
            <w:tcW w:w="708" w:type="dxa"/>
            <w:tcBorders>
              <w:top w:val="single" w:sz="4" w:space="0" w:color="auto"/>
              <w:bottom w:val="single" w:sz="4" w:space="0" w:color="auto"/>
            </w:tcBorders>
            <w:noWrap/>
            <w:vAlign w:val="center"/>
          </w:tcPr>
          <w:p w14:paraId="6B80E65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2013</w:t>
            </w:r>
          </w:p>
        </w:tc>
        <w:tc>
          <w:tcPr>
            <w:tcW w:w="819" w:type="dxa"/>
            <w:tcBorders>
              <w:top w:val="single" w:sz="4" w:space="0" w:color="auto"/>
              <w:bottom w:val="single" w:sz="4" w:space="0" w:color="auto"/>
            </w:tcBorders>
            <w:noWrap/>
            <w:vAlign w:val="center"/>
          </w:tcPr>
          <w:p w14:paraId="4B10BAB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Brazil</w:t>
            </w:r>
          </w:p>
        </w:tc>
        <w:tc>
          <w:tcPr>
            <w:tcW w:w="1449" w:type="dxa"/>
            <w:gridSpan w:val="2"/>
            <w:tcBorders>
              <w:top w:val="single" w:sz="4" w:space="0" w:color="auto"/>
              <w:bottom w:val="single" w:sz="4" w:space="0" w:color="auto"/>
            </w:tcBorders>
            <w:vAlign w:val="center"/>
          </w:tcPr>
          <w:p w14:paraId="5BD70F83"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Stardust II® (Philips Respironics, Inc., Murrysville, PA, USA)</w:t>
            </w:r>
          </w:p>
        </w:tc>
        <w:tc>
          <w:tcPr>
            <w:tcW w:w="1134" w:type="dxa"/>
            <w:tcBorders>
              <w:top w:val="single" w:sz="4" w:space="0" w:color="auto"/>
              <w:bottom w:val="single" w:sz="4" w:space="0" w:color="auto"/>
            </w:tcBorders>
            <w:vAlign w:val="center"/>
          </w:tcPr>
          <w:p w14:paraId="647AEE0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5B0B644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evaluate the effectiveness of a type 3 portable monitor.</w:t>
            </w:r>
          </w:p>
        </w:tc>
        <w:tc>
          <w:tcPr>
            <w:tcW w:w="3541" w:type="dxa"/>
            <w:tcBorders>
              <w:top w:val="single" w:sz="4" w:space="0" w:color="auto"/>
              <w:bottom w:val="single" w:sz="4" w:space="0" w:color="auto"/>
            </w:tcBorders>
            <w:vAlign w:val="center"/>
          </w:tcPr>
          <w:p w14:paraId="5F12E5C9"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43 older participants. Sleep was assessed for two nights, one at home with the portable monitor (Stardust), the other at the hospital with Stardust and standard PSG.</w:t>
            </w:r>
          </w:p>
        </w:tc>
        <w:tc>
          <w:tcPr>
            <w:tcW w:w="3261" w:type="dxa"/>
            <w:tcBorders>
              <w:top w:val="single" w:sz="4" w:space="0" w:color="auto"/>
              <w:bottom w:val="single" w:sz="4" w:space="0" w:color="auto"/>
            </w:tcBorders>
            <w:vAlign w:val="center"/>
          </w:tcPr>
          <w:p w14:paraId="730642BB"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No difference in the apnea–hypopnea index values between the portable and standard PSG. </w:t>
            </w:r>
          </w:p>
          <w:p w14:paraId="523B03A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Good correlation between standard PSG and portable monitor (r=0.67) and the combination (r=0.84). </w:t>
            </w:r>
          </w:p>
          <w:p w14:paraId="3D082A7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The area under the receiver operator curve indicated good sensitivity and a positive predictive value for AHI with cutoffs of 5, 15, and 30 and good specificity and negative predictive value for AHI values above 15.</w:t>
            </w:r>
          </w:p>
        </w:tc>
      </w:tr>
      <w:tr w:rsidR="005A499B" w:rsidRPr="005A499B" w14:paraId="12D304AF"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41D8219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Lazazzera</w:t>
            </w:r>
          </w:p>
        </w:tc>
        <w:tc>
          <w:tcPr>
            <w:tcW w:w="708" w:type="dxa"/>
            <w:tcBorders>
              <w:top w:val="single" w:sz="4" w:space="0" w:color="auto"/>
              <w:bottom w:val="single" w:sz="4" w:space="0" w:color="auto"/>
            </w:tcBorders>
            <w:noWrap/>
            <w:vAlign w:val="center"/>
          </w:tcPr>
          <w:p w14:paraId="1B8DAB1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2022</w:t>
            </w:r>
          </w:p>
        </w:tc>
        <w:tc>
          <w:tcPr>
            <w:tcW w:w="819" w:type="dxa"/>
            <w:tcBorders>
              <w:top w:val="single" w:sz="4" w:space="0" w:color="auto"/>
              <w:bottom w:val="single" w:sz="4" w:space="0" w:color="auto"/>
            </w:tcBorders>
            <w:noWrap/>
            <w:vAlign w:val="center"/>
          </w:tcPr>
          <w:p w14:paraId="24E9A09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France</w:t>
            </w:r>
          </w:p>
        </w:tc>
        <w:tc>
          <w:tcPr>
            <w:tcW w:w="1449" w:type="dxa"/>
            <w:gridSpan w:val="2"/>
            <w:tcBorders>
              <w:top w:val="single" w:sz="4" w:space="0" w:color="auto"/>
              <w:bottom w:val="single" w:sz="4" w:space="0" w:color="auto"/>
            </w:tcBorders>
            <w:vAlign w:val="center"/>
          </w:tcPr>
          <w:p w14:paraId="31C3B2A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UpNEA (developed by the authors)</w:t>
            </w:r>
          </w:p>
        </w:tc>
        <w:tc>
          <w:tcPr>
            <w:tcW w:w="1134" w:type="dxa"/>
            <w:tcBorders>
              <w:top w:val="single" w:sz="4" w:space="0" w:color="auto"/>
              <w:bottom w:val="single" w:sz="4" w:space="0" w:color="auto"/>
            </w:tcBorders>
            <w:vAlign w:val="center"/>
          </w:tcPr>
          <w:p w14:paraId="3BA88D2D"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4C3CC42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present a system aimed to predict respiratory and cardiovascular disorders. UpNEA was part of the whole system.</w:t>
            </w:r>
          </w:p>
        </w:tc>
        <w:tc>
          <w:tcPr>
            <w:tcW w:w="3541" w:type="dxa"/>
            <w:tcBorders>
              <w:top w:val="single" w:sz="4" w:space="0" w:color="auto"/>
              <w:bottom w:val="single" w:sz="4" w:space="0" w:color="auto"/>
            </w:tcBorders>
            <w:vAlign w:val="center"/>
          </w:tcPr>
          <w:p w14:paraId="523DC69C"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96 adults with apnea/hypopnea syndrome in a hospital. Participants wore the glove-life device for a night. It was not reported with which device the results were compared. One healthy adult also wore the device for four nights.*</w:t>
            </w:r>
          </w:p>
        </w:tc>
        <w:tc>
          <w:tcPr>
            <w:tcW w:w="3261" w:type="dxa"/>
            <w:tcBorders>
              <w:top w:val="single" w:sz="4" w:space="0" w:color="auto"/>
              <w:bottom w:val="single" w:sz="4" w:space="0" w:color="auto"/>
            </w:tcBorders>
            <w:vAlign w:val="center"/>
          </w:tcPr>
          <w:p w14:paraId="26F9429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Within the patient group, the device detected central and obstructive apnea or hypopnea with a sensitivity of 73% - 87%, a specificity of 55% - 68%, and an accuracy of 65% - 72%.</w:t>
            </w:r>
          </w:p>
          <w:p w14:paraId="437C4E4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The data from the healthy adult showed a specificity of the device in detecting apnea or hypopnea was 96%.</w:t>
            </w:r>
          </w:p>
        </w:tc>
      </w:tr>
      <w:tr w:rsidR="005A499B" w:rsidRPr="005A499B" w14:paraId="273EC1B2"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446764B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Kang</w:t>
            </w:r>
          </w:p>
        </w:tc>
        <w:tc>
          <w:tcPr>
            <w:tcW w:w="708" w:type="dxa"/>
            <w:tcBorders>
              <w:top w:val="single" w:sz="4" w:space="0" w:color="auto"/>
              <w:bottom w:val="single" w:sz="4" w:space="0" w:color="auto"/>
            </w:tcBorders>
            <w:noWrap/>
            <w:vAlign w:val="center"/>
          </w:tcPr>
          <w:p w14:paraId="4D8FDB0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2012</w:t>
            </w:r>
          </w:p>
        </w:tc>
        <w:tc>
          <w:tcPr>
            <w:tcW w:w="819" w:type="dxa"/>
            <w:tcBorders>
              <w:top w:val="single" w:sz="4" w:space="0" w:color="auto"/>
              <w:bottom w:val="single" w:sz="4" w:space="0" w:color="auto"/>
            </w:tcBorders>
            <w:noWrap/>
            <w:vAlign w:val="center"/>
          </w:tcPr>
          <w:p w14:paraId="22D39DB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w:t>
            </w:r>
          </w:p>
        </w:tc>
        <w:tc>
          <w:tcPr>
            <w:tcW w:w="1449" w:type="dxa"/>
            <w:gridSpan w:val="2"/>
            <w:tcBorders>
              <w:top w:val="single" w:sz="4" w:space="0" w:color="auto"/>
              <w:bottom w:val="single" w:sz="4" w:space="0" w:color="auto"/>
            </w:tcBorders>
            <w:vAlign w:val="center"/>
          </w:tcPr>
          <w:p w14:paraId="2B56A2C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WatchPAT (Itamar Medical, Israel)</w:t>
            </w:r>
          </w:p>
        </w:tc>
        <w:tc>
          <w:tcPr>
            <w:tcW w:w="1134" w:type="dxa"/>
            <w:tcBorders>
              <w:top w:val="single" w:sz="4" w:space="0" w:color="auto"/>
              <w:bottom w:val="single" w:sz="4" w:space="0" w:color="auto"/>
            </w:tcBorders>
            <w:vAlign w:val="center"/>
          </w:tcPr>
          <w:p w14:paraId="35AFFE6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apnea</w:t>
            </w:r>
          </w:p>
        </w:tc>
        <w:tc>
          <w:tcPr>
            <w:tcW w:w="1985" w:type="dxa"/>
            <w:tcBorders>
              <w:top w:val="single" w:sz="4" w:space="0" w:color="auto"/>
              <w:bottom w:val="single" w:sz="4" w:space="0" w:color="auto"/>
            </w:tcBorders>
            <w:vAlign w:val="center"/>
          </w:tcPr>
          <w:p w14:paraId="3BBF287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validate WatchPAT in diagnosing obstructive sleep apnea hypopnea syndrome.</w:t>
            </w:r>
          </w:p>
        </w:tc>
        <w:tc>
          <w:tcPr>
            <w:tcW w:w="3541" w:type="dxa"/>
            <w:tcBorders>
              <w:top w:val="single" w:sz="4" w:space="0" w:color="auto"/>
              <w:bottom w:val="single" w:sz="4" w:space="0" w:color="auto"/>
            </w:tcBorders>
            <w:vAlign w:val="center"/>
          </w:tcPr>
          <w:p w14:paraId="2F7FDA1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35 adults complaining of snoring. Participants were monitored with Watch PAT and standard PSG simultaneously in the laboratory.</w:t>
            </w:r>
          </w:p>
        </w:tc>
        <w:tc>
          <w:tcPr>
            <w:tcW w:w="3261" w:type="dxa"/>
            <w:tcBorders>
              <w:top w:val="single" w:sz="4" w:space="0" w:color="auto"/>
              <w:bottom w:val="single" w:sz="4" w:space="0" w:color="auto"/>
            </w:tcBorders>
            <w:vAlign w:val="center"/>
          </w:tcPr>
          <w:p w14:paraId="56DE3FB4"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The apnea hypopnea index registered by WatchPAT correlated with PSG (</w:t>
            </w:r>
            <w:r w:rsidRPr="00523AB6">
              <w:rPr>
                <w:rFonts w:ascii="Calibri" w:hAnsi="Calibri" w:cs="Calibri"/>
                <w:i/>
                <w:iCs/>
                <w:lang w:val="en-US"/>
              </w:rPr>
              <w:t>r</w:t>
            </w:r>
            <w:r w:rsidRPr="00523AB6">
              <w:rPr>
                <w:rFonts w:ascii="Calibri" w:hAnsi="Calibri" w:cs="Calibri"/>
                <w:lang w:val="en-US"/>
              </w:rPr>
              <w:t xml:space="preserve"> = 0.96, </w:t>
            </w:r>
            <w:r w:rsidRPr="00523AB6">
              <w:rPr>
                <w:rFonts w:ascii="Calibri" w:hAnsi="Calibri" w:cs="Calibri"/>
                <w:i/>
                <w:iCs/>
                <w:lang w:val="en-US"/>
              </w:rPr>
              <w:t>p</w:t>
            </w:r>
            <w:r w:rsidRPr="00523AB6">
              <w:rPr>
                <w:rFonts w:ascii="Calibri" w:hAnsi="Calibri" w:cs="Calibri"/>
                <w:lang w:val="en-US"/>
              </w:rPr>
              <w:t xml:space="preserve"> &lt; 0.001). Sensitivity = 92%, specificity = 100%. Accuracy is lower in patients with a high BMI.</w:t>
            </w:r>
          </w:p>
        </w:tc>
      </w:tr>
      <w:tr w:rsidR="005A499B" w:rsidRPr="005A499B" w14:paraId="4522FC21"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2D99935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Lachenmeier</w:t>
            </w:r>
          </w:p>
        </w:tc>
        <w:tc>
          <w:tcPr>
            <w:tcW w:w="708" w:type="dxa"/>
            <w:tcBorders>
              <w:top w:val="single" w:sz="4" w:space="0" w:color="auto"/>
              <w:bottom w:val="single" w:sz="4" w:space="0" w:color="auto"/>
            </w:tcBorders>
            <w:noWrap/>
            <w:vAlign w:val="center"/>
          </w:tcPr>
          <w:p w14:paraId="77B5797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2022</w:t>
            </w:r>
          </w:p>
        </w:tc>
        <w:tc>
          <w:tcPr>
            <w:tcW w:w="819" w:type="dxa"/>
            <w:tcBorders>
              <w:top w:val="single" w:sz="4" w:space="0" w:color="auto"/>
              <w:bottom w:val="single" w:sz="4" w:space="0" w:color="auto"/>
            </w:tcBorders>
            <w:noWrap/>
            <w:vAlign w:val="center"/>
          </w:tcPr>
          <w:p w14:paraId="0801D1C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Germany</w:t>
            </w:r>
          </w:p>
        </w:tc>
        <w:tc>
          <w:tcPr>
            <w:tcW w:w="1449" w:type="dxa"/>
            <w:gridSpan w:val="2"/>
            <w:tcBorders>
              <w:top w:val="single" w:sz="4" w:space="0" w:color="auto"/>
              <w:bottom w:val="single" w:sz="4" w:space="0" w:color="auto"/>
            </w:tcBorders>
            <w:vAlign w:val="center"/>
          </w:tcPr>
          <w:p w14:paraId="48D9896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SleepU (Wellue Health, Shenzhen Viatom Technology Co., Ltd., Shenzhen,</w:t>
            </w:r>
          </w:p>
          <w:p w14:paraId="5C78DA2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China)</w:t>
            </w:r>
          </w:p>
        </w:tc>
        <w:tc>
          <w:tcPr>
            <w:tcW w:w="1134" w:type="dxa"/>
            <w:tcBorders>
              <w:top w:val="single" w:sz="4" w:space="0" w:color="auto"/>
              <w:bottom w:val="single" w:sz="4" w:space="0" w:color="auto"/>
            </w:tcBorders>
            <w:vAlign w:val="center"/>
          </w:tcPr>
          <w:p w14:paraId="2357058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dyspnea</w:t>
            </w:r>
          </w:p>
        </w:tc>
        <w:tc>
          <w:tcPr>
            <w:tcW w:w="1985" w:type="dxa"/>
            <w:tcBorders>
              <w:top w:val="single" w:sz="4" w:space="0" w:color="auto"/>
              <w:bottom w:val="single" w:sz="4" w:space="0" w:color="auto"/>
            </w:tcBorders>
            <w:vAlign w:val="center"/>
          </w:tcPr>
          <w:p w14:paraId="5C7BFEA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present a case where wearable oximetry device with haptic feedback was used to treat sleep disturbances in a person with lung cancer.</w:t>
            </w:r>
          </w:p>
        </w:tc>
        <w:tc>
          <w:tcPr>
            <w:tcW w:w="3541" w:type="dxa"/>
            <w:tcBorders>
              <w:top w:val="single" w:sz="4" w:space="0" w:color="auto"/>
              <w:bottom w:val="single" w:sz="4" w:space="0" w:color="auto"/>
            </w:tcBorders>
            <w:vAlign w:val="center"/>
          </w:tcPr>
          <w:p w14:paraId="1BE655F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Case report with a home-dwelling older adult with lung cancer and sleep disturbances due to drops of oxygen saturation during sleep. The device vibrated when the oxygen saturation dropped. The recording of one whole night was reported.</w:t>
            </w:r>
          </w:p>
        </w:tc>
        <w:tc>
          <w:tcPr>
            <w:tcW w:w="3261" w:type="dxa"/>
            <w:tcBorders>
              <w:top w:val="single" w:sz="4" w:space="0" w:color="auto"/>
              <w:bottom w:val="single" w:sz="4" w:space="0" w:color="auto"/>
            </w:tcBorders>
            <w:vAlign w:val="center"/>
          </w:tcPr>
          <w:p w14:paraId="6E7CCF20"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The detection of decrease in oxygen saturation was reliable. By waking the patient with the vibration, events of oxygen saturation drop were reduced, so did sleep disturbances and anxiety symptoms associated with them. </w:t>
            </w:r>
          </w:p>
        </w:tc>
      </w:tr>
      <w:tr w:rsidR="005A499B" w:rsidRPr="005A499B" w14:paraId="7EC5B3DC"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A2F616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Arnal</w:t>
            </w:r>
          </w:p>
        </w:tc>
        <w:tc>
          <w:tcPr>
            <w:tcW w:w="708" w:type="dxa"/>
            <w:tcBorders>
              <w:top w:val="single" w:sz="4" w:space="0" w:color="auto"/>
              <w:bottom w:val="single" w:sz="4" w:space="0" w:color="auto"/>
            </w:tcBorders>
            <w:noWrap/>
            <w:vAlign w:val="center"/>
          </w:tcPr>
          <w:p w14:paraId="36B9212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2020</w:t>
            </w:r>
          </w:p>
        </w:tc>
        <w:tc>
          <w:tcPr>
            <w:tcW w:w="819" w:type="dxa"/>
            <w:tcBorders>
              <w:top w:val="single" w:sz="4" w:space="0" w:color="auto"/>
              <w:bottom w:val="single" w:sz="4" w:space="0" w:color="auto"/>
            </w:tcBorders>
            <w:noWrap/>
            <w:vAlign w:val="center"/>
          </w:tcPr>
          <w:p w14:paraId="7738F85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France</w:t>
            </w:r>
          </w:p>
        </w:tc>
        <w:tc>
          <w:tcPr>
            <w:tcW w:w="1449" w:type="dxa"/>
            <w:gridSpan w:val="2"/>
            <w:tcBorders>
              <w:top w:val="single" w:sz="4" w:space="0" w:color="auto"/>
              <w:bottom w:val="single" w:sz="4" w:space="0" w:color="auto"/>
            </w:tcBorders>
            <w:vAlign w:val="center"/>
          </w:tcPr>
          <w:p w14:paraId="5F9BACB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Dreem Headband (developed by the authors)</w:t>
            </w:r>
          </w:p>
        </w:tc>
        <w:tc>
          <w:tcPr>
            <w:tcW w:w="1134" w:type="dxa"/>
            <w:tcBorders>
              <w:top w:val="single" w:sz="4" w:space="0" w:color="auto"/>
              <w:bottom w:val="single" w:sz="4" w:space="0" w:color="auto"/>
            </w:tcBorders>
            <w:vAlign w:val="center"/>
          </w:tcPr>
          <w:p w14:paraId="723CFE0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stages</w:t>
            </w:r>
          </w:p>
        </w:tc>
        <w:tc>
          <w:tcPr>
            <w:tcW w:w="1985" w:type="dxa"/>
            <w:tcBorders>
              <w:top w:val="single" w:sz="4" w:space="0" w:color="auto"/>
              <w:bottom w:val="single" w:sz="4" w:space="0" w:color="auto"/>
            </w:tcBorders>
            <w:vAlign w:val="center"/>
          </w:tcPr>
          <w:p w14:paraId="28E9684C"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validate the Dreem Headband, containing EEG, pulse oximetry and accelerometer in determining sleep stages.</w:t>
            </w:r>
          </w:p>
        </w:tc>
        <w:tc>
          <w:tcPr>
            <w:tcW w:w="3541" w:type="dxa"/>
            <w:tcBorders>
              <w:top w:val="single" w:sz="4" w:space="0" w:color="auto"/>
              <w:bottom w:val="single" w:sz="4" w:space="0" w:color="auto"/>
            </w:tcBorders>
            <w:vAlign w:val="center"/>
          </w:tcPr>
          <w:p w14:paraId="1D52EFD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25 healthy adults at a sleep center. The sleep stages determined by Dreem Headband was compared with standard PSG.</w:t>
            </w:r>
          </w:p>
        </w:tc>
        <w:tc>
          <w:tcPr>
            <w:tcW w:w="3261" w:type="dxa"/>
            <w:tcBorders>
              <w:top w:val="single" w:sz="4" w:space="0" w:color="auto"/>
              <w:bottom w:val="single" w:sz="4" w:space="0" w:color="auto"/>
            </w:tcBorders>
            <w:vAlign w:val="center"/>
          </w:tcPr>
          <w:p w14:paraId="11C903B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The error of Dreem Headband compared with standard PSG: </w:t>
            </w:r>
          </w:p>
          <w:p w14:paraId="679F9AA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EEG signals: 10% - 16%</w:t>
            </w:r>
          </w:p>
          <w:p w14:paraId="70FCF47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Heart rate: 1.2 ± 0.5 beats per minute</w:t>
            </w:r>
          </w:p>
          <w:p w14:paraId="333ABC51"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Breathing frequency: 0.3 ± 0.2 cycles per minute</w:t>
            </w:r>
          </w:p>
          <w:p w14:paraId="6F572F7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Respiration rate variability: </w:t>
            </w:r>
            <w:r w:rsidRPr="00523AB6">
              <w:rPr>
                <w:lang w:val="en-US"/>
              </w:rPr>
              <w:t xml:space="preserve"> </w:t>
            </w:r>
            <w:r w:rsidRPr="00523AB6">
              <w:rPr>
                <w:rFonts w:ascii="Calibri" w:hAnsi="Calibri" w:cs="Calibri"/>
                <w:lang w:val="en-US"/>
              </w:rPr>
              <w:t>3.2 ± 0.6%</w:t>
            </w:r>
          </w:p>
        </w:tc>
      </w:tr>
      <w:tr w:rsidR="005A499B" w:rsidRPr="005A499B" w14:paraId="1243BED2"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0191FD0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Cooray</w:t>
            </w:r>
          </w:p>
        </w:tc>
        <w:tc>
          <w:tcPr>
            <w:tcW w:w="708" w:type="dxa"/>
            <w:tcBorders>
              <w:top w:val="single" w:sz="4" w:space="0" w:color="auto"/>
              <w:bottom w:val="single" w:sz="4" w:space="0" w:color="auto"/>
            </w:tcBorders>
            <w:noWrap/>
            <w:vAlign w:val="center"/>
          </w:tcPr>
          <w:p w14:paraId="58A4C3F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43FFC7E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UK</w:t>
            </w:r>
          </w:p>
        </w:tc>
        <w:tc>
          <w:tcPr>
            <w:tcW w:w="1449" w:type="dxa"/>
            <w:gridSpan w:val="2"/>
            <w:tcBorders>
              <w:top w:val="single" w:sz="4" w:space="0" w:color="auto"/>
              <w:bottom w:val="single" w:sz="4" w:space="0" w:color="auto"/>
            </w:tcBorders>
            <w:vAlign w:val="center"/>
          </w:tcPr>
          <w:p w14:paraId="46A5E6E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Signals from standard PSG (model and brand not reported)</w:t>
            </w:r>
          </w:p>
        </w:tc>
        <w:tc>
          <w:tcPr>
            <w:tcW w:w="1134" w:type="dxa"/>
            <w:tcBorders>
              <w:top w:val="single" w:sz="4" w:space="0" w:color="auto"/>
              <w:bottom w:val="single" w:sz="4" w:space="0" w:color="auto"/>
            </w:tcBorders>
            <w:vAlign w:val="center"/>
          </w:tcPr>
          <w:p w14:paraId="659805E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stages and</w:t>
            </w:r>
            <w:r w:rsidRPr="00523AB6">
              <w:rPr>
                <w:rFonts w:ascii="Calibri" w:hAnsi="Calibri" w:cs="Calibri"/>
                <w:lang w:val="en-US"/>
              </w:rPr>
              <w:t xml:space="preserve"> rapid-eye-movement sleep behavioral </w:t>
            </w:r>
            <w:r w:rsidRPr="00523AB6">
              <w:rPr>
                <w:rFonts w:ascii="Calibri" w:hAnsi="Calibri" w:cs="Calibri"/>
                <w:lang w:val="en-US"/>
              </w:rPr>
              <w:lastRenderedPageBreak/>
              <w:t xml:space="preserve">disorder (RBD) </w:t>
            </w:r>
            <w:r w:rsidRPr="00523AB6">
              <w:rPr>
                <w:rFonts w:ascii="Calibri" w:eastAsia="Times New Roman" w:hAnsi="Calibri" w:cs="Calibri"/>
                <w:lang w:val="en-US"/>
              </w:rPr>
              <w:t xml:space="preserve"> </w:t>
            </w:r>
          </w:p>
        </w:tc>
        <w:tc>
          <w:tcPr>
            <w:tcW w:w="1985" w:type="dxa"/>
            <w:tcBorders>
              <w:top w:val="single" w:sz="4" w:space="0" w:color="auto"/>
              <w:bottom w:val="single" w:sz="4" w:space="0" w:color="auto"/>
            </w:tcBorders>
            <w:vAlign w:val="center"/>
          </w:tcPr>
          <w:p w14:paraId="142774E5"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To develop a RBD screening tool with minimal sensors.</w:t>
            </w:r>
          </w:p>
        </w:tc>
        <w:tc>
          <w:tcPr>
            <w:tcW w:w="3541" w:type="dxa"/>
            <w:tcBorders>
              <w:top w:val="single" w:sz="4" w:space="0" w:color="auto"/>
              <w:bottom w:val="single" w:sz="4" w:space="0" w:color="auto"/>
            </w:tcBorders>
            <w:vAlign w:val="center"/>
          </w:tcPr>
          <w:p w14:paraId="48BC1FFA"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50 adults with RBD and 50 healthy controls. Participants were monitored for one night with standard PSG for one night. The results of the algorithm were </w:t>
            </w:r>
            <w:r w:rsidRPr="00523AB6">
              <w:rPr>
                <w:rFonts w:ascii="Calibri" w:hAnsi="Calibri" w:cs="Calibri"/>
                <w:lang w:val="en-US"/>
              </w:rPr>
              <w:lastRenderedPageBreak/>
              <w:t>compared to results based an earlier algorithm using EEG, electrooculogram (EOG), and EMG.</w:t>
            </w:r>
          </w:p>
        </w:tc>
        <w:tc>
          <w:tcPr>
            <w:tcW w:w="3261" w:type="dxa"/>
            <w:tcBorders>
              <w:top w:val="single" w:sz="4" w:space="0" w:color="auto"/>
              <w:bottom w:val="single" w:sz="4" w:space="0" w:color="auto"/>
            </w:tcBorders>
            <w:vAlign w:val="center"/>
          </w:tcPr>
          <w:p w14:paraId="742388CB"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lastRenderedPageBreak/>
              <w:t>The optimal model combined EOG and EMG and could classify sleep stages with</w:t>
            </w:r>
            <w:r w:rsidRPr="00523AB6">
              <w:rPr>
                <w:lang w:val="en-US"/>
              </w:rPr>
              <w:t xml:space="preserve"> </w:t>
            </w:r>
            <w:r w:rsidRPr="00523AB6">
              <w:rPr>
                <w:rFonts w:ascii="Calibri" w:hAnsi="Calibri" w:cs="Calibri"/>
                <w:lang w:val="en-US"/>
              </w:rPr>
              <w:t xml:space="preserve">0.57 ± 0.19 kappa (3 stage) and detect RBD detection with an accuracy of 90% </w:t>
            </w:r>
            <w:r w:rsidRPr="00523AB6">
              <w:rPr>
                <w:rFonts w:ascii="Calibri" w:hAnsi="Calibri" w:cs="Calibri"/>
                <w:lang w:val="en-US"/>
              </w:rPr>
              <w:lastRenderedPageBreak/>
              <w:t>(sensitivity 88% and specificity 92%).</w:t>
            </w:r>
          </w:p>
        </w:tc>
      </w:tr>
      <w:tr w:rsidR="005A499B" w:rsidRPr="005A499B" w14:paraId="5B628F17"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4BFC477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Hirnoven</w:t>
            </w:r>
          </w:p>
        </w:tc>
        <w:tc>
          <w:tcPr>
            <w:tcW w:w="708" w:type="dxa"/>
            <w:tcBorders>
              <w:top w:val="single" w:sz="4" w:space="0" w:color="auto"/>
              <w:bottom w:val="single" w:sz="4" w:space="0" w:color="auto"/>
            </w:tcBorders>
            <w:noWrap/>
            <w:vAlign w:val="center"/>
          </w:tcPr>
          <w:p w14:paraId="284F985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1997</w:t>
            </w:r>
          </w:p>
        </w:tc>
        <w:tc>
          <w:tcPr>
            <w:tcW w:w="819" w:type="dxa"/>
            <w:tcBorders>
              <w:top w:val="single" w:sz="4" w:space="0" w:color="auto"/>
              <w:bottom w:val="single" w:sz="4" w:space="0" w:color="auto"/>
            </w:tcBorders>
            <w:noWrap/>
            <w:vAlign w:val="center"/>
          </w:tcPr>
          <w:p w14:paraId="1095480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Finland</w:t>
            </w:r>
          </w:p>
        </w:tc>
        <w:tc>
          <w:tcPr>
            <w:tcW w:w="1449" w:type="dxa"/>
            <w:gridSpan w:val="2"/>
            <w:tcBorders>
              <w:top w:val="single" w:sz="4" w:space="0" w:color="auto"/>
              <w:bottom w:val="single" w:sz="4" w:space="0" w:color="auto"/>
            </w:tcBorders>
            <w:vAlign w:val="center"/>
          </w:tcPr>
          <w:p w14:paraId="49FA2F3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8-channel 9000-11 recorder (Oxford Medilog)</w:t>
            </w:r>
          </w:p>
        </w:tc>
        <w:tc>
          <w:tcPr>
            <w:tcW w:w="1134" w:type="dxa"/>
            <w:tcBorders>
              <w:top w:val="single" w:sz="4" w:space="0" w:color="auto"/>
              <w:bottom w:val="single" w:sz="4" w:space="0" w:color="auto"/>
            </w:tcBorders>
            <w:vAlign w:val="center"/>
          </w:tcPr>
          <w:p w14:paraId="1DF2C4B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stages</w:t>
            </w:r>
          </w:p>
        </w:tc>
        <w:tc>
          <w:tcPr>
            <w:tcW w:w="1985" w:type="dxa"/>
            <w:tcBorders>
              <w:top w:val="single" w:sz="4" w:space="0" w:color="auto"/>
              <w:bottom w:val="single" w:sz="4" w:space="0" w:color="auto"/>
            </w:tcBorders>
            <w:vAlign w:val="center"/>
          </w:tcPr>
          <w:p w14:paraId="0571C254"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develop an algorism to score drowsiness and sleep onset.</w:t>
            </w:r>
          </w:p>
        </w:tc>
        <w:tc>
          <w:tcPr>
            <w:tcW w:w="3541" w:type="dxa"/>
            <w:tcBorders>
              <w:top w:val="single" w:sz="4" w:space="0" w:color="auto"/>
              <w:bottom w:val="single" w:sz="4" w:space="0" w:color="auto"/>
            </w:tcBorders>
            <w:vAlign w:val="center"/>
          </w:tcPr>
          <w:p w14:paraId="7838D12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An algorism was developed based on 30 min recording at sleep onset of</w:t>
            </w:r>
            <w:r w:rsidRPr="00523AB6">
              <w:rPr>
                <w:lang w:val="en-US"/>
              </w:rPr>
              <w:t xml:space="preserve"> </w:t>
            </w:r>
            <w:r w:rsidRPr="00523AB6">
              <w:rPr>
                <w:rFonts w:ascii="Calibri" w:hAnsi="Calibri" w:cs="Calibri"/>
                <w:lang w:val="en-US"/>
              </w:rPr>
              <w:t>seven healthy adult participants and a 6-hour daytime recording, including drowsy and sleep episodes, of seven adult patients with obstructive sleep apnea syndrome was used to test the algorism. *</w:t>
            </w:r>
          </w:p>
        </w:tc>
        <w:tc>
          <w:tcPr>
            <w:tcW w:w="3261" w:type="dxa"/>
            <w:tcBorders>
              <w:top w:val="single" w:sz="4" w:space="0" w:color="auto"/>
              <w:bottom w:val="single" w:sz="4" w:space="0" w:color="auto"/>
            </w:tcBorders>
            <w:vAlign w:val="center"/>
          </w:tcPr>
          <w:p w14:paraId="36BDA22F"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Total agreement between the visual and computer scorings: 92% </w:t>
            </w:r>
          </w:p>
          <w:p w14:paraId="2403C23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Non-REM sleep: 64% sensitivity, 82% specificity. </w:t>
            </w:r>
          </w:p>
          <w:p w14:paraId="3F3E62F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Drowsy stages: 19% sensitivity, 61% specificity. </w:t>
            </w:r>
          </w:p>
          <w:p w14:paraId="576867CA"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Alpha activity detection: 5% sensitivity, 11-13% specificity.</w:t>
            </w:r>
          </w:p>
        </w:tc>
      </w:tr>
      <w:tr w:rsidR="005A499B" w:rsidRPr="005A499B" w14:paraId="72F529CE"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6F1855F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Altini</w:t>
            </w:r>
          </w:p>
        </w:tc>
        <w:tc>
          <w:tcPr>
            <w:tcW w:w="708" w:type="dxa"/>
            <w:tcBorders>
              <w:top w:val="single" w:sz="4" w:space="0" w:color="auto"/>
              <w:bottom w:val="single" w:sz="4" w:space="0" w:color="auto"/>
            </w:tcBorders>
            <w:noWrap/>
            <w:vAlign w:val="center"/>
          </w:tcPr>
          <w:p w14:paraId="13A70B8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2021</w:t>
            </w:r>
          </w:p>
        </w:tc>
        <w:tc>
          <w:tcPr>
            <w:tcW w:w="819" w:type="dxa"/>
            <w:tcBorders>
              <w:top w:val="single" w:sz="4" w:space="0" w:color="auto"/>
              <w:bottom w:val="single" w:sz="4" w:space="0" w:color="auto"/>
            </w:tcBorders>
            <w:noWrap/>
            <w:vAlign w:val="center"/>
          </w:tcPr>
          <w:p w14:paraId="0A71D40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Finland</w:t>
            </w:r>
          </w:p>
        </w:tc>
        <w:tc>
          <w:tcPr>
            <w:tcW w:w="1449" w:type="dxa"/>
            <w:gridSpan w:val="2"/>
            <w:tcBorders>
              <w:top w:val="single" w:sz="4" w:space="0" w:color="auto"/>
              <w:bottom w:val="single" w:sz="4" w:space="0" w:color="auto"/>
            </w:tcBorders>
            <w:vAlign w:val="center"/>
          </w:tcPr>
          <w:p w14:paraId="4BE084F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Oura Ring, Gen2M (Oura Health Ltd, Oulu, Finland)</w:t>
            </w:r>
          </w:p>
        </w:tc>
        <w:tc>
          <w:tcPr>
            <w:tcW w:w="1134" w:type="dxa"/>
            <w:tcBorders>
              <w:top w:val="single" w:sz="4" w:space="0" w:color="auto"/>
              <w:bottom w:val="single" w:sz="4" w:space="0" w:color="auto"/>
            </w:tcBorders>
            <w:vAlign w:val="center"/>
          </w:tcPr>
          <w:p w14:paraId="7F599878"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stages</w:t>
            </w:r>
          </w:p>
        </w:tc>
        <w:tc>
          <w:tcPr>
            <w:tcW w:w="1985" w:type="dxa"/>
            <w:tcBorders>
              <w:top w:val="single" w:sz="4" w:space="0" w:color="auto"/>
              <w:bottom w:val="single" w:sz="4" w:space="0" w:color="auto"/>
            </w:tcBorders>
            <w:vAlign w:val="center"/>
          </w:tcPr>
          <w:p w14:paraId="2B3B424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test the accuracy of sleep stages determination by Oura Ring, combined with machine learning.</w:t>
            </w:r>
          </w:p>
        </w:tc>
        <w:tc>
          <w:tcPr>
            <w:tcW w:w="3541" w:type="dxa"/>
            <w:tcBorders>
              <w:top w:val="single" w:sz="4" w:space="0" w:color="auto"/>
              <w:bottom w:val="single" w:sz="4" w:space="0" w:color="auto"/>
            </w:tcBorders>
            <w:vAlign w:val="center"/>
          </w:tcPr>
          <w:p w14:paraId="1B69B1D3"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106 adults. In total, 440 nights of sleep were monitored by Oura Ring and standard PSG. Some of the recordings took place at home, the setting of other recordings was not reported. Machine learning models were build using different numbers of parameters derived from Oura Ring signals.</w:t>
            </w:r>
          </w:p>
        </w:tc>
        <w:tc>
          <w:tcPr>
            <w:tcW w:w="3261" w:type="dxa"/>
            <w:tcBorders>
              <w:top w:val="single" w:sz="4" w:space="0" w:color="auto"/>
              <w:bottom w:val="single" w:sz="4" w:space="0" w:color="auto"/>
            </w:tcBorders>
            <w:vAlign w:val="center"/>
          </w:tcPr>
          <w:p w14:paraId="40D7A8F2"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Accuracy for 2-stage detection (sleep, wake) with accelerometer data was 94%. Including other parameters (temperature, HRV, and circadian features) increased the accuracy to 96%. </w:t>
            </w:r>
          </w:p>
          <w:p w14:paraId="2C7915B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Accuracy for 4-stage detection (light NREM sleep, deep NREM sleep, REM sleep, and</w:t>
            </w:r>
          </w:p>
          <w:p w14:paraId="3C430A76"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wake) with accelerometer data was 57%. Including other parameters increased the accuracy to 79%.</w:t>
            </w:r>
          </w:p>
        </w:tc>
      </w:tr>
      <w:tr w:rsidR="005A499B" w:rsidRPr="005A499B" w14:paraId="61CED516"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4251B4FA"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Ghorbani</w:t>
            </w:r>
          </w:p>
        </w:tc>
        <w:tc>
          <w:tcPr>
            <w:tcW w:w="708" w:type="dxa"/>
            <w:tcBorders>
              <w:top w:val="single" w:sz="4" w:space="0" w:color="auto"/>
              <w:bottom w:val="single" w:sz="4" w:space="0" w:color="auto"/>
            </w:tcBorders>
            <w:noWrap/>
            <w:vAlign w:val="center"/>
          </w:tcPr>
          <w:p w14:paraId="5398BF73"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2022</w:t>
            </w:r>
          </w:p>
        </w:tc>
        <w:tc>
          <w:tcPr>
            <w:tcW w:w="819" w:type="dxa"/>
            <w:tcBorders>
              <w:top w:val="single" w:sz="4" w:space="0" w:color="auto"/>
              <w:bottom w:val="single" w:sz="4" w:space="0" w:color="auto"/>
            </w:tcBorders>
            <w:noWrap/>
            <w:vAlign w:val="center"/>
          </w:tcPr>
          <w:p w14:paraId="25F5767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Singapore</w:t>
            </w:r>
          </w:p>
        </w:tc>
        <w:tc>
          <w:tcPr>
            <w:tcW w:w="1449" w:type="dxa"/>
            <w:gridSpan w:val="2"/>
            <w:tcBorders>
              <w:top w:val="single" w:sz="4" w:space="0" w:color="auto"/>
              <w:bottom w:val="single" w:sz="4" w:space="0" w:color="auto"/>
            </w:tcBorders>
            <w:vAlign w:val="center"/>
          </w:tcPr>
          <w:p w14:paraId="54CDBAD2"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Oura Ring, Gen2 and Gen3 (Oura Health Ltd, Oulu, Finland)</w:t>
            </w:r>
          </w:p>
        </w:tc>
        <w:tc>
          <w:tcPr>
            <w:tcW w:w="1134" w:type="dxa"/>
            <w:tcBorders>
              <w:top w:val="single" w:sz="4" w:space="0" w:color="auto"/>
              <w:bottom w:val="single" w:sz="4" w:space="0" w:color="auto"/>
            </w:tcBorders>
            <w:vAlign w:val="center"/>
          </w:tcPr>
          <w:p w14:paraId="7384E81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 stages</w:t>
            </w:r>
          </w:p>
        </w:tc>
        <w:tc>
          <w:tcPr>
            <w:tcW w:w="1985" w:type="dxa"/>
            <w:tcBorders>
              <w:top w:val="single" w:sz="4" w:space="0" w:color="auto"/>
              <w:bottom w:val="single" w:sz="4" w:space="0" w:color="auto"/>
            </w:tcBorders>
            <w:vAlign w:val="center"/>
          </w:tcPr>
          <w:p w14:paraId="4CC8F0CE"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To compare two generations of Oura Ring algorithms in classifying sleep stages.</w:t>
            </w:r>
          </w:p>
        </w:tc>
        <w:tc>
          <w:tcPr>
            <w:tcW w:w="3541" w:type="dxa"/>
            <w:tcBorders>
              <w:top w:val="single" w:sz="4" w:space="0" w:color="auto"/>
              <w:bottom w:val="single" w:sz="4" w:space="0" w:color="auto"/>
            </w:tcBorders>
            <w:vAlign w:val="center"/>
          </w:tcPr>
          <w:p w14:paraId="53CAF410"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Quantitative cross-sectional study with 58 healthy adults, each went through 3 nights of home monitoring with standard PSG and Oura Ring. </w:t>
            </w:r>
          </w:p>
        </w:tc>
        <w:tc>
          <w:tcPr>
            <w:tcW w:w="3261" w:type="dxa"/>
            <w:tcBorders>
              <w:top w:val="single" w:sz="4" w:space="0" w:color="auto"/>
              <w:bottom w:val="single" w:sz="4" w:space="0" w:color="auto"/>
            </w:tcBorders>
            <w:vAlign w:val="center"/>
          </w:tcPr>
          <w:p w14:paraId="2C01F2DD"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Gen3 accuracy: 92.6%, sensitivity: 94.9% (0.03), specificity: 78.5%.  Gen3 algorithm outperformed Gen2 and is comparable with PSG in measuring</w:t>
            </w:r>
            <w:r w:rsidRPr="00523AB6">
              <w:rPr>
                <w:lang w:val="en-US"/>
              </w:rPr>
              <w:t xml:space="preserve"> </w:t>
            </w:r>
            <w:r w:rsidRPr="00523AB6">
              <w:rPr>
                <w:rFonts w:ascii="Calibri" w:hAnsi="Calibri" w:cs="Calibri"/>
                <w:lang w:val="en-US"/>
              </w:rPr>
              <w:t xml:space="preserve">sleep latency, light </w:t>
            </w:r>
            <w:r w:rsidRPr="00523AB6">
              <w:rPr>
                <w:rFonts w:ascii="Calibri" w:hAnsi="Calibri" w:cs="Calibri"/>
                <w:lang w:val="en-US"/>
              </w:rPr>
              <w:lastRenderedPageBreak/>
              <w:t>sleep, rapid eye movement, and wake after sleep onset durations.</w:t>
            </w:r>
          </w:p>
        </w:tc>
      </w:tr>
      <w:tr w:rsidR="005A499B" w:rsidRPr="005A499B" w14:paraId="2DADD3E1" w14:textId="77777777" w:rsidTr="007E42ED">
        <w:tblPrEx>
          <w:tblBorders>
            <w:insideH w:val="none" w:sz="0" w:space="0" w:color="auto"/>
            <w:insideV w:val="none" w:sz="0" w:space="0" w:color="auto"/>
          </w:tblBorders>
        </w:tblPrEx>
        <w:trPr>
          <w:trHeight w:val="903"/>
        </w:trPr>
        <w:tc>
          <w:tcPr>
            <w:tcW w:w="993" w:type="dxa"/>
            <w:tcBorders>
              <w:top w:val="single" w:sz="4" w:space="0" w:color="auto"/>
              <w:bottom w:val="single" w:sz="4" w:space="0" w:color="auto"/>
            </w:tcBorders>
            <w:noWrap/>
            <w:vAlign w:val="center"/>
          </w:tcPr>
          <w:p w14:paraId="56D18DC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Kinnunen</w:t>
            </w:r>
          </w:p>
        </w:tc>
        <w:tc>
          <w:tcPr>
            <w:tcW w:w="708" w:type="dxa"/>
            <w:tcBorders>
              <w:top w:val="single" w:sz="4" w:space="0" w:color="auto"/>
              <w:bottom w:val="single" w:sz="4" w:space="0" w:color="auto"/>
            </w:tcBorders>
            <w:noWrap/>
            <w:vAlign w:val="center"/>
          </w:tcPr>
          <w:p w14:paraId="4039BF0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2020</w:t>
            </w:r>
          </w:p>
        </w:tc>
        <w:tc>
          <w:tcPr>
            <w:tcW w:w="819" w:type="dxa"/>
            <w:tcBorders>
              <w:top w:val="single" w:sz="4" w:space="0" w:color="auto"/>
              <w:bottom w:val="single" w:sz="4" w:space="0" w:color="auto"/>
            </w:tcBorders>
            <w:noWrap/>
            <w:vAlign w:val="center"/>
          </w:tcPr>
          <w:p w14:paraId="026222F3"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Finland</w:t>
            </w:r>
          </w:p>
        </w:tc>
        <w:tc>
          <w:tcPr>
            <w:tcW w:w="1449" w:type="dxa"/>
            <w:gridSpan w:val="2"/>
            <w:tcBorders>
              <w:top w:val="single" w:sz="4" w:space="0" w:color="auto"/>
              <w:bottom w:val="single" w:sz="4" w:space="0" w:color="auto"/>
            </w:tcBorders>
            <w:vAlign w:val="center"/>
          </w:tcPr>
          <w:p w14:paraId="09E3689F"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Oura Ring Gen3 (Oura Health Ltd, Oulu, Finland)</w:t>
            </w:r>
          </w:p>
        </w:tc>
        <w:tc>
          <w:tcPr>
            <w:tcW w:w="1134" w:type="dxa"/>
            <w:tcBorders>
              <w:top w:val="single" w:sz="4" w:space="0" w:color="auto"/>
              <w:bottom w:val="single" w:sz="4" w:space="0" w:color="auto"/>
            </w:tcBorders>
            <w:vAlign w:val="center"/>
          </w:tcPr>
          <w:p w14:paraId="743152E9"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Sleep -heart rate</w:t>
            </w:r>
          </w:p>
        </w:tc>
        <w:tc>
          <w:tcPr>
            <w:tcW w:w="1985" w:type="dxa"/>
            <w:tcBorders>
              <w:top w:val="single" w:sz="4" w:space="0" w:color="auto"/>
              <w:bottom w:val="single" w:sz="4" w:space="0" w:color="auto"/>
            </w:tcBorders>
            <w:vAlign w:val="center"/>
          </w:tcPr>
          <w:p w14:paraId="2346997E"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 xml:space="preserve">To validate the Oura Ring in monitoring nocturnal heart rate. </w:t>
            </w:r>
          </w:p>
        </w:tc>
        <w:tc>
          <w:tcPr>
            <w:tcW w:w="3541" w:type="dxa"/>
            <w:tcBorders>
              <w:top w:val="single" w:sz="4" w:space="0" w:color="auto"/>
              <w:bottom w:val="single" w:sz="4" w:space="0" w:color="auto"/>
            </w:tcBorders>
            <w:vAlign w:val="center"/>
          </w:tcPr>
          <w:p w14:paraId="667B2DD8"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Quantitative cross-sectional study with 49 healthy adults. Recordings were made at home with both the Oura Ring and an ECG during the night.</w:t>
            </w:r>
          </w:p>
        </w:tc>
        <w:tc>
          <w:tcPr>
            <w:tcW w:w="3261" w:type="dxa"/>
            <w:tcBorders>
              <w:top w:val="single" w:sz="4" w:space="0" w:color="auto"/>
              <w:bottom w:val="single" w:sz="4" w:space="0" w:color="auto"/>
            </w:tcBorders>
            <w:vAlign w:val="center"/>
          </w:tcPr>
          <w:p w14:paraId="1E9AA4B7" w14:textId="77777777" w:rsidR="005A499B" w:rsidRPr="00523AB6" w:rsidRDefault="005A499B" w:rsidP="007E42ED">
            <w:pPr>
              <w:spacing w:after="0"/>
              <w:rPr>
                <w:rFonts w:ascii="Calibri" w:hAnsi="Calibri" w:cs="Calibri"/>
                <w:lang w:val="en-US"/>
              </w:rPr>
            </w:pPr>
            <w:r w:rsidRPr="00523AB6">
              <w:rPr>
                <w:rFonts w:ascii="Calibri" w:hAnsi="Calibri" w:cs="Calibri"/>
                <w:lang w:val="en-US"/>
              </w:rPr>
              <w:t>High correlation between the Oura Ring and ECG on the average heart rate (</w:t>
            </w:r>
            <w:r w:rsidRPr="00523AB6">
              <w:rPr>
                <w:rFonts w:ascii="Calibri" w:hAnsi="Calibri" w:cs="Calibri"/>
                <w:i/>
                <w:iCs/>
                <w:lang w:val="en-US"/>
              </w:rPr>
              <w:t>r</w:t>
            </w:r>
            <w:r w:rsidRPr="00523AB6">
              <w:rPr>
                <w:rFonts w:ascii="Calibri" w:hAnsi="Calibri" w:cs="Calibri"/>
                <w:i/>
                <w:iCs/>
                <w:vertAlign w:val="superscript"/>
                <w:lang w:val="en-US"/>
              </w:rPr>
              <w:t>2</w:t>
            </w:r>
            <w:r w:rsidRPr="00523AB6">
              <w:rPr>
                <w:rFonts w:ascii="Calibri" w:hAnsi="Calibri" w:cs="Calibri"/>
                <w:lang w:val="en-US"/>
              </w:rPr>
              <w:t xml:space="preserve"> = 0.996) and HRV (</w:t>
            </w:r>
            <w:r w:rsidRPr="00523AB6">
              <w:rPr>
                <w:rFonts w:ascii="Calibri" w:hAnsi="Calibri" w:cs="Calibri"/>
                <w:i/>
                <w:iCs/>
                <w:lang w:val="en-US"/>
              </w:rPr>
              <w:t>r</w:t>
            </w:r>
            <w:r w:rsidRPr="00523AB6">
              <w:rPr>
                <w:rFonts w:ascii="Calibri" w:hAnsi="Calibri" w:cs="Calibri"/>
                <w:i/>
                <w:iCs/>
                <w:vertAlign w:val="superscript"/>
                <w:lang w:val="en-US"/>
              </w:rPr>
              <w:t>2</w:t>
            </w:r>
            <w:r w:rsidRPr="00523AB6">
              <w:rPr>
                <w:rFonts w:ascii="Calibri" w:hAnsi="Calibri" w:cs="Calibri"/>
                <w:lang w:val="en-US"/>
              </w:rPr>
              <w:t xml:space="preserve"> = 0.980).</w:t>
            </w:r>
          </w:p>
        </w:tc>
      </w:tr>
      <w:tr w:rsidR="005A499B" w:rsidRPr="005A499B" w14:paraId="7F09EEA8" w14:textId="77777777" w:rsidTr="007E42ED">
        <w:trPr>
          <w:trHeight w:val="511"/>
        </w:trPr>
        <w:tc>
          <w:tcPr>
            <w:tcW w:w="13890" w:type="dxa"/>
            <w:gridSpan w:val="9"/>
            <w:tcBorders>
              <w:top w:val="single" w:sz="4" w:space="0" w:color="auto"/>
              <w:bottom w:val="single" w:sz="4" w:space="0" w:color="auto"/>
            </w:tcBorders>
            <w:noWrap/>
            <w:vAlign w:val="center"/>
          </w:tcPr>
          <w:p w14:paraId="00A61896" w14:textId="77777777" w:rsidR="005A499B" w:rsidRPr="00523AB6" w:rsidRDefault="005A499B" w:rsidP="007E42ED">
            <w:pPr>
              <w:spacing w:after="0"/>
              <w:rPr>
                <w:b/>
                <w:bCs/>
                <w:lang w:val="en-GB"/>
              </w:rPr>
            </w:pPr>
            <w:bookmarkStart w:id="2" w:name="_Hlk136611001"/>
            <w:r w:rsidRPr="00523AB6">
              <w:rPr>
                <w:b/>
                <w:bCs/>
                <w:lang w:val="en-GB"/>
              </w:rPr>
              <w:t>Multi-modal systems - with environmental sensors</w:t>
            </w:r>
            <w:bookmarkEnd w:id="2"/>
          </w:p>
        </w:tc>
      </w:tr>
      <w:tr w:rsidR="005A499B" w:rsidRPr="005A499B" w14:paraId="5933E88B" w14:textId="77777777" w:rsidTr="007E42ED">
        <w:trPr>
          <w:trHeight w:val="903"/>
        </w:trPr>
        <w:tc>
          <w:tcPr>
            <w:tcW w:w="993" w:type="dxa"/>
            <w:tcBorders>
              <w:top w:val="single" w:sz="4" w:space="0" w:color="auto"/>
              <w:bottom w:val="single" w:sz="4" w:space="0" w:color="auto"/>
              <w:right w:val="nil"/>
            </w:tcBorders>
            <w:noWrap/>
            <w:vAlign w:val="center"/>
          </w:tcPr>
          <w:p w14:paraId="3B159DC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Au-Yeung</w:t>
            </w:r>
          </w:p>
        </w:tc>
        <w:tc>
          <w:tcPr>
            <w:tcW w:w="708" w:type="dxa"/>
            <w:tcBorders>
              <w:top w:val="single" w:sz="4" w:space="0" w:color="auto"/>
              <w:left w:val="nil"/>
              <w:bottom w:val="single" w:sz="4" w:space="0" w:color="auto"/>
              <w:right w:val="nil"/>
            </w:tcBorders>
            <w:noWrap/>
            <w:vAlign w:val="center"/>
          </w:tcPr>
          <w:p w14:paraId="47523B7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38BF7D0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252D202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Ambient sensors: model not reported (NYCE Sensors, Vancouver, BC),</w:t>
            </w:r>
          </w:p>
          <w:p w14:paraId="4F368BF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Pressure mats: model not reported (Emfit, Finland),</w:t>
            </w:r>
          </w:p>
          <w:p w14:paraId="7AA49E3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Actigraphy: Actiwatch Spectrums (Philips Respironics, Murrysville, PA),</w:t>
            </w:r>
          </w:p>
          <w:p w14:paraId="18562D6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Environmental sensors: Thunderboard Sense 2-SLTB004A (Silicon Labs, Austin, TX)</w:t>
            </w:r>
          </w:p>
        </w:tc>
        <w:tc>
          <w:tcPr>
            <w:tcW w:w="1134" w:type="dxa"/>
            <w:tcBorders>
              <w:top w:val="single" w:sz="4" w:space="0" w:color="auto"/>
              <w:left w:val="nil"/>
              <w:bottom w:val="single" w:sz="4" w:space="0" w:color="auto"/>
              <w:right w:val="nil"/>
            </w:tcBorders>
            <w:vAlign w:val="center"/>
          </w:tcPr>
          <w:p w14:paraId="3D195DE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Agitation</w:t>
            </w:r>
          </w:p>
        </w:tc>
        <w:tc>
          <w:tcPr>
            <w:tcW w:w="1985" w:type="dxa"/>
            <w:tcBorders>
              <w:top w:val="single" w:sz="4" w:space="0" w:color="auto"/>
              <w:left w:val="nil"/>
              <w:bottom w:val="single" w:sz="4" w:space="0" w:color="auto"/>
              <w:right w:val="nil"/>
            </w:tcBorders>
            <w:vAlign w:val="center"/>
          </w:tcPr>
          <w:p w14:paraId="11334BD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provide a proof of concept of monitoring and predicting agitation in memory care facilities with by monitoring the activity, sleep, and the environment (temperature, light, sound, humidity).</w:t>
            </w:r>
          </w:p>
        </w:tc>
        <w:tc>
          <w:tcPr>
            <w:tcW w:w="3541" w:type="dxa"/>
            <w:tcBorders>
              <w:top w:val="single" w:sz="4" w:space="0" w:color="auto"/>
              <w:left w:val="nil"/>
              <w:bottom w:val="single" w:sz="4" w:space="0" w:color="auto"/>
              <w:right w:val="nil"/>
            </w:tcBorders>
            <w:vAlign w:val="center"/>
          </w:tcPr>
          <w:p w14:paraId="77F06AE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case study with one adult with dementia in a memory care unit. The participant was continuously monitored by the system for 138 days. Agitation was recorded by nurses.</w:t>
            </w:r>
          </w:p>
        </w:tc>
        <w:tc>
          <w:tcPr>
            <w:tcW w:w="3261" w:type="dxa"/>
            <w:tcBorders>
              <w:top w:val="single" w:sz="4" w:space="0" w:color="auto"/>
              <w:left w:val="nil"/>
              <w:bottom w:val="single" w:sz="4" w:space="0" w:color="auto"/>
            </w:tcBorders>
            <w:vAlign w:val="center"/>
          </w:tcPr>
          <w:p w14:paraId="5D42729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Sleep, total activity, humidity, ambient sound during the night, humidity and light and in the living room of the previous evening correlated with the presence of agitation at night (</w:t>
            </w:r>
            <w:r w:rsidRPr="00523AB6">
              <w:rPr>
                <w:rFonts w:ascii="Calibri" w:hAnsi="Calibri" w:cs="Calibri"/>
                <w:i/>
                <w:iCs/>
                <w:lang w:val="en-GB"/>
              </w:rPr>
              <w:t>p</w:t>
            </w:r>
            <w:r w:rsidRPr="00523AB6">
              <w:rPr>
                <w:rFonts w:ascii="Calibri" w:hAnsi="Calibri" w:cs="Calibri"/>
                <w:lang w:val="en-GB"/>
              </w:rPr>
              <w:t xml:space="preserve"> &lt; 0.05)</w:t>
            </w:r>
          </w:p>
        </w:tc>
      </w:tr>
      <w:tr w:rsidR="005A499B" w:rsidRPr="00523AB6" w14:paraId="347DB050" w14:textId="77777777" w:rsidTr="007E42ED">
        <w:trPr>
          <w:trHeight w:val="903"/>
        </w:trPr>
        <w:tc>
          <w:tcPr>
            <w:tcW w:w="993" w:type="dxa"/>
            <w:tcBorders>
              <w:top w:val="single" w:sz="4" w:space="0" w:color="auto"/>
              <w:bottom w:val="single" w:sz="4" w:space="0" w:color="auto"/>
              <w:right w:val="nil"/>
            </w:tcBorders>
            <w:noWrap/>
            <w:vAlign w:val="center"/>
          </w:tcPr>
          <w:p w14:paraId="376D11D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Bankole</w:t>
            </w:r>
          </w:p>
        </w:tc>
        <w:tc>
          <w:tcPr>
            <w:tcW w:w="708" w:type="dxa"/>
            <w:tcBorders>
              <w:top w:val="single" w:sz="4" w:space="0" w:color="auto"/>
              <w:left w:val="nil"/>
              <w:bottom w:val="single" w:sz="4" w:space="0" w:color="auto"/>
              <w:right w:val="nil"/>
            </w:tcBorders>
            <w:noWrap/>
            <w:vAlign w:val="center"/>
          </w:tcPr>
          <w:p w14:paraId="6E52037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5B5B424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70A35B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BESI system (developed by the authors)</w:t>
            </w:r>
          </w:p>
        </w:tc>
        <w:tc>
          <w:tcPr>
            <w:tcW w:w="1134" w:type="dxa"/>
            <w:tcBorders>
              <w:top w:val="single" w:sz="4" w:space="0" w:color="auto"/>
              <w:left w:val="nil"/>
              <w:bottom w:val="single" w:sz="4" w:space="0" w:color="auto"/>
              <w:right w:val="nil"/>
            </w:tcBorders>
            <w:vAlign w:val="center"/>
          </w:tcPr>
          <w:p w14:paraId="3DBAC55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4131154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and validate a home monitoring system for agitation and its environmental triggers in people with dementia. The system includes an actigraphy and environmental sensors for acoustic, light, humidity, barometric pressure, and movement.</w:t>
            </w:r>
          </w:p>
        </w:tc>
        <w:tc>
          <w:tcPr>
            <w:tcW w:w="3541" w:type="dxa"/>
            <w:tcBorders>
              <w:top w:val="single" w:sz="4" w:space="0" w:color="auto"/>
              <w:left w:val="nil"/>
              <w:bottom w:val="single" w:sz="4" w:space="0" w:color="auto"/>
              <w:right w:val="nil"/>
            </w:tcBorders>
            <w:vAlign w:val="center"/>
          </w:tcPr>
          <w:p w14:paraId="130A6F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Mixed-method study with two healthy volunteers and 12 community-dwelling people with dementia and their family caregivers. The BESI system was first tested in the laboratory and then applied in each home of the people with dementia for 30 days. Family caregivers recorded the activities and agitation events of the people with dementia.</w:t>
            </w:r>
          </w:p>
        </w:tc>
        <w:tc>
          <w:tcPr>
            <w:tcW w:w="3261" w:type="dxa"/>
            <w:tcBorders>
              <w:top w:val="single" w:sz="4" w:space="0" w:color="auto"/>
              <w:left w:val="nil"/>
              <w:bottom w:val="single" w:sz="4" w:space="0" w:color="auto"/>
            </w:tcBorders>
            <w:vAlign w:val="center"/>
          </w:tcPr>
          <w:p w14:paraId="125DD33E" w14:textId="77777777" w:rsidR="005A499B" w:rsidRPr="00523AB6" w:rsidRDefault="005A499B" w:rsidP="007E42ED">
            <w:pPr>
              <w:spacing w:after="0"/>
              <w:rPr>
                <w:rFonts w:ascii="Calibri" w:hAnsi="Calibri" w:cs="Calibri"/>
                <w:lang w:val="en-GB"/>
              </w:rPr>
            </w:pPr>
            <w:bookmarkStart w:id="3" w:name="_Hlk136613780"/>
            <w:r w:rsidRPr="00523AB6">
              <w:rPr>
                <w:rFonts w:ascii="Calibri" w:hAnsi="Calibri" w:cs="Calibri"/>
                <w:lang w:val="en-GB"/>
              </w:rPr>
              <w:t>Environmental factors (temperature, pressure, and humidity) strongly correlated with agitation</w:t>
            </w:r>
            <w:r w:rsidRPr="00523AB6">
              <w:rPr>
                <w:lang w:val="en-US"/>
              </w:rPr>
              <w:t xml:space="preserve"> </w:t>
            </w:r>
            <w:bookmarkEnd w:id="3"/>
            <w:r w:rsidRPr="00523AB6">
              <w:rPr>
                <w:lang w:val="en-US"/>
              </w:rPr>
              <w:t>(</w:t>
            </w:r>
            <w:r w:rsidRPr="00523AB6">
              <w:rPr>
                <w:rFonts w:ascii="Calibri" w:hAnsi="Calibri" w:cs="Calibri"/>
                <w:i/>
                <w:iCs/>
                <w:lang w:val="en-GB"/>
              </w:rPr>
              <w:t>r</w:t>
            </w:r>
            <w:r w:rsidRPr="00523AB6">
              <w:rPr>
                <w:rFonts w:ascii="Calibri" w:hAnsi="Calibri" w:cs="Calibri"/>
                <w:lang w:val="en-GB"/>
              </w:rPr>
              <w:t xml:space="preserve"> = 0.70 to 0.85, </w:t>
            </w:r>
            <w:r w:rsidRPr="00523AB6">
              <w:rPr>
                <w:rFonts w:ascii="Calibri" w:hAnsi="Calibri" w:cs="Calibri"/>
                <w:i/>
                <w:iCs/>
                <w:lang w:val="en-GB"/>
              </w:rPr>
              <w:t>p</w:t>
            </w:r>
            <w:r w:rsidRPr="00523AB6">
              <w:rPr>
                <w:rFonts w:ascii="Calibri" w:hAnsi="Calibri" w:cs="Calibri"/>
                <w:lang w:val="en-GB"/>
              </w:rPr>
              <w:t xml:space="preserve"> = 0.05). However, the predictors were person-specific.</w:t>
            </w:r>
          </w:p>
        </w:tc>
      </w:tr>
      <w:tr w:rsidR="005A499B" w:rsidRPr="005A499B" w14:paraId="361C9BBD" w14:textId="77777777" w:rsidTr="007E42ED">
        <w:trPr>
          <w:trHeight w:val="903"/>
        </w:trPr>
        <w:tc>
          <w:tcPr>
            <w:tcW w:w="993" w:type="dxa"/>
            <w:tcBorders>
              <w:top w:val="single" w:sz="4" w:space="0" w:color="auto"/>
              <w:bottom w:val="single" w:sz="4" w:space="0" w:color="auto"/>
              <w:right w:val="nil"/>
            </w:tcBorders>
            <w:noWrap/>
            <w:vAlign w:val="center"/>
          </w:tcPr>
          <w:p w14:paraId="54E1CF2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Khan</w:t>
            </w:r>
          </w:p>
        </w:tc>
        <w:tc>
          <w:tcPr>
            <w:tcW w:w="708" w:type="dxa"/>
            <w:tcBorders>
              <w:top w:val="single" w:sz="4" w:space="0" w:color="auto"/>
              <w:left w:val="nil"/>
              <w:bottom w:val="single" w:sz="4" w:space="0" w:color="auto"/>
              <w:right w:val="nil"/>
            </w:tcBorders>
            <w:noWrap/>
            <w:vAlign w:val="center"/>
          </w:tcPr>
          <w:p w14:paraId="75D48F5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768CC33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112A0C7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152E0CD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22AEC6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develop a system to automatically detect agitation in people with dementia. The proposed system includes actigraphy, EDA monitor, </w:t>
            </w:r>
            <w:r w:rsidRPr="00523AB6">
              <w:rPr>
                <w:rFonts w:ascii="Calibri" w:hAnsi="Calibri" w:cs="Calibri"/>
                <w:lang w:val="en-GB"/>
              </w:rPr>
              <w:lastRenderedPageBreak/>
              <w:t>pressure mat, video cameras, environmental motion sensors, and door sensors.</w:t>
            </w:r>
          </w:p>
        </w:tc>
        <w:tc>
          <w:tcPr>
            <w:tcW w:w="3541" w:type="dxa"/>
            <w:tcBorders>
              <w:top w:val="single" w:sz="4" w:space="0" w:color="auto"/>
              <w:left w:val="nil"/>
              <w:bottom w:val="single" w:sz="4" w:space="0" w:color="auto"/>
              <w:right w:val="nil"/>
            </w:tcBorders>
            <w:vAlign w:val="center"/>
          </w:tcPr>
          <w:p w14:paraId="25FB6FE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cross-sectional study with two older adults with dementia at a rehabilitation institute. The participants were monitored for 15 and 13 days respectively. Agitation episodes were noted by nurses. Different algorithms were tested </w:t>
            </w:r>
            <w:r w:rsidRPr="00523AB6">
              <w:rPr>
                <w:rFonts w:ascii="Calibri" w:hAnsi="Calibri" w:cs="Calibri"/>
                <w:lang w:val="en-GB"/>
              </w:rPr>
              <w:lastRenderedPageBreak/>
              <w:t>using different combinations of sensor data.</w:t>
            </w:r>
          </w:p>
        </w:tc>
        <w:tc>
          <w:tcPr>
            <w:tcW w:w="3261" w:type="dxa"/>
            <w:tcBorders>
              <w:top w:val="single" w:sz="4" w:space="0" w:color="auto"/>
              <w:left w:val="nil"/>
              <w:bottom w:val="single" w:sz="4" w:space="0" w:color="auto"/>
            </w:tcBorders>
            <w:vAlign w:val="center"/>
          </w:tcPr>
          <w:p w14:paraId="3A003C7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The highest AUC (89%) was achieved by combining actigraphy, </w:t>
            </w:r>
            <w:bookmarkStart w:id="4" w:name="_Hlk136614122"/>
            <w:r w:rsidRPr="00523AB6">
              <w:rPr>
                <w:rFonts w:ascii="Calibri" w:hAnsi="Calibri" w:cs="Calibri"/>
                <w:lang w:val="en-GB"/>
              </w:rPr>
              <w:t>skin temperature, and EDA data</w:t>
            </w:r>
            <w:bookmarkEnd w:id="4"/>
            <w:r w:rsidRPr="00523AB6">
              <w:rPr>
                <w:rFonts w:ascii="Calibri" w:hAnsi="Calibri" w:cs="Calibri"/>
                <w:lang w:val="en-GB"/>
              </w:rPr>
              <w:t xml:space="preserve">. </w:t>
            </w:r>
          </w:p>
        </w:tc>
      </w:tr>
      <w:tr w:rsidR="005A499B" w:rsidRPr="005A499B" w14:paraId="01599806" w14:textId="77777777" w:rsidTr="007E42ED">
        <w:trPr>
          <w:trHeight w:val="903"/>
        </w:trPr>
        <w:tc>
          <w:tcPr>
            <w:tcW w:w="993" w:type="dxa"/>
            <w:tcBorders>
              <w:top w:val="single" w:sz="4" w:space="0" w:color="auto"/>
              <w:bottom w:val="single" w:sz="4" w:space="0" w:color="auto"/>
              <w:right w:val="nil"/>
            </w:tcBorders>
            <w:noWrap/>
            <w:vAlign w:val="center"/>
          </w:tcPr>
          <w:p w14:paraId="028F7AD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Davoudi</w:t>
            </w:r>
          </w:p>
        </w:tc>
        <w:tc>
          <w:tcPr>
            <w:tcW w:w="708" w:type="dxa"/>
            <w:tcBorders>
              <w:top w:val="single" w:sz="4" w:space="0" w:color="auto"/>
              <w:left w:val="nil"/>
              <w:bottom w:val="single" w:sz="4" w:space="0" w:color="auto"/>
              <w:right w:val="nil"/>
            </w:tcBorders>
            <w:noWrap/>
            <w:vAlign w:val="center"/>
          </w:tcPr>
          <w:p w14:paraId="5567D05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0AB04B5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2847EA4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69F3882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Delirium</w:t>
            </w:r>
          </w:p>
        </w:tc>
        <w:tc>
          <w:tcPr>
            <w:tcW w:w="1985" w:type="dxa"/>
            <w:tcBorders>
              <w:top w:val="single" w:sz="4" w:space="0" w:color="auto"/>
              <w:left w:val="nil"/>
              <w:bottom w:val="single" w:sz="4" w:space="0" w:color="auto"/>
              <w:right w:val="nil"/>
            </w:tcBorders>
            <w:vAlign w:val="center"/>
          </w:tcPr>
          <w:p w14:paraId="3EBBECC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pilot test a system that includes a camera, three actigraphy, a light sensor, and a microphone in the ICU.</w:t>
            </w:r>
          </w:p>
        </w:tc>
        <w:tc>
          <w:tcPr>
            <w:tcW w:w="3541" w:type="dxa"/>
            <w:tcBorders>
              <w:top w:val="single" w:sz="4" w:space="0" w:color="auto"/>
              <w:left w:val="nil"/>
              <w:bottom w:val="single" w:sz="4" w:space="0" w:color="auto"/>
              <w:right w:val="nil"/>
            </w:tcBorders>
            <w:vAlign w:val="center"/>
          </w:tcPr>
          <w:p w14:paraId="4A77849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17 older adults in the surgical ICU, nine of them had delirium. Participants were monitored continuously for a maximum of seven days.</w:t>
            </w:r>
          </w:p>
        </w:tc>
        <w:tc>
          <w:tcPr>
            <w:tcW w:w="3261" w:type="dxa"/>
            <w:tcBorders>
              <w:top w:val="single" w:sz="4" w:space="0" w:color="auto"/>
              <w:left w:val="nil"/>
              <w:bottom w:val="single" w:sz="4" w:space="0" w:color="auto"/>
            </w:tcBorders>
            <w:vAlign w:val="center"/>
          </w:tcPr>
          <w:p w14:paraId="662700E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Participants with and without delirium significant differed in </w:t>
            </w:r>
            <w:bookmarkStart w:id="5" w:name="_Hlk136614204"/>
            <w:r w:rsidRPr="00523AB6">
              <w:rPr>
                <w:rFonts w:ascii="Calibri" w:hAnsi="Calibri" w:cs="Calibri"/>
                <w:lang w:val="en-GB"/>
              </w:rPr>
              <w:t xml:space="preserve">facial expressions, </w:t>
            </w:r>
            <w:bookmarkEnd w:id="5"/>
            <w:r w:rsidRPr="00523AB6">
              <w:rPr>
                <w:rFonts w:ascii="Calibri" w:hAnsi="Calibri" w:cs="Calibri"/>
                <w:lang w:val="en-GB"/>
              </w:rPr>
              <w:t xml:space="preserve">functional status entailing extremity movement and postures, and environmental factors including the visitation frequency, light and sound pressure levels at night. </w:t>
            </w:r>
          </w:p>
        </w:tc>
      </w:tr>
      <w:tr w:rsidR="005A499B" w:rsidRPr="005A499B" w14:paraId="12B5B0AE" w14:textId="77777777" w:rsidTr="007E42ED">
        <w:trPr>
          <w:trHeight w:val="511"/>
        </w:trPr>
        <w:tc>
          <w:tcPr>
            <w:tcW w:w="13890" w:type="dxa"/>
            <w:gridSpan w:val="9"/>
            <w:tcBorders>
              <w:top w:val="single" w:sz="4" w:space="0" w:color="auto"/>
              <w:bottom w:val="single" w:sz="4" w:space="0" w:color="auto"/>
            </w:tcBorders>
            <w:noWrap/>
            <w:vAlign w:val="center"/>
          </w:tcPr>
          <w:p w14:paraId="6529E150" w14:textId="77777777" w:rsidR="005A499B" w:rsidRPr="00523AB6" w:rsidRDefault="005A499B" w:rsidP="007E42ED">
            <w:pPr>
              <w:spacing w:after="0"/>
              <w:rPr>
                <w:b/>
                <w:bCs/>
                <w:lang w:val="en-GB"/>
              </w:rPr>
            </w:pPr>
            <w:r w:rsidRPr="00523AB6">
              <w:rPr>
                <w:b/>
                <w:bCs/>
                <w:lang w:val="en-GB"/>
              </w:rPr>
              <w:t>Multi-modal systems – other multi-modal systems</w:t>
            </w:r>
          </w:p>
        </w:tc>
      </w:tr>
      <w:tr w:rsidR="005A499B" w:rsidRPr="005A499B" w14:paraId="3783576A" w14:textId="77777777" w:rsidTr="007E42ED">
        <w:trPr>
          <w:trHeight w:val="903"/>
        </w:trPr>
        <w:tc>
          <w:tcPr>
            <w:tcW w:w="993" w:type="dxa"/>
            <w:tcBorders>
              <w:top w:val="single" w:sz="4" w:space="0" w:color="auto"/>
              <w:bottom w:val="single" w:sz="4" w:space="0" w:color="auto"/>
              <w:right w:val="nil"/>
            </w:tcBorders>
            <w:noWrap/>
            <w:vAlign w:val="center"/>
          </w:tcPr>
          <w:p w14:paraId="5F47B06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Chen</w:t>
            </w:r>
          </w:p>
        </w:tc>
        <w:tc>
          <w:tcPr>
            <w:tcW w:w="708" w:type="dxa"/>
            <w:tcBorders>
              <w:top w:val="single" w:sz="4" w:space="0" w:color="auto"/>
              <w:left w:val="nil"/>
              <w:bottom w:val="single" w:sz="4" w:space="0" w:color="auto"/>
              <w:right w:val="nil"/>
            </w:tcBorders>
            <w:noWrap/>
            <w:vAlign w:val="center"/>
          </w:tcPr>
          <w:p w14:paraId="5C46DA7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25382E3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Singapore</w:t>
            </w:r>
          </w:p>
        </w:tc>
        <w:tc>
          <w:tcPr>
            <w:tcW w:w="1275" w:type="dxa"/>
            <w:tcBorders>
              <w:top w:val="single" w:sz="4" w:space="0" w:color="auto"/>
              <w:left w:val="nil"/>
              <w:bottom w:val="single" w:sz="4" w:space="0" w:color="auto"/>
              <w:right w:val="nil"/>
            </w:tcBorders>
            <w:vAlign w:val="center"/>
          </w:tcPr>
          <w:p w14:paraId="7752FC0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Study 1: chest-worn biosensor (model and brand not reported), Study 2:</w:t>
            </w:r>
          </w:p>
          <w:p w14:paraId="459A996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Everion® CD, analyzed by the </w:t>
            </w:r>
            <w:r w:rsidRPr="00523AB6">
              <w:rPr>
                <w:lang w:val="en-US"/>
              </w:rPr>
              <w:t xml:space="preserve"> </w:t>
            </w:r>
            <w:r w:rsidRPr="00523AB6">
              <w:rPr>
                <w:rFonts w:ascii="Calibri" w:eastAsia="Times New Roman" w:hAnsi="Calibri" w:cs="Calibri"/>
                <w:lang w:val="en-GB"/>
              </w:rPr>
              <w:t>Biovitals</w:t>
            </w:r>
            <w:r w:rsidRPr="00523AB6">
              <w:rPr>
                <w:rFonts w:ascii="Calibri" w:eastAsia="Times New Roman" w:hAnsi="Calibri" w:cs="Calibri"/>
                <w:vertAlign w:val="superscript"/>
                <w:lang w:val="en-GB"/>
              </w:rPr>
              <w:t>TM</w:t>
            </w:r>
            <w:r w:rsidRPr="00523AB6">
              <w:rPr>
                <w:rFonts w:ascii="Calibri" w:eastAsia="Times New Roman" w:hAnsi="Calibri" w:cs="Calibri"/>
                <w:lang w:val="en-GB"/>
              </w:rPr>
              <w:t xml:space="preserve"> analytics platform</w:t>
            </w:r>
          </w:p>
        </w:tc>
        <w:tc>
          <w:tcPr>
            <w:tcW w:w="1134" w:type="dxa"/>
            <w:tcBorders>
              <w:top w:val="single" w:sz="4" w:space="0" w:color="auto"/>
              <w:left w:val="nil"/>
              <w:bottom w:val="single" w:sz="4" w:space="0" w:color="auto"/>
              <w:right w:val="nil"/>
            </w:tcBorders>
            <w:vAlign w:val="center"/>
          </w:tcPr>
          <w:p w14:paraId="56FB61E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Change in vital signs, hypoxia</w:t>
            </w:r>
          </w:p>
        </w:tc>
        <w:tc>
          <w:tcPr>
            <w:tcW w:w="1985" w:type="dxa"/>
            <w:tcBorders>
              <w:top w:val="single" w:sz="4" w:space="0" w:color="auto"/>
              <w:left w:val="nil"/>
              <w:bottom w:val="single" w:sz="4" w:space="0" w:color="auto"/>
              <w:right w:val="nil"/>
            </w:tcBorders>
            <w:vAlign w:val="center"/>
          </w:tcPr>
          <w:p w14:paraId="04E6B2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an analytic platform to monitor the changes in vital signs, including heart rate, respiration rate and activity.</w:t>
            </w:r>
          </w:p>
        </w:tc>
        <w:tc>
          <w:tcPr>
            <w:tcW w:w="3541" w:type="dxa"/>
            <w:tcBorders>
              <w:top w:val="single" w:sz="4" w:space="0" w:color="auto"/>
              <w:left w:val="nil"/>
              <w:bottom w:val="single" w:sz="4" w:space="0" w:color="auto"/>
              <w:right w:val="nil"/>
            </w:tcBorders>
            <w:vAlign w:val="center"/>
          </w:tcPr>
          <w:p w14:paraId="2154263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studies. The first study used data of 26 older adults with heart failure after discharge. They were monitored for seven to 60 days. Disturbance was added by the researchers to a few days of the data to validate the system. In the second study, 50 healthy adults wore the device for four days in their daily life and for two hours in a hypobaric chamber where they performed controlled exercises. The Biovitals results of daily life was compared with those in the chamber.  </w:t>
            </w:r>
          </w:p>
        </w:tc>
        <w:tc>
          <w:tcPr>
            <w:tcW w:w="3261" w:type="dxa"/>
            <w:tcBorders>
              <w:top w:val="single" w:sz="4" w:space="0" w:color="auto"/>
              <w:left w:val="nil"/>
              <w:bottom w:val="single" w:sz="4" w:space="0" w:color="auto"/>
            </w:tcBorders>
            <w:vAlign w:val="center"/>
          </w:tcPr>
          <w:p w14:paraId="344A124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Study 1: The system could recognize randomly added disturbance to the data with an AUC of 80%-94%.</w:t>
            </w:r>
          </w:p>
          <w:p w14:paraId="18ACC80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Study 2: The system could distinguish the daily life from the hypobaric chamber condition with an AUC of 99%, a sensitivity of 91%, and a specificity of 98%.</w:t>
            </w:r>
          </w:p>
        </w:tc>
      </w:tr>
      <w:tr w:rsidR="005A499B" w:rsidRPr="005A499B" w14:paraId="64F7B8CA" w14:textId="77777777" w:rsidTr="007E42ED">
        <w:trPr>
          <w:trHeight w:val="903"/>
        </w:trPr>
        <w:tc>
          <w:tcPr>
            <w:tcW w:w="993" w:type="dxa"/>
            <w:tcBorders>
              <w:top w:val="single" w:sz="4" w:space="0" w:color="auto"/>
              <w:bottom w:val="single" w:sz="4" w:space="0" w:color="auto"/>
              <w:right w:val="nil"/>
            </w:tcBorders>
            <w:noWrap/>
            <w:vAlign w:val="center"/>
          </w:tcPr>
          <w:p w14:paraId="44BD5C4B"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Ramirez-Moreno</w:t>
            </w:r>
          </w:p>
        </w:tc>
        <w:tc>
          <w:tcPr>
            <w:tcW w:w="708" w:type="dxa"/>
            <w:tcBorders>
              <w:top w:val="single" w:sz="4" w:space="0" w:color="auto"/>
              <w:left w:val="nil"/>
              <w:bottom w:val="single" w:sz="4" w:space="0" w:color="auto"/>
              <w:right w:val="nil"/>
            </w:tcBorders>
            <w:noWrap/>
            <w:vAlign w:val="center"/>
          </w:tcPr>
          <w:p w14:paraId="2F8A7A7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6E89238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Mexico</w:t>
            </w:r>
          </w:p>
        </w:tc>
        <w:tc>
          <w:tcPr>
            <w:tcW w:w="1275" w:type="dxa"/>
            <w:tcBorders>
              <w:top w:val="single" w:sz="4" w:space="0" w:color="auto"/>
              <w:left w:val="nil"/>
              <w:bottom w:val="single" w:sz="4" w:space="0" w:color="auto"/>
              <w:right w:val="nil"/>
            </w:tcBorders>
            <w:vAlign w:val="center"/>
          </w:tcPr>
          <w:p w14:paraId="1E2525B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Ultracortex “Mark IV” EEG headset, (OpenBCI, New York, NY, USA)  Empatica E4 (Empatica, Milano, Italy)</w:t>
            </w:r>
          </w:p>
        </w:tc>
        <w:tc>
          <w:tcPr>
            <w:tcW w:w="1134" w:type="dxa"/>
            <w:tcBorders>
              <w:top w:val="single" w:sz="4" w:space="0" w:color="auto"/>
              <w:left w:val="nil"/>
              <w:bottom w:val="single" w:sz="4" w:space="0" w:color="auto"/>
              <w:right w:val="nil"/>
            </w:tcBorders>
            <w:vAlign w:val="center"/>
          </w:tcPr>
          <w:p w14:paraId="1224F3D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Mental fatigue</w:t>
            </w:r>
          </w:p>
        </w:tc>
        <w:tc>
          <w:tcPr>
            <w:tcW w:w="1985" w:type="dxa"/>
            <w:tcBorders>
              <w:top w:val="single" w:sz="4" w:space="0" w:color="auto"/>
              <w:left w:val="nil"/>
              <w:bottom w:val="single" w:sz="4" w:space="0" w:color="auto"/>
              <w:right w:val="nil"/>
            </w:tcBorders>
            <w:vAlign w:val="center"/>
          </w:tcPr>
          <w:p w14:paraId="2EAC2DF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model to detect mental fatigue in workplace.</w:t>
            </w:r>
          </w:p>
        </w:tc>
        <w:tc>
          <w:tcPr>
            <w:tcW w:w="3541" w:type="dxa"/>
            <w:tcBorders>
              <w:top w:val="single" w:sz="4" w:space="0" w:color="auto"/>
              <w:left w:val="nil"/>
              <w:bottom w:val="single" w:sz="4" w:space="0" w:color="auto"/>
              <w:right w:val="nil"/>
            </w:tcBorders>
            <w:vAlign w:val="center"/>
          </w:tcPr>
          <w:p w14:paraId="1E6C3DE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17 healthy adults in the laboratory. Participants were monitored for 30s with eyes open, 30s with eyes closed, and four minutes during an auditory oddball task. Correlations to self-reported mental fatigue levels (using the fatigue assessment scale) were calculated to find the best predictors.</w:t>
            </w:r>
          </w:p>
        </w:tc>
        <w:tc>
          <w:tcPr>
            <w:tcW w:w="3261" w:type="dxa"/>
            <w:tcBorders>
              <w:top w:val="single" w:sz="4" w:space="0" w:color="auto"/>
              <w:left w:val="nil"/>
              <w:bottom w:val="single" w:sz="4" w:space="0" w:color="auto"/>
            </w:tcBorders>
            <w:vAlign w:val="center"/>
          </w:tcPr>
          <w:p w14:paraId="3990040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EEG features correlated with the self-report of mental fatigue. The parameters measured by Empatica E4 did not have statistically significant correlations. The best model using three EEG features had an accuracy of 88%.</w:t>
            </w:r>
          </w:p>
        </w:tc>
      </w:tr>
      <w:tr w:rsidR="005A499B" w:rsidRPr="005A499B" w14:paraId="54180D8B" w14:textId="77777777" w:rsidTr="007E42ED">
        <w:trPr>
          <w:trHeight w:val="903"/>
        </w:trPr>
        <w:tc>
          <w:tcPr>
            <w:tcW w:w="993" w:type="dxa"/>
            <w:tcBorders>
              <w:top w:val="single" w:sz="4" w:space="0" w:color="auto"/>
              <w:bottom w:val="single" w:sz="4" w:space="0" w:color="auto"/>
              <w:right w:val="nil"/>
            </w:tcBorders>
            <w:noWrap/>
            <w:vAlign w:val="center"/>
          </w:tcPr>
          <w:p w14:paraId="0E791053"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Gelinas</w:t>
            </w:r>
          </w:p>
        </w:tc>
        <w:tc>
          <w:tcPr>
            <w:tcW w:w="708" w:type="dxa"/>
            <w:tcBorders>
              <w:top w:val="single" w:sz="4" w:space="0" w:color="auto"/>
              <w:left w:val="nil"/>
              <w:bottom w:val="single" w:sz="4" w:space="0" w:color="auto"/>
              <w:right w:val="nil"/>
            </w:tcBorders>
            <w:noWrap/>
            <w:vAlign w:val="center"/>
          </w:tcPr>
          <w:p w14:paraId="55740C0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5FFF4F0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60868BA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Nociception Level (NOL) Index PMD200</w:t>
            </w:r>
            <w:r w:rsidRPr="00523AB6">
              <w:rPr>
                <w:rFonts w:ascii="Calibri" w:eastAsia="Times New Roman" w:hAnsi="Calibri" w:cs="Calibri"/>
                <w:vertAlign w:val="superscript"/>
                <w:lang w:val="en-GB"/>
              </w:rPr>
              <w:t>TM</w:t>
            </w:r>
            <w:r w:rsidRPr="00523AB6">
              <w:rPr>
                <w:rFonts w:ascii="Calibri" w:eastAsia="Times New Roman" w:hAnsi="Calibri" w:cs="Calibri"/>
                <w:lang w:val="en-GB"/>
              </w:rPr>
              <w:t xml:space="preserve"> (Medasense Biometrics Ltd, Ramat Gan, Israel)</w:t>
            </w:r>
          </w:p>
        </w:tc>
        <w:tc>
          <w:tcPr>
            <w:tcW w:w="1134" w:type="dxa"/>
            <w:tcBorders>
              <w:top w:val="single" w:sz="4" w:space="0" w:color="auto"/>
              <w:left w:val="nil"/>
              <w:bottom w:val="single" w:sz="4" w:space="0" w:color="auto"/>
              <w:right w:val="nil"/>
            </w:tcBorders>
            <w:vAlign w:val="center"/>
          </w:tcPr>
          <w:p w14:paraId="24A7E7D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58763E6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test a system to monitor pain in patients after an operation. The device is worn on the finger and monitors EDA, and heart rate.</w:t>
            </w:r>
          </w:p>
        </w:tc>
        <w:tc>
          <w:tcPr>
            <w:tcW w:w="3541" w:type="dxa"/>
            <w:tcBorders>
              <w:top w:val="single" w:sz="4" w:space="0" w:color="auto"/>
              <w:left w:val="nil"/>
              <w:bottom w:val="single" w:sz="4" w:space="0" w:color="auto"/>
              <w:right w:val="nil"/>
            </w:tcBorders>
            <w:vAlign w:val="center"/>
          </w:tcPr>
          <w:p w14:paraId="4B45F08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70 participants in the ICU after cardiac surgery. The NOL index calculated by the system was compared to self-reports of pain and anxiety (0-10 numeric rating scale), as well as observation of pain using the Critical-Care Pain Observation Tool (CPOT) measured before and during a non-nociceptive procedure and before, during, and after a nociceptive procedure.</w:t>
            </w:r>
          </w:p>
        </w:tc>
        <w:tc>
          <w:tcPr>
            <w:tcW w:w="3261" w:type="dxa"/>
            <w:tcBorders>
              <w:top w:val="single" w:sz="4" w:space="0" w:color="auto"/>
              <w:left w:val="nil"/>
              <w:bottom w:val="single" w:sz="4" w:space="0" w:color="auto"/>
            </w:tcBorders>
            <w:vAlign w:val="center"/>
          </w:tcPr>
          <w:p w14:paraId="552A555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NOL index was higher during nociceptive procedures and correlated with self-reported pain intensity and unpleasantness. It did not correlate anxiety and CPOT. The NOL recognized pain with a self-reported intensity above 1 (out of 10) with an AUC of 70%, sensitivity of 76%, and specificity of 61%. For pain intensity above 5, the AUC was 74%, the sensitivity was 85%, and the specificity was 75%.</w:t>
            </w:r>
          </w:p>
        </w:tc>
      </w:tr>
      <w:tr w:rsidR="005A499B" w:rsidRPr="005A499B" w14:paraId="297C9A04" w14:textId="77777777" w:rsidTr="007E42ED">
        <w:trPr>
          <w:trHeight w:val="903"/>
        </w:trPr>
        <w:tc>
          <w:tcPr>
            <w:tcW w:w="993" w:type="dxa"/>
            <w:tcBorders>
              <w:top w:val="single" w:sz="4" w:space="0" w:color="auto"/>
              <w:bottom w:val="single" w:sz="4" w:space="0" w:color="auto"/>
              <w:right w:val="nil"/>
            </w:tcBorders>
            <w:noWrap/>
            <w:vAlign w:val="center"/>
          </w:tcPr>
          <w:p w14:paraId="39CC76C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Jiang</w:t>
            </w:r>
          </w:p>
        </w:tc>
        <w:tc>
          <w:tcPr>
            <w:tcW w:w="708" w:type="dxa"/>
            <w:tcBorders>
              <w:top w:val="single" w:sz="4" w:space="0" w:color="auto"/>
              <w:left w:val="nil"/>
              <w:bottom w:val="single" w:sz="4" w:space="0" w:color="auto"/>
              <w:right w:val="nil"/>
            </w:tcBorders>
            <w:noWrap/>
            <w:vAlign w:val="center"/>
          </w:tcPr>
          <w:p w14:paraId="73F5454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236F62E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Finland, USA, Austria</w:t>
            </w:r>
          </w:p>
        </w:tc>
        <w:tc>
          <w:tcPr>
            <w:tcW w:w="1275" w:type="dxa"/>
            <w:tcBorders>
              <w:top w:val="single" w:sz="4" w:space="0" w:color="auto"/>
              <w:left w:val="nil"/>
              <w:bottom w:val="single" w:sz="4" w:space="0" w:color="auto"/>
              <w:right w:val="nil"/>
            </w:tcBorders>
            <w:vAlign w:val="center"/>
          </w:tcPr>
          <w:p w14:paraId="0330FA2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08F873C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3E7F083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system to continuously monitor pain by measuring respiration rate, heart rate, EDA, and face sEMG.</w:t>
            </w:r>
          </w:p>
        </w:tc>
        <w:tc>
          <w:tcPr>
            <w:tcW w:w="3541" w:type="dxa"/>
            <w:tcBorders>
              <w:top w:val="single" w:sz="4" w:space="0" w:color="auto"/>
              <w:left w:val="nil"/>
              <w:bottom w:val="single" w:sz="4" w:space="0" w:color="auto"/>
              <w:right w:val="nil"/>
            </w:tcBorders>
            <w:vAlign w:val="center"/>
          </w:tcPr>
          <w:p w14:paraId="2A6C06A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study with 30 healthy participants in the laboratory. Participants received electrical or thermal pain stimuli on the forearm of ring finger while being monitored by the system. The monitoring results </w:t>
            </w:r>
            <w:r w:rsidRPr="00523AB6">
              <w:rPr>
                <w:rFonts w:ascii="Calibri" w:hAnsi="Calibri" w:cs="Calibri"/>
                <w:lang w:val="en-GB"/>
              </w:rPr>
              <w:lastRenderedPageBreak/>
              <w:t xml:space="preserve">were compared to self-report of no pain, mild pain, or moderate/severe pain based on a VAS. </w:t>
            </w:r>
          </w:p>
        </w:tc>
        <w:tc>
          <w:tcPr>
            <w:tcW w:w="3261" w:type="dxa"/>
            <w:tcBorders>
              <w:top w:val="single" w:sz="4" w:space="0" w:color="auto"/>
              <w:left w:val="nil"/>
              <w:bottom w:val="single" w:sz="4" w:space="0" w:color="auto"/>
            </w:tcBorders>
            <w:vAlign w:val="center"/>
          </w:tcPr>
          <w:p w14:paraId="0D484B4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They system could classify pain in three severity categories with an accuracy of 70.6%. Respiration rate, heart rate, EDA correlate more strongly with pain intensity than face sEMG.</w:t>
            </w:r>
          </w:p>
        </w:tc>
      </w:tr>
      <w:tr w:rsidR="005A499B" w:rsidRPr="005A499B" w14:paraId="6FD19C23" w14:textId="77777777" w:rsidTr="007E42ED">
        <w:trPr>
          <w:trHeight w:val="903"/>
        </w:trPr>
        <w:tc>
          <w:tcPr>
            <w:tcW w:w="993" w:type="dxa"/>
            <w:tcBorders>
              <w:top w:val="single" w:sz="4" w:space="0" w:color="auto"/>
              <w:bottom w:val="single" w:sz="4" w:space="0" w:color="auto"/>
              <w:right w:val="nil"/>
            </w:tcBorders>
            <w:noWrap/>
            <w:vAlign w:val="center"/>
          </w:tcPr>
          <w:p w14:paraId="2C2D6046"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Lai Kwan</w:t>
            </w:r>
          </w:p>
        </w:tc>
        <w:tc>
          <w:tcPr>
            <w:tcW w:w="708" w:type="dxa"/>
            <w:tcBorders>
              <w:top w:val="single" w:sz="4" w:space="0" w:color="auto"/>
              <w:left w:val="nil"/>
              <w:bottom w:val="single" w:sz="4" w:space="0" w:color="auto"/>
              <w:right w:val="nil"/>
            </w:tcBorders>
            <w:noWrap/>
            <w:vAlign w:val="center"/>
          </w:tcPr>
          <w:p w14:paraId="63D3289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36C8BD1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4E0AD07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Triple Point Sensor (TPS) (ought Technology Ltd. )</w:t>
            </w:r>
          </w:p>
        </w:tc>
        <w:tc>
          <w:tcPr>
            <w:tcW w:w="1134" w:type="dxa"/>
            <w:tcBorders>
              <w:top w:val="single" w:sz="4" w:space="0" w:color="auto"/>
              <w:left w:val="nil"/>
              <w:bottom w:val="single" w:sz="4" w:space="0" w:color="auto"/>
              <w:right w:val="nil"/>
            </w:tcBorders>
            <w:vAlign w:val="center"/>
          </w:tcPr>
          <w:p w14:paraId="0FECD03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Significant moments</w:t>
            </w:r>
          </w:p>
        </w:tc>
        <w:tc>
          <w:tcPr>
            <w:tcW w:w="1985" w:type="dxa"/>
            <w:tcBorders>
              <w:top w:val="single" w:sz="4" w:space="0" w:color="auto"/>
              <w:left w:val="nil"/>
              <w:bottom w:val="single" w:sz="4" w:space="0" w:color="auto"/>
              <w:right w:val="nil"/>
            </w:tcBorders>
            <w:vAlign w:val="center"/>
          </w:tcPr>
          <w:p w14:paraId="0AFC4CB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system which detects significant moments of people with dementia and their family caregivers by measuring EDA, skin temperature, and heart rate.</w:t>
            </w:r>
          </w:p>
        </w:tc>
        <w:tc>
          <w:tcPr>
            <w:tcW w:w="3541" w:type="dxa"/>
            <w:tcBorders>
              <w:top w:val="single" w:sz="4" w:space="0" w:color="auto"/>
              <w:left w:val="nil"/>
              <w:bottom w:val="single" w:sz="4" w:space="0" w:color="auto"/>
              <w:right w:val="nil"/>
            </w:tcBorders>
            <w:vAlign w:val="center"/>
          </w:tcPr>
          <w:p w14:paraId="0C17923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three older people with dementia and their family caregivers. Participants wore the sensor during 45-min sessions of a movement program for 8 times. Significant moments, carrying physical, emotional, or interpersonal significance, were detected by the system and participants were asked to watch 20s recordings of these moments and evaluate whether these were significant or memorable. </w:t>
            </w:r>
          </w:p>
        </w:tc>
        <w:tc>
          <w:tcPr>
            <w:tcW w:w="3261" w:type="dxa"/>
            <w:tcBorders>
              <w:top w:val="single" w:sz="4" w:space="0" w:color="auto"/>
              <w:left w:val="nil"/>
              <w:bottom w:val="single" w:sz="4" w:space="0" w:color="auto"/>
            </w:tcBorders>
            <w:vAlign w:val="center"/>
          </w:tcPr>
          <w:p w14:paraId="7F515FB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agreement between the automatic detection and subjective report was 70%.</w:t>
            </w:r>
          </w:p>
        </w:tc>
      </w:tr>
      <w:tr w:rsidR="005A499B" w:rsidRPr="005A499B" w14:paraId="1812337D" w14:textId="77777777" w:rsidTr="007E42ED">
        <w:trPr>
          <w:trHeight w:val="903"/>
        </w:trPr>
        <w:tc>
          <w:tcPr>
            <w:tcW w:w="993" w:type="dxa"/>
            <w:tcBorders>
              <w:top w:val="single" w:sz="4" w:space="0" w:color="auto"/>
              <w:bottom w:val="single" w:sz="4" w:space="0" w:color="auto"/>
              <w:right w:val="nil"/>
            </w:tcBorders>
            <w:noWrap/>
            <w:vAlign w:val="center"/>
          </w:tcPr>
          <w:p w14:paraId="575FCE7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Miranda</w:t>
            </w:r>
          </w:p>
        </w:tc>
        <w:tc>
          <w:tcPr>
            <w:tcW w:w="708" w:type="dxa"/>
            <w:tcBorders>
              <w:top w:val="single" w:sz="4" w:space="0" w:color="auto"/>
              <w:left w:val="nil"/>
              <w:bottom w:val="single" w:sz="4" w:space="0" w:color="auto"/>
              <w:right w:val="nil"/>
            </w:tcBorders>
            <w:noWrap/>
            <w:vAlign w:val="center"/>
          </w:tcPr>
          <w:p w14:paraId="117FBC4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6C662FC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2744C708" w14:textId="77777777" w:rsidR="005A499B" w:rsidRPr="00523AB6" w:rsidRDefault="005A499B" w:rsidP="007E42ED">
            <w:pPr>
              <w:spacing w:after="0" w:line="240" w:lineRule="auto"/>
              <w:rPr>
                <w:rFonts w:ascii="Calibri" w:eastAsia="Times New Roman" w:hAnsi="Calibri" w:cs="Calibri"/>
                <w:lang w:val="en-GB"/>
              </w:rPr>
            </w:pPr>
            <w:bookmarkStart w:id="6" w:name="_Hlk136618596"/>
            <w:r w:rsidRPr="00523AB6">
              <w:rPr>
                <w:rFonts w:ascii="Calibri" w:eastAsia="Times New Roman" w:hAnsi="Calibri" w:cs="Calibri"/>
                <w:lang w:val="en-GB"/>
              </w:rPr>
              <w:t>Heart rate: Hxm (Zephyr); EDA: Empatica E3; EEG: Muse band</w:t>
            </w:r>
            <w:bookmarkEnd w:id="6"/>
          </w:p>
        </w:tc>
        <w:tc>
          <w:tcPr>
            <w:tcW w:w="1134" w:type="dxa"/>
            <w:tcBorders>
              <w:top w:val="single" w:sz="4" w:space="0" w:color="auto"/>
              <w:left w:val="nil"/>
              <w:bottom w:val="single" w:sz="4" w:space="0" w:color="auto"/>
              <w:right w:val="nil"/>
            </w:tcBorders>
            <w:vAlign w:val="center"/>
          </w:tcPr>
          <w:p w14:paraId="1494459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Anxiety</w:t>
            </w:r>
          </w:p>
        </w:tc>
        <w:tc>
          <w:tcPr>
            <w:tcW w:w="1985" w:type="dxa"/>
            <w:tcBorders>
              <w:top w:val="single" w:sz="4" w:space="0" w:color="auto"/>
              <w:left w:val="nil"/>
              <w:bottom w:val="single" w:sz="4" w:space="0" w:color="auto"/>
              <w:right w:val="nil"/>
            </w:tcBorders>
            <w:vAlign w:val="center"/>
          </w:tcPr>
          <w:p w14:paraId="173F6B5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describe an experiment eliciting anxiety in informal caregivers for people with dementia, while measuring heart rate, EDA, and EEG.</w:t>
            </w:r>
          </w:p>
        </w:tc>
        <w:tc>
          <w:tcPr>
            <w:tcW w:w="3541" w:type="dxa"/>
            <w:tcBorders>
              <w:top w:val="single" w:sz="4" w:space="0" w:color="auto"/>
              <w:left w:val="nil"/>
              <w:bottom w:val="single" w:sz="4" w:space="0" w:color="auto"/>
              <w:right w:val="nil"/>
            </w:tcBorders>
            <w:vAlign w:val="center"/>
          </w:tcPr>
          <w:p w14:paraId="77065B4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10 healthy adults in the laboratory. During 30 min sessions, participants had a relaxation stage and performed therapy with a simulated person with dementia. The level of anxiety was recorded by the participants and researchers. Models were developed using the physiological parameters to predict the presence of anxiety.</w:t>
            </w:r>
          </w:p>
        </w:tc>
        <w:tc>
          <w:tcPr>
            <w:tcW w:w="3261" w:type="dxa"/>
            <w:tcBorders>
              <w:top w:val="single" w:sz="4" w:space="0" w:color="auto"/>
              <w:left w:val="nil"/>
              <w:bottom w:val="single" w:sz="4" w:space="0" w:color="auto"/>
            </w:tcBorders>
            <w:vAlign w:val="center"/>
          </w:tcPr>
          <w:p w14:paraId="49E9594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average precision of different models using EDA and inter-beat interval was 78%. The best model used only inter-beat interval, reaching a precision of 80%. Specificity was 38% on average and 47% for the inter-beat interval model. </w:t>
            </w:r>
          </w:p>
        </w:tc>
      </w:tr>
      <w:tr w:rsidR="005A499B" w:rsidRPr="005A499B" w14:paraId="2413224A" w14:textId="77777777" w:rsidTr="007E42ED">
        <w:trPr>
          <w:trHeight w:val="903"/>
        </w:trPr>
        <w:tc>
          <w:tcPr>
            <w:tcW w:w="993" w:type="dxa"/>
            <w:tcBorders>
              <w:top w:val="single" w:sz="4" w:space="0" w:color="auto"/>
              <w:bottom w:val="single" w:sz="4" w:space="0" w:color="auto"/>
              <w:right w:val="nil"/>
            </w:tcBorders>
            <w:noWrap/>
            <w:vAlign w:val="center"/>
          </w:tcPr>
          <w:p w14:paraId="0D4DF53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Rajasekaran</w:t>
            </w:r>
          </w:p>
        </w:tc>
        <w:tc>
          <w:tcPr>
            <w:tcW w:w="708" w:type="dxa"/>
            <w:tcBorders>
              <w:top w:val="single" w:sz="4" w:space="0" w:color="auto"/>
              <w:left w:val="nil"/>
              <w:bottom w:val="single" w:sz="4" w:space="0" w:color="auto"/>
              <w:right w:val="nil"/>
            </w:tcBorders>
            <w:noWrap/>
            <w:vAlign w:val="center"/>
          </w:tcPr>
          <w:p w14:paraId="02C4F84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59767A1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31368F3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Portable Autonomous Multisensor</w:t>
            </w:r>
            <w:r w:rsidRPr="00523AB6">
              <w:rPr>
                <w:rFonts w:ascii="Calibri" w:eastAsia="Times New Roman" w:hAnsi="Calibri" w:cs="Calibri"/>
                <w:lang w:val="en-GB"/>
              </w:rPr>
              <w:lastRenderedPageBreak/>
              <w:t>y Intervention Device (PAMID, developed by the authors)</w:t>
            </w:r>
          </w:p>
        </w:tc>
        <w:tc>
          <w:tcPr>
            <w:tcW w:w="1134" w:type="dxa"/>
            <w:tcBorders>
              <w:top w:val="single" w:sz="4" w:space="0" w:color="auto"/>
              <w:left w:val="nil"/>
              <w:bottom w:val="single" w:sz="4" w:space="0" w:color="auto"/>
              <w:right w:val="nil"/>
            </w:tcBorders>
            <w:vAlign w:val="center"/>
          </w:tcPr>
          <w:p w14:paraId="1520E6B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Agitation</w:t>
            </w:r>
          </w:p>
        </w:tc>
        <w:tc>
          <w:tcPr>
            <w:tcW w:w="1985" w:type="dxa"/>
            <w:tcBorders>
              <w:top w:val="single" w:sz="4" w:space="0" w:color="auto"/>
              <w:left w:val="nil"/>
              <w:bottom w:val="single" w:sz="4" w:space="0" w:color="auto"/>
              <w:right w:val="nil"/>
            </w:tcBorders>
            <w:vAlign w:val="center"/>
          </w:tcPr>
          <w:p w14:paraId="2A3F6A4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test the reliability of the chest belt which </w:t>
            </w:r>
            <w:r w:rsidRPr="00523AB6">
              <w:rPr>
                <w:rFonts w:ascii="Calibri" w:hAnsi="Calibri" w:cs="Calibri"/>
                <w:lang w:val="en-GB"/>
              </w:rPr>
              <w:lastRenderedPageBreak/>
              <w:t>integrated measurements for heart rate, skin temperature and EDA, and to evaluate its appearance and comfortability.</w:t>
            </w:r>
          </w:p>
        </w:tc>
        <w:tc>
          <w:tcPr>
            <w:tcW w:w="3541" w:type="dxa"/>
            <w:tcBorders>
              <w:top w:val="single" w:sz="4" w:space="0" w:color="auto"/>
              <w:left w:val="nil"/>
              <w:bottom w:val="single" w:sz="4" w:space="0" w:color="auto"/>
              <w:right w:val="nil"/>
            </w:tcBorders>
            <w:vAlign w:val="center"/>
          </w:tcPr>
          <w:p w14:paraId="5DDDB67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non-randomized experimental study with six community-dwelling older adults in </w:t>
            </w:r>
            <w:r w:rsidRPr="00523AB6">
              <w:rPr>
                <w:rFonts w:ascii="Calibri" w:hAnsi="Calibri" w:cs="Calibri"/>
                <w:lang w:val="en-GB"/>
              </w:rPr>
              <w:lastRenderedPageBreak/>
              <w:t>the laboratory. During a 40-minute experiment, participants took four sets of STROOP tests while being monitored by the device and conventional instruments.</w:t>
            </w:r>
          </w:p>
        </w:tc>
        <w:tc>
          <w:tcPr>
            <w:tcW w:w="3261" w:type="dxa"/>
            <w:tcBorders>
              <w:top w:val="single" w:sz="4" w:space="0" w:color="auto"/>
              <w:left w:val="nil"/>
              <w:bottom w:val="single" w:sz="4" w:space="0" w:color="auto"/>
            </w:tcBorders>
            <w:vAlign w:val="center"/>
          </w:tcPr>
          <w:p w14:paraId="1DAD7FF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PAMID was sensitive in detecting </w:t>
            </w:r>
            <w:bookmarkStart w:id="7" w:name="_Hlk136619499"/>
            <w:r w:rsidRPr="00523AB6">
              <w:rPr>
                <w:rFonts w:ascii="Calibri" w:hAnsi="Calibri" w:cs="Calibri"/>
                <w:lang w:val="en-GB"/>
              </w:rPr>
              <w:t>changes in heart rate, skin temperature and EDA</w:t>
            </w:r>
            <w:bookmarkEnd w:id="7"/>
            <w:r w:rsidRPr="00523AB6">
              <w:rPr>
                <w:rFonts w:ascii="Calibri" w:hAnsi="Calibri" w:cs="Calibri"/>
                <w:lang w:val="en-GB"/>
              </w:rPr>
              <w:t>.</w:t>
            </w:r>
          </w:p>
        </w:tc>
      </w:tr>
      <w:tr w:rsidR="005A499B" w:rsidRPr="005A499B" w14:paraId="0A134B5E" w14:textId="77777777" w:rsidTr="007E42ED">
        <w:trPr>
          <w:trHeight w:val="903"/>
        </w:trPr>
        <w:tc>
          <w:tcPr>
            <w:tcW w:w="993" w:type="dxa"/>
            <w:tcBorders>
              <w:top w:val="single" w:sz="4" w:space="0" w:color="auto"/>
              <w:bottom w:val="single" w:sz="4" w:space="0" w:color="auto"/>
              <w:right w:val="nil"/>
            </w:tcBorders>
            <w:noWrap/>
            <w:vAlign w:val="center"/>
          </w:tcPr>
          <w:p w14:paraId="0D17388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Spasojevic</w:t>
            </w:r>
          </w:p>
        </w:tc>
        <w:tc>
          <w:tcPr>
            <w:tcW w:w="708" w:type="dxa"/>
            <w:tcBorders>
              <w:top w:val="single" w:sz="4" w:space="0" w:color="auto"/>
              <w:left w:val="nil"/>
              <w:bottom w:val="single" w:sz="4" w:space="0" w:color="auto"/>
              <w:right w:val="nil"/>
            </w:tcBorders>
            <w:noWrap/>
            <w:vAlign w:val="center"/>
          </w:tcPr>
          <w:p w14:paraId="4EDFEC4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7F7949B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6B0D17F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Empatica E4 </w:t>
            </w:r>
          </w:p>
        </w:tc>
        <w:tc>
          <w:tcPr>
            <w:tcW w:w="1134" w:type="dxa"/>
            <w:tcBorders>
              <w:top w:val="single" w:sz="4" w:space="0" w:color="auto"/>
              <w:left w:val="nil"/>
              <w:bottom w:val="single" w:sz="4" w:space="0" w:color="auto"/>
              <w:right w:val="nil"/>
            </w:tcBorders>
            <w:vAlign w:val="center"/>
          </w:tcPr>
          <w:p w14:paraId="705C502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207B5BF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detect agitation in people with dementia using a multi-modal wearable device which monitored movement, blood volume pulse, EDA, and skin temperature.</w:t>
            </w:r>
          </w:p>
        </w:tc>
        <w:tc>
          <w:tcPr>
            <w:tcW w:w="3541" w:type="dxa"/>
            <w:tcBorders>
              <w:top w:val="single" w:sz="4" w:space="0" w:color="auto"/>
              <w:left w:val="nil"/>
              <w:bottom w:val="single" w:sz="4" w:space="0" w:color="auto"/>
              <w:right w:val="nil"/>
            </w:tcBorders>
            <w:vAlign w:val="center"/>
          </w:tcPr>
          <w:p w14:paraId="3783889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17 people with dementia in a dementia unit. Participants wore the device in day time for a maximum of two months. Agitation events were noted with observation through video cameras. </w:t>
            </w:r>
          </w:p>
        </w:tc>
        <w:tc>
          <w:tcPr>
            <w:tcW w:w="3261" w:type="dxa"/>
            <w:tcBorders>
              <w:top w:val="single" w:sz="4" w:space="0" w:color="auto"/>
              <w:left w:val="nil"/>
              <w:bottom w:val="single" w:sz="4" w:space="0" w:color="auto"/>
            </w:tcBorders>
            <w:vAlign w:val="center"/>
          </w:tcPr>
          <w:p w14:paraId="4C1CDB3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Multi-modal prediction models were better than single-model ones. The best model had an AUC of 82%. Skin temperature was the least relevant signal. </w:t>
            </w:r>
          </w:p>
        </w:tc>
      </w:tr>
      <w:tr w:rsidR="005A499B" w:rsidRPr="005A499B" w14:paraId="50427D37" w14:textId="77777777" w:rsidTr="007E42ED">
        <w:trPr>
          <w:trHeight w:val="903"/>
        </w:trPr>
        <w:tc>
          <w:tcPr>
            <w:tcW w:w="993" w:type="dxa"/>
            <w:tcBorders>
              <w:top w:val="single" w:sz="4" w:space="0" w:color="auto"/>
              <w:bottom w:val="single" w:sz="4" w:space="0" w:color="auto"/>
              <w:right w:val="nil"/>
            </w:tcBorders>
            <w:noWrap/>
            <w:vAlign w:val="center"/>
          </w:tcPr>
          <w:p w14:paraId="213EFBF7"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Choi</w:t>
            </w:r>
          </w:p>
        </w:tc>
        <w:tc>
          <w:tcPr>
            <w:tcW w:w="708" w:type="dxa"/>
            <w:tcBorders>
              <w:top w:val="single" w:sz="4" w:space="0" w:color="auto"/>
              <w:left w:val="nil"/>
              <w:bottom w:val="single" w:sz="4" w:space="0" w:color="auto"/>
              <w:right w:val="nil"/>
            </w:tcBorders>
            <w:noWrap/>
            <w:vAlign w:val="center"/>
          </w:tcPr>
          <w:p w14:paraId="0854E9A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left w:val="nil"/>
              <w:bottom w:val="single" w:sz="4" w:space="0" w:color="auto"/>
              <w:right w:val="nil"/>
            </w:tcBorders>
            <w:noWrap/>
            <w:vAlign w:val="center"/>
          </w:tcPr>
          <w:p w14:paraId="3C948AF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 Qatar</w:t>
            </w:r>
          </w:p>
        </w:tc>
        <w:tc>
          <w:tcPr>
            <w:tcW w:w="1275" w:type="dxa"/>
            <w:tcBorders>
              <w:top w:val="single" w:sz="4" w:space="0" w:color="auto"/>
              <w:left w:val="nil"/>
              <w:bottom w:val="single" w:sz="4" w:space="0" w:color="auto"/>
              <w:right w:val="nil"/>
            </w:tcBorders>
            <w:vAlign w:val="center"/>
          </w:tcPr>
          <w:p w14:paraId="29A4747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25148BF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204A45F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a system to distinguish stress from relaxation by monitoring respiration, HRV, EDA, and sEMG.</w:t>
            </w:r>
          </w:p>
        </w:tc>
        <w:tc>
          <w:tcPr>
            <w:tcW w:w="3541" w:type="dxa"/>
            <w:tcBorders>
              <w:top w:val="single" w:sz="4" w:space="0" w:color="auto"/>
              <w:left w:val="nil"/>
              <w:bottom w:val="single" w:sz="4" w:space="0" w:color="auto"/>
              <w:right w:val="nil"/>
            </w:tcBorders>
            <w:vAlign w:val="center"/>
          </w:tcPr>
          <w:p w14:paraId="5C6A05C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study with 10 healthy adults in the laboratory. During a 48-minute experiment, participants performed various mentally stressful tasks, with deep breathing in between. </w:t>
            </w:r>
          </w:p>
        </w:tc>
        <w:tc>
          <w:tcPr>
            <w:tcW w:w="3261" w:type="dxa"/>
            <w:tcBorders>
              <w:top w:val="single" w:sz="4" w:space="0" w:color="auto"/>
              <w:left w:val="nil"/>
              <w:bottom w:val="single" w:sz="4" w:space="0" w:color="auto"/>
            </w:tcBorders>
            <w:vAlign w:val="center"/>
          </w:tcPr>
          <w:p w14:paraId="6A6C1A8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system could distinguish mental stress from relaxation with a classification rate of 81%, a true positive rate of </w:t>
            </w:r>
            <w:bookmarkStart w:id="8" w:name="_Hlk136619658"/>
            <w:r w:rsidRPr="00523AB6">
              <w:rPr>
                <w:rFonts w:ascii="Calibri" w:hAnsi="Calibri" w:cs="Calibri"/>
                <w:lang w:val="en-GB"/>
              </w:rPr>
              <w:t>87%, and a true negative rate of 71%.</w:t>
            </w:r>
            <w:bookmarkEnd w:id="8"/>
          </w:p>
        </w:tc>
      </w:tr>
      <w:tr w:rsidR="005A499B" w:rsidRPr="005A499B" w14:paraId="632B71F9" w14:textId="77777777" w:rsidTr="007E42ED">
        <w:trPr>
          <w:trHeight w:val="903"/>
        </w:trPr>
        <w:tc>
          <w:tcPr>
            <w:tcW w:w="993" w:type="dxa"/>
            <w:tcBorders>
              <w:top w:val="single" w:sz="4" w:space="0" w:color="auto"/>
              <w:bottom w:val="single" w:sz="4" w:space="0" w:color="auto"/>
              <w:right w:val="nil"/>
            </w:tcBorders>
            <w:noWrap/>
            <w:vAlign w:val="center"/>
          </w:tcPr>
          <w:p w14:paraId="21CA8E7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Wijsman</w:t>
            </w:r>
          </w:p>
        </w:tc>
        <w:tc>
          <w:tcPr>
            <w:tcW w:w="708" w:type="dxa"/>
            <w:tcBorders>
              <w:top w:val="single" w:sz="4" w:space="0" w:color="auto"/>
              <w:left w:val="nil"/>
              <w:bottom w:val="single" w:sz="4" w:space="0" w:color="auto"/>
              <w:right w:val="nil"/>
            </w:tcBorders>
            <w:noWrap/>
            <w:vAlign w:val="center"/>
          </w:tcPr>
          <w:p w14:paraId="72C7F26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7BAC03D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111CD4A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1A17F54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24284A2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find physiological parameters that can best predict mental stress. ECG, respiration, EDA, </w:t>
            </w:r>
            <w:r w:rsidRPr="00523AB6">
              <w:rPr>
                <w:rFonts w:ascii="Calibri" w:hAnsi="Calibri" w:cs="Calibri"/>
                <w:lang w:val="en-GB"/>
              </w:rPr>
              <w:lastRenderedPageBreak/>
              <w:t>and sEMG were measured.</w:t>
            </w:r>
          </w:p>
        </w:tc>
        <w:tc>
          <w:tcPr>
            <w:tcW w:w="3541" w:type="dxa"/>
            <w:tcBorders>
              <w:top w:val="single" w:sz="4" w:space="0" w:color="auto"/>
              <w:left w:val="nil"/>
              <w:bottom w:val="single" w:sz="4" w:space="0" w:color="auto"/>
              <w:right w:val="nil"/>
            </w:tcBorders>
            <w:vAlign w:val="center"/>
          </w:tcPr>
          <w:p w14:paraId="38B192F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non-randomized experimental study with 30 healthy adults in the laboratory. During an experiment of around 20 minutes, the participants performed three </w:t>
            </w:r>
            <w:r w:rsidRPr="00523AB6">
              <w:rPr>
                <w:rFonts w:ascii="Calibri" w:hAnsi="Calibri" w:cs="Calibri"/>
                <w:lang w:val="en-GB"/>
              </w:rPr>
              <w:lastRenderedPageBreak/>
              <w:t>cognitive tasks with time pressure and distraction. Social stress was also induced. Resting periods were scheduled between the tests.</w:t>
            </w:r>
          </w:p>
        </w:tc>
        <w:tc>
          <w:tcPr>
            <w:tcW w:w="3261" w:type="dxa"/>
            <w:tcBorders>
              <w:top w:val="single" w:sz="4" w:space="0" w:color="auto"/>
              <w:left w:val="nil"/>
              <w:bottom w:val="single" w:sz="4" w:space="0" w:color="auto"/>
            </w:tcBorders>
            <w:vAlign w:val="center"/>
          </w:tcPr>
          <w:p w14:paraId="0F5FA43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Using seven physiological features, the system could distinguish stressful periods from rest periods with an accuracy of 80%.</w:t>
            </w:r>
          </w:p>
        </w:tc>
      </w:tr>
      <w:tr w:rsidR="005A499B" w:rsidRPr="00523AB6" w14:paraId="67274B32" w14:textId="77777777" w:rsidTr="007E42ED">
        <w:trPr>
          <w:trHeight w:val="903"/>
        </w:trPr>
        <w:tc>
          <w:tcPr>
            <w:tcW w:w="993" w:type="dxa"/>
            <w:tcBorders>
              <w:top w:val="single" w:sz="4" w:space="0" w:color="auto"/>
              <w:bottom w:val="single" w:sz="4" w:space="0" w:color="auto"/>
              <w:right w:val="nil"/>
            </w:tcBorders>
            <w:noWrap/>
            <w:vAlign w:val="center"/>
          </w:tcPr>
          <w:p w14:paraId="14C04CCE"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Wu</w:t>
            </w:r>
          </w:p>
        </w:tc>
        <w:tc>
          <w:tcPr>
            <w:tcW w:w="708" w:type="dxa"/>
            <w:tcBorders>
              <w:top w:val="single" w:sz="4" w:space="0" w:color="auto"/>
              <w:left w:val="nil"/>
              <w:bottom w:val="single" w:sz="4" w:space="0" w:color="auto"/>
              <w:right w:val="nil"/>
            </w:tcBorders>
            <w:noWrap/>
            <w:vAlign w:val="center"/>
          </w:tcPr>
          <w:p w14:paraId="304F2B2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left w:val="nil"/>
              <w:bottom w:val="single" w:sz="4" w:space="0" w:color="auto"/>
              <w:right w:val="nil"/>
            </w:tcBorders>
            <w:noWrap/>
            <w:vAlign w:val="center"/>
          </w:tcPr>
          <w:p w14:paraId="6837CA2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South Korea</w:t>
            </w:r>
          </w:p>
        </w:tc>
        <w:tc>
          <w:tcPr>
            <w:tcW w:w="1275" w:type="dxa"/>
            <w:tcBorders>
              <w:top w:val="single" w:sz="4" w:space="0" w:color="auto"/>
              <w:left w:val="nil"/>
              <w:bottom w:val="single" w:sz="4" w:space="0" w:color="auto"/>
              <w:right w:val="nil"/>
            </w:tcBorders>
            <w:vAlign w:val="center"/>
          </w:tcPr>
          <w:p w14:paraId="3F539A4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05527AA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4837F88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test the effectiveness of stress reduction training with a wearable biofeedback system, consisting of ECG, Pulse rate, respiration, ambient and breath temperature measurements.</w:t>
            </w:r>
          </w:p>
        </w:tc>
        <w:tc>
          <w:tcPr>
            <w:tcW w:w="3541" w:type="dxa"/>
            <w:tcBorders>
              <w:top w:val="single" w:sz="4" w:space="0" w:color="auto"/>
              <w:left w:val="nil"/>
              <w:bottom w:val="single" w:sz="4" w:space="0" w:color="auto"/>
              <w:right w:val="nil"/>
            </w:tcBorders>
            <w:vAlign w:val="center"/>
          </w:tcPr>
          <w:p w14:paraId="26459B0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67 adults in the laboratory and during a 3-week biofeedback training for stress reduction. For the validation of the device, several adults were measured by it and a commercially available PolyG-A system in the laboratory.</w:t>
            </w:r>
          </w:p>
        </w:tc>
        <w:tc>
          <w:tcPr>
            <w:tcW w:w="3261" w:type="dxa"/>
            <w:tcBorders>
              <w:top w:val="single" w:sz="4" w:space="0" w:color="auto"/>
              <w:left w:val="nil"/>
              <w:bottom w:val="single" w:sz="4" w:space="0" w:color="auto"/>
            </w:tcBorders>
            <w:vAlign w:val="center"/>
          </w:tcPr>
          <w:p w14:paraId="5758079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proposed device produced similar ECG, </w:t>
            </w:r>
            <w:bookmarkStart w:id="9" w:name="_Hlk136619486"/>
            <w:r w:rsidRPr="00523AB6">
              <w:rPr>
                <w:rFonts w:ascii="Calibri" w:hAnsi="Calibri" w:cs="Calibri"/>
                <w:lang w:val="en-GB"/>
              </w:rPr>
              <w:t>photoplethysmography and respiration signals</w:t>
            </w:r>
            <w:bookmarkEnd w:id="9"/>
            <w:r w:rsidRPr="00523AB6">
              <w:rPr>
                <w:rFonts w:ascii="Calibri" w:hAnsi="Calibri" w:cs="Calibri"/>
                <w:lang w:val="en-GB"/>
              </w:rPr>
              <w:t xml:space="preserve"> compared to the commercial system. HRV and pulse rate variability were extracted accurately.</w:t>
            </w:r>
          </w:p>
        </w:tc>
      </w:tr>
      <w:tr w:rsidR="005A499B" w:rsidRPr="005A499B" w14:paraId="6FA7E5C5" w14:textId="77777777" w:rsidTr="007E42ED">
        <w:trPr>
          <w:trHeight w:val="511"/>
        </w:trPr>
        <w:tc>
          <w:tcPr>
            <w:tcW w:w="13890" w:type="dxa"/>
            <w:gridSpan w:val="9"/>
            <w:tcBorders>
              <w:top w:val="single" w:sz="4" w:space="0" w:color="auto"/>
              <w:bottom w:val="single" w:sz="4" w:space="0" w:color="auto"/>
            </w:tcBorders>
            <w:noWrap/>
            <w:vAlign w:val="center"/>
          </w:tcPr>
          <w:p w14:paraId="697CB13A" w14:textId="77777777" w:rsidR="005A499B" w:rsidRPr="00523AB6" w:rsidRDefault="005A499B" w:rsidP="007E42ED">
            <w:pPr>
              <w:spacing w:after="0"/>
              <w:rPr>
                <w:b/>
                <w:bCs/>
                <w:lang w:val="en-GB"/>
              </w:rPr>
            </w:pPr>
            <w:r w:rsidRPr="00523AB6">
              <w:rPr>
                <w:b/>
                <w:bCs/>
                <w:lang w:val="en-GB"/>
              </w:rPr>
              <w:t>Non-contact monitoring systems - pressure mats</w:t>
            </w:r>
          </w:p>
        </w:tc>
      </w:tr>
      <w:tr w:rsidR="005A499B" w:rsidRPr="005A499B" w14:paraId="26EE8A52" w14:textId="77777777" w:rsidTr="007E42ED">
        <w:trPr>
          <w:trHeight w:val="903"/>
        </w:trPr>
        <w:tc>
          <w:tcPr>
            <w:tcW w:w="993" w:type="dxa"/>
            <w:tcBorders>
              <w:top w:val="single" w:sz="4" w:space="0" w:color="auto"/>
              <w:bottom w:val="single" w:sz="4" w:space="0" w:color="auto"/>
              <w:right w:val="nil"/>
            </w:tcBorders>
            <w:noWrap/>
            <w:vAlign w:val="center"/>
          </w:tcPr>
          <w:p w14:paraId="17269F6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Boissy</w:t>
            </w:r>
          </w:p>
        </w:tc>
        <w:tc>
          <w:tcPr>
            <w:tcW w:w="708" w:type="dxa"/>
            <w:tcBorders>
              <w:top w:val="single" w:sz="4" w:space="0" w:color="auto"/>
              <w:left w:val="nil"/>
              <w:bottom w:val="single" w:sz="4" w:space="0" w:color="auto"/>
              <w:right w:val="nil"/>
            </w:tcBorders>
            <w:noWrap/>
            <w:vAlign w:val="center"/>
          </w:tcPr>
          <w:p w14:paraId="3FBD9DA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6856508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525C601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Université de Sherbrooke, Québec, Canada</w:t>
            </w:r>
          </w:p>
        </w:tc>
        <w:tc>
          <w:tcPr>
            <w:tcW w:w="1134" w:type="dxa"/>
            <w:tcBorders>
              <w:top w:val="single" w:sz="4" w:space="0" w:color="auto"/>
              <w:left w:val="nil"/>
              <w:bottom w:val="single" w:sz="4" w:space="0" w:color="auto"/>
              <w:right w:val="nil"/>
            </w:tcBorders>
            <w:vAlign w:val="center"/>
          </w:tcPr>
          <w:p w14:paraId="3CDE9D9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(risk of) pressure ulcer</w:t>
            </w:r>
          </w:p>
        </w:tc>
        <w:tc>
          <w:tcPr>
            <w:tcW w:w="1985" w:type="dxa"/>
            <w:tcBorders>
              <w:top w:val="single" w:sz="4" w:space="0" w:color="auto"/>
              <w:left w:val="nil"/>
              <w:bottom w:val="single" w:sz="4" w:space="0" w:color="auto"/>
              <w:right w:val="nil"/>
            </w:tcBorders>
            <w:vAlign w:val="center"/>
          </w:tcPr>
          <w:p w14:paraId="435121F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the functioning of two type of carbon nano tube films (multi-layered vs purified) in detecting pressure.</w:t>
            </w:r>
          </w:p>
        </w:tc>
        <w:tc>
          <w:tcPr>
            <w:tcW w:w="3541" w:type="dxa"/>
            <w:tcBorders>
              <w:top w:val="single" w:sz="4" w:space="0" w:color="auto"/>
              <w:left w:val="nil"/>
              <w:bottom w:val="single" w:sz="4" w:space="0" w:color="auto"/>
              <w:right w:val="nil"/>
            </w:tcBorders>
            <w:vAlign w:val="center"/>
          </w:tcPr>
          <w:p w14:paraId="1A900434"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experimental study without participants. The</w:t>
            </w:r>
            <w:r w:rsidRPr="00523AB6">
              <w:rPr>
                <w:lang w:val="en-US"/>
              </w:rPr>
              <w:t xml:space="preserve"> </w:t>
            </w:r>
            <w:r w:rsidRPr="00523AB6">
              <w:rPr>
                <w:rFonts w:ascii="Calibri" w:hAnsi="Calibri" w:cs="Calibri"/>
                <w:lang w:val="en-GB"/>
              </w:rPr>
              <w:t>electrical and mechanical properties of the films were tested.</w:t>
            </w:r>
          </w:p>
        </w:tc>
        <w:tc>
          <w:tcPr>
            <w:tcW w:w="3261" w:type="dxa"/>
            <w:tcBorders>
              <w:top w:val="single" w:sz="4" w:space="0" w:color="auto"/>
              <w:left w:val="nil"/>
              <w:bottom w:val="single" w:sz="4" w:space="0" w:color="auto"/>
            </w:tcBorders>
            <w:vAlign w:val="center"/>
          </w:tcPr>
          <w:p w14:paraId="21FDF6B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loosely woven, multi-layered film had lower sensitivity (resistance change was 8 times higher) compared to the purified film. The purified film was less affected by the mechanical noise of the testing system (noise ratio 5% vs. 50%).</w:t>
            </w:r>
          </w:p>
        </w:tc>
      </w:tr>
      <w:tr w:rsidR="005A499B" w:rsidRPr="005A499B" w14:paraId="564D17BF" w14:textId="77777777" w:rsidTr="007E42ED">
        <w:trPr>
          <w:trHeight w:val="903"/>
        </w:trPr>
        <w:tc>
          <w:tcPr>
            <w:tcW w:w="993" w:type="dxa"/>
            <w:tcBorders>
              <w:top w:val="single" w:sz="4" w:space="0" w:color="auto"/>
              <w:bottom w:val="single" w:sz="4" w:space="0" w:color="auto"/>
              <w:right w:val="nil"/>
            </w:tcBorders>
            <w:noWrap/>
            <w:vAlign w:val="center"/>
          </w:tcPr>
          <w:p w14:paraId="283D3C5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Dietz-Terjung</w:t>
            </w:r>
          </w:p>
        </w:tc>
        <w:tc>
          <w:tcPr>
            <w:tcW w:w="708" w:type="dxa"/>
            <w:tcBorders>
              <w:top w:val="single" w:sz="4" w:space="0" w:color="auto"/>
              <w:left w:val="nil"/>
              <w:bottom w:val="single" w:sz="4" w:space="0" w:color="auto"/>
              <w:right w:val="nil"/>
            </w:tcBorders>
            <w:noWrap/>
            <w:vAlign w:val="center"/>
          </w:tcPr>
          <w:p w14:paraId="5040933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585BCAD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Germany</w:t>
            </w:r>
          </w:p>
        </w:tc>
        <w:tc>
          <w:tcPr>
            <w:tcW w:w="1275" w:type="dxa"/>
            <w:tcBorders>
              <w:top w:val="single" w:sz="4" w:space="0" w:color="auto"/>
              <w:left w:val="nil"/>
              <w:bottom w:val="single" w:sz="4" w:space="0" w:color="auto"/>
              <w:right w:val="nil"/>
            </w:tcBorders>
            <w:vAlign w:val="center"/>
          </w:tcPr>
          <w:p w14:paraId="5481869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VitaLog (SWGSportwerkGmbH&amp;Co. KG, </w:t>
            </w:r>
            <w:r w:rsidRPr="00523AB6">
              <w:rPr>
                <w:rFonts w:ascii="Calibri" w:eastAsia="Times New Roman" w:hAnsi="Calibri" w:cs="Calibri"/>
                <w:lang w:val="en-GB"/>
              </w:rPr>
              <w:lastRenderedPageBreak/>
              <w:t>Dortmund, Germany)</w:t>
            </w:r>
          </w:p>
        </w:tc>
        <w:tc>
          <w:tcPr>
            <w:tcW w:w="1134" w:type="dxa"/>
            <w:tcBorders>
              <w:top w:val="single" w:sz="4" w:space="0" w:color="auto"/>
              <w:left w:val="nil"/>
              <w:bottom w:val="single" w:sz="4" w:space="0" w:color="auto"/>
              <w:right w:val="nil"/>
            </w:tcBorders>
            <w:vAlign w:val="center"/>
          </w:tcPr>
          <w:p w14:paraId="08159C6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Sleep – disordered breathing</w:t>
            </w:r>
          </w:p>
        </w:tc>
        <w:tc>
          <w:tcPr>
            <w:tcW w:w="1985" w:type="dxa"/>
            <w:tcBorders>
              <w:top w:val="single" w:sz="4" w:space="0" w:color="auto"/>
              <w:left w:val="nil"/>
              <w:bottom w:val="single" w:sz="4" w:space="0" w:color="auto"/>
              <w:right w:val="nil"/>
            </w:tcBorders>
            <w:vAlign w:val="center"/>
          </w:tcPr>
          <w:p w14:paraId="401D3EA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assess the accuracy of VitaLog in estimating respiratory rate variability.</w:t>
            </w:r>
          </w:p>
        </w:tc>
        <w:tc>
          <w:tcPr>
            <w:tcW w:w="3541" w:type="dxa"/>
            <w:tcBorders>
              <w:top w:val="single" w:sz="4" w:space="0" w:color="auto"/>
              <w:left w:val="nil"/>
              <w:bottom w:val="single" w:sz="4" w:space="0" w:color="auto"/>
              <w:right w:val="nil"/>
            </w:tcBorders>
            <w:vAlign w:val="center"/>
          </w:tcPr>
          <w:p w14:paraId="3CF991D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103 adults referred to the sleep lab. The VitaLog data were compared to nasal flow signal obtained by PSG.*</w:t>
            </w:r>
          </w:p>
        </w:tc>
        <w:tc>
          <w:tcPr>
            <w:tcW w:w="3261" w:type="dxa"/>
            <w:tcBorders>
              <w:top w:val="single" w:sz="4" w:space="0" w:color="auto"/>
              <w:left w:val="nil"/>
              <w:bottom w:val="single" w:sz="4" w:space="0" w:color="auto"/>
            </w:tcBorders>
            <w:vAlign w:val="center"/>
          </w:tcPr>
          <w:p w14:paraId="4D5BD02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VitaLog estimation of respiration rate variability had a correlation of </w:t>
            </w:r>
            <w:r w:rsidRPr="00523AB6">
              <w:rPr>
                <w:rFonts w:ascii="Calibri" w:hAnsi="Calibri" w:cs="Calibri"/>
                <w:i/>
                <w:iCs/>
                <w:lang w:val="en-GB"/>
              </w:rPr>
              <w:t>r</w:t>
            </w:r>
            <w:r w:rsidRPr="00523AB6">
              <w:rPr>
                <w:rFonts w:ascii="Calibri" w:hAnsi="Calibri" w:cs="Calibri"/>
                <w:lang w:val="en-GB"/>
              </w:rPr>
              <w:t xml:space="preserve"> = 0.99 and a bias of 0.2 inhale-exhale cycles per minute compared with nasal flow </w:t>
            </w:r>
            <w:r w:rsidRPr="00523AB6">
              <w:rPr>
                <w:rFonts w:ascii="Calibri" w:hAnsi="Calibri" w:cs="Calibri"/>
                <w:lang w:val="en-GB"/>
              </w:rPr>
              <w:lastRenderedPageBreak/>
              <w:t>signal. The Mann-Whitney U test showed no significant difference between participants with or without sleep disturbed breathing.</w:t>
            </w:r>
          </w:p>
        </w:tc>
      </w:tr>
      <w:tr w:rsidR="005A499B" w:rsidRPr="005A499B" w14:paraId="4E8F5A84" w14:textId="77777777" w:rsidTr="007E42ED">
        <w:trPr>
          <w:trHeight w:val="903"/>
        </w:trPr>
        <w:tc>
          <w:tcPr>
            <w:tcW w:w="993" w:type="dxa"/>
            <w:tcBorders>
              <w:top w:val="single" w:sz="4" w:space="0" w:color="auto"/>
              <w:bottom w:val="single" w:sz="4" w:space="0" w:color="auto"/>
              <w:right w:val="nil"/>
            </w:tcBorders>
            <w:noWrap/>
            <w:vAlign w:val="center"/>
          </w:tcPr>
          <w:p w14:paraId="6694E15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Kobayashi</w:t>
            </w:r>
          </w:p>
        </w:tc>
        <w:tc>
          <w:tcPr>
            <w:tcW w:w="708" w:type="dxa"/>
            <w:tcBorders>
              <w:top w:val="single" w:sz="4" w:space="0" w:color="auto"/>
              <w:left w:val="nil"/>
              <w:bottom w:val="single" w:sz="4" w:space="0" w:color="auto"/>
              <w:right w:val="nil"/>
            </w:tcBorders>
            <w:noWrap/>
            <w:vAlign w:val="center"/>
          </w:tcPr>
          <w:p w14:paraId="7895901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left w:val="nil"/>
              <w:bottom w:val="single" w:sz="4" w:space="0" w:color="auto"/>
              <w:right w:val="nil"/>
            </w:tcBorders>
            <w:noWrap/>
            <w:vAlign w:val="center"/>
          </w:tcPr>
          <w:p w14:paraId="1CC6634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Japan</w:t>
            </w:r>
          </w:p>
        </w:tc>
        <w:tc>
          <w:tcPr>
            <w:tcW w:w="1275" w:type="dxa"/>
            <w:tcBorders>
              <w:top w:val="single" w:sz="4" w:space="0" w:color="auto"/>
              <w:left w:val="nil"/>
              <w:bottom w:val="single" w:sz="4" w:space="0" w:color="auto"/>
              <w:right w:val="nil"/>
            </w:tcBorders>
            <w:vAlign w:val="center"/>
          </w:tcPr>
          <w:p w14:paraId="01DB843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SD-101 (manufacturer not reported);</w:t>
            </w:r>
            <w:r w:rsidRPr="00523AB6">
              <w:rPr>
                <w:rFonts w:ascii="Calibri" w:hAnsi="Calibri" w:cs="Calibri"/>
                <w:lang w:val="en-GB"/>
              </w:rPr>
              <w:t xml:space="preserve"> Percutaneous oxygen saturation (</w:t>
            </w:r>
            <w:r w:rsidRPr="00523AB6">
              <w:rPr>
                <w:rFonts w:ascii="Calibri" w:eastAsia="Times New Roman" w:hAnsi="Calibri" w:cs="Calibri"/>
                <w:lang w:val="en-GB"/>
              </w:rPr>
              <w:t>SpO2 )sensor: SX Module SX-2007 (Kenzmedico Co. Ltd., Saitama, Japan)</w:t>
            </w:r>
          </w:p>
        </w:tc>
        <w:tc>
          <w:tcPr>
            <w:tcW w:w="1134" w:type="dxa"/>
            <w:tcBorders>
              <w:top w:val="single" w:sz="4" w:space="0" w:color="auto"/>
              <w:left w:val="nil"/>
              <w:bottom w:val="single" w:sz="4" w:space="0" w:color="auto"/>
              <w:right w:val="nil"/>
            </w:tcBorders>
            <w:vAlign w:val="center"/>
          </w:tcPr>
          <w:p w14:paraId="5D6C219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apnea</w:t>
            </w:r>
          </w:p>
        </w:tc>
        <w:tc>
          <w:tcPr>
            <w:tcW w:w="1985" w:type="dxa"/>
            <w:tcBorders>
              <w:top w:val="single" w:sz="4" w:space="0" w:color="auto"/>
              <w:left w:val="nil"/>
              <w:bottom w:val="single" w:sz="4" w:space="0" w:color="auto"/>
              <w:right w:val="nil"/>
            </w:tcBorders>
            <w:vAlign w:val="center"/>
          </w:tcPr>
          <w:p w14:paraId="1852C3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investigate whether adding a</w:t>
            </w:r>
            <w:r w:rsidRPr="00523AB6">
              <w:rPr>
                <w:lang w:val="en-US"/>
              </w:rPr>
              <w:t xml:space="preserve"> SpO2 </w:t>
            </w:r>
            <w:r w:rsidRPr="00523AB6">
              <w:rPr>
                <w:rFonts w:ascii="Calibri" w:hAnsi="Calibri" w:cs="Calibri"/>
                <w:lang w:val="en-GB"/>
              </w:rPr>
              <w:t>measurement increases the accuracy of recognizing mild to moderate obstructive sleep apnea syndrome by SD-101.</w:t>
            </w:r>
          </w:p>
        </w:tc>
        <w:tc>
          <w:tcPr>
            <w:tcW w:w="3541" w:type="dxa"/>
            <w:tcBorders>
              <w:top w:val="single" w:sz="4" w:space="0" w:color="auto"/>
              <w:left w:val="nil"/>
              <w:bottom w:val="single" w:sz="4" w:space="0" w:color="auto"/>
              <w:right w:val="nil"/>
            </w:tcBorders>
            <w:vAlign w:val="center"/>
          </w:tcPr>
          <w:p w14:paraId="3A1C53F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60 adult patients from an out-patient clinic. Overnight sleep was simultaneously monitored by PSG and SD-101 at the laboratory.</w:t>
            </w:r>
          </w:p>
        </w:tc>
        <w:tc>
          <w:tcPr>
            <w:tcW w:w="3261" w:type="dxa"/>
            <w:tcBorders>
              <w:top w:val="single" w:sz="4" w:space="0" w:color="auto"/>
              <w:left w:val="nil"/>
              <w:bottom w:val="single" w:sz="4" w:space="0" w:color="auto"/>
            </w:tcBorders>
            <w:vAlign w:val="center"/>
          </w:tcPr>
          <w:p w14:paraId="6BCD2A0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Adding SpO2 measurement improved the accuracy of the SD-101 for OSAS detection for AHI &gt;15 (sensitivity: 97% vs. 88%; specificity: 90.5 % vs. 85.7 %, compared to the SD-101 alone). </w:t>
            </w:r>
          </w:p>
          <w:p w14:paraId="38D13FF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SD-101 measurements significantly correlated with the PSG data (SD-101 alone: </w:t>
            </w:r>
            <w:r w:rsidRPr="00523AB6">
              <w:rPr>
                <w:rFonts w:ascii="Calibri" w:hAnsi="Calibri" w:cs="Calibri"/>
                <w:i/>
                <w:iCs/>
                <w:lang w:val="en-GB"/>
              </w:rPr>
              <w:t>r</w:t>
            </w:r>
            <w:r w:rsidRPr="00523AB6">
              <w:rPr>
                <w:rFonts w:ascii="Calibri" w:hAnsi="Calibri" w:cs="Calibri"/>
                <w:lang w:val="en-GB"/>
              </w:rPr>
              <w:t xml:space="preserve"> = 0.871, </w:t>
            </w:r>
            <w:r w:rsidRPr="00523AB6">
              <w:rPr>
                <w:rFonts w:ascii="Calibri" w:hAnsi="Calibri" w:cs="Calibri"/>
                <w:i/>
                <w:iCs/>
                <w:lang w:val="en-GB"/>
              </w:rPr>
              <w:t>p</w:t>
            </w:r>
            <w:r w:rsidRPr="00523AB6">
              <w:rPr>
                <w:rFonts w:ascii="Calibri" w:hAnsi="Calibri" w:cs="Calibri"/>
                <w:lang w:val="en-GB"/>
              </w:rPr>
              <w:t xml:space="preserve"> &lt; 0.0001; SD-101 with SpO2: </w:t>
            </w:r>
            <w:r w:rsidRPr="00523AB6">
              <w:rPr>
                <w:rFonts w:ascii="Calibri" w:hAnsi="Calibri" w:cs="Calibri"/>
                <w:i/>
                <w:iCs/>
                <w:lang w:val="en-GB"/>
              </w:rPr>
              <w:t>r</w:t>
            </w:r>
            <w:r w:rsidRPr="00523AB6">
              <w:rPr>
                <w:rFonts w:ascii="Calibri" w:hAnsi="Calibri" w:cs="Calibri"/>
                <w:lang w:val="en-GB"/>
              </w:rPr>
              <w:t xml:space="preserve"> = 0.965, </w:t>
            </w:r>
            <w:r w:rsidRPr="00523AB6">
              <w:rPr>
                <w:rFonts w:ascii="Calibri" w:hAnsi="Calibri" w:cs="Calibri"/>
                <w:i/>
                <w:iCs/>
                <w:lang w:val="en-GB"/>
              </w:rPr>
              <w:t>p</w:t>
            </w:r>
            <w:r w:rsidRPr="00523AB6">
              <w:rPr>
                <w:rFonts w:ascii="Calibri" w:hAnsi="Calibri" w:cs="Calibri"/>
                <w:lang w:val="en-GB"/>
              </w:rPr>
              <w:t xml:space="preserve"> &lt; 0.0001). Bland–Altman plots showed a smaller dispersion for the SD-101 with SpO2 than for the SD-101 alone. </w:t>
            </w:r>
          </w:p>
        </w:tc>
      </w:tr>
      <w:tr w:rsidR="005A499B" w:rsidRPr="005A499B" w14:paraId="16812F85" w14:textId="77777777" w:rsidTr="007E42ED">
        <w:trPr>
          <w:trHeight w:val="903"/>
        </w:trPr>
        <w:tc>
          <w:tcPr>
            <w:tcW w:w="993" w:type="dxa"/>
            <w:tcBorders>
              <w:top w:val="single" w:sz="4" w:space="0" w:color="auto"/>
              <w:bottom w:val="single" w:sz="4" w:space="0" w:color="auto"/>
              <w:right w:val="nil"/>
            </w:tcBorders>
            <w:noWrap/>
            <w:vAlign w:val="center"/>
          </w:tcPr>
          <w:p w14:paraId="6C9062D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Motoi</w:t>
            </w:r>
          </w:p>
        </w:tc>
        <w:tc>
          <w:tcPr>
            <w:tcW w:w="708" w:type="dxa"/>
            <w:tcBorders>
              <w:top w:val="single" w:sz="4" w:space="0" w:color="auto"/>
              <w:left w:val="nil"/>
              <w:bottom w:val="single" w:sz="4" w:space="0" w:color="auto"/>
              <w:right w:val="nil"/>
            </w:tcBorders>
            <w:noWrap/>
            <w:vAlign w:val="center"/>
          </w:tcPr>
          <w:p w14:paraId="7A2D2A6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2009</w:t>
            </w:r>
          </w:p>
        </w:tc>
        <w:tc>
          <w:tcPr>
            <w:tcW w:w="993" w:type="dxa"/>
            <w:gridSpan w:val="2"/>
            <w:tcBorders>
              <w:top w:val="single" w:sz="4" w:space="0" w:color="auto"/>
              <w:left w:val="nil"/>
              <w:bottom w:val="single" w:sz="4" w:space="0" w:color="auto"/>
              <w:right w:val="nil"/>
            </w:tcBorders>
            <w:noWrap/>
            <w:vAlign w:val="center"/>
          </w:tcPr>
          <w:p w14:paraId="31C15A5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Japan</w:t>
            </w:r>
          </w:p>
        </w:tc>
        <w:tc>
          <w:tcPr>
            <w:tcW w:w="1275" w:type="dxa"/>
            <w:tcBorders>
              <w:top w:val="single" w:sz="4" w:space="0" w:color="auto"/>
              <w:left w:val="nil"/>
              <w:bottom w:val="single" w:sz="4" w:space="0" w:color="auto"/>
              <w:right w:val="nil"/>
            </w:tcBorders>
            <w:vAlign w:val="center"/>
          </w:tcPr>
          <w:p w14:paraId="61B44F4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5D51C75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apnea and hypopnea</w:t>
            </w:r>
          </w:p>
        </w:tc>
        <w:tc>
          <w:tcPr>
            <w:tcW w:w="1985" w:type="dxa"/>
            <w:tcBorders>
              <w:top w:val="single" w:sz="4" w:space="0" w:color="auto"/>
              <w:left w:val="nil"/>
              <w:bottom w:val="single" w:sz="4" w:space="0" w:color="auto"/>
              <w:right w:val="nil"/>
            </w:tcBorders>
            <w:vAlign w:val="center"/>
          </w:tcPr>
          <w:p w14:paraId="2559DE3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study the applicability of non-contact sensors in a hospital room. Only the results about the pressure mat were presented in this manuscript.</w:t>
            </w:r>
          </w:p>
        </w:tc>
        <w:tc>
          <w:tcPr>
            <w:tcW w:w="3541" w:type="dxa"/>
            <w:tcBorders>
              <w:top w:val="single" w:sz="4" w:space="0" w:color="auto"/>
              <w:left w:val="nil"/>
              <w:bottom w:val="single" w:sz="4" w:space="0" w:color="auto"/>
              <w:right w:val="nil"/>
            </w:tcBorders>
            <w:vAlign w:val="center"/>
          </w:tcPr>
          <w:p w14:paraId="03AF2DB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two adults with sleep apnea in the hospital. Participants were monitored for one night with both the pressure mat under the pillow and a standard PSG. </w:t>
            </w:r>
          </w:p>
        </w:tc>
        <w:tc>
          <w:tcPr>
            <w:tcW w:w="3261" w:type="dxa"/>
            <w:tcBorders>
              <w:top w:val="single" w:sz="4" w:space="0" w:color="auto"/>
              <w:left w:val="nil"/>
              <w:bottom w:val="single" w:sz="4" w:space="0" w:color="auto"/>
            </w:tcBorders>
            <w:vAlign w:val="center"/>
          </w:tcPr>
          <w:p w14:paraId="727891E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There was good agreement on the number of apnea or hypopnea events per hour between the pressure mat and the PSG.</w:t>
            </w:r>
          </w:p>
        </w:tc>
      </w:tr>
      <w:tr w:rsidR="005A499B" w:rsidRPr="005A499B" w14:paraId="6BAA8ECB" w14:textId="77777777" w:rsidTr="007E42ED">
        <w:trPr>
          <w:trHeight w:val="511"/>
        </w:trPr>
        <w:tc>
          <w:tcPr>
            <w:tcW w:w="13890" w:type="dxa"/>
            <w:gridSpan w:val="9"/>
            <w:tcBorders>
              <w:top w:val="single" w:sz="4" w:space="0" w:color="auto"/>
              <w:bottom w:val="single" w:sz="4" w:space="0" w:color="auto"/>
            </w:tcBorders>
            <w:noWrap/>
            <w:vAlign w:val="center"/>
          </w:tcPr>
          <w:p w14:paraId="7508BF94" w14:textId="77777777" w:rsidR="005A499B" w:rsidRPr="00523AB6" w:rsidRDefault="005A499B" w:rsidP="007E42ED">
            <w:pPr>
              <w:spacing w:after="0"/>
              <w:rPr>
                <w:b/>
                <w:bCs/>
                <w:lang w:val="en-GB"/>
              </w:rPr>
            </w:pPr>
            <w:r w:rsidRPr="00523AB6">
              <w:rPr>
                <w:b/>
                <w:bCs/>
                <w:lang w:val="en-GB"/>
              </w:rPr>
              <w:t>Non-contact monitoring systems – video/facial expression analysis</w:t>
            </w:r>
          </w:p>
        </w:tc>
      </w:tr>
      <w:tr w:rsidR="005A499B" w:rsidRPr="005A499B" w14:paraId="1F05AC81" w14:textId="77777777" w:rsidTr="007E42ED">
        <w:trPr>
          <w:trHeight w:val="903"/>
        </w:trPr>
        <w:tc>
          <w:tcPr>
            <w:tcW w:w="993" w:type="dxa"/>
            <w:tcBorders>
              <w:top w:val="single" w:sz="4" w:space="0" w:color="auto"/>
              <w:bottom w:val="single" w:sz="4" w:space="0" w:color="auto"/>
              <w:right w:val="nil"/>
            </w:tcBorders>
            <w:noWrap/>
            <w:vAlign w:val="center"/>
          </w:tcPr>
          <w:p w14:paraId="0934EFA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Becouze</w:t>
            </w:r>
          </w:p>
        </w:tc>
        <w:tc>
          <w:tcPr>
            <w:tcW w:w="708" w:type="dxa"/>
            <w:tcBorders>
              <w:top w:val="single" w:sz="4" w:space="0" w:color="auto"/>
              <w:left w:val="nil"/>
              <w:bottom w:val="single" w:sz="4" w:space="0" w:color="auto"/>
              <w:right w:val="nil"/>
            </w:tcBorders>
            <w:noWrap/>
            <w:vAlign w:val="center"/>
          </w:tcPr>
          <w:p w14:paraId="4EDB389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2007</w:t>
            </w:r>
          </w:p>
        </w:tc>
        <w:tc>
          <w:tcPr>
            <w:tcW w:w="993" w:type="dxa"/>
            <w:gridSpan w:val="2"/>
            <w:tcBorders>
              <w:top w:val="single" w:sz="4" w:space="0" w:color="auto"/>
              <w:left w:val="nil"/>
              <w:bottom w:val="single" w:sz="4" w:space="0" w:color="auto"/>
              <w:right w:val="nil"/>
            </w:tcBorders>
            <w:noWrap/>
            <w:vAlign w:val="center"/>
          </w:tcPr>
          <w:p w14:paraId="4B166E37"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New Zealand</w:t>
            </w:r>
          </w:p>
        </w:tc>
        <w:tc>
          <w:tcPr>
            <w:tcW w:w="1275" w:type="dxa"/>
            <w:tcBorders>
              <w:top w:val="single" w:sz="4" w:space="0" w:color="auto"/>
              <w:left w:val="nil"/>
              <w:bottom w:val="single" w:sz="4" w:space="0" w:color="auto"/>
              <w:right w:val="nil"/>
            </w:tcBorders>
            <w:vAlign w:val="center"/>
          </w:tcPr>
          <w:p w14:paraId="368F15C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Camera: Canon IXUS 40 digital </w:t>
            </w:r>
            <w:r w:rsidRPr="00523AB6">
              <w:rPr>
                <w:rFonts w:ascii="Calibri" w:eastAsia="Times New Roman" w:hAnsi="Calibri" w:cs="Calibri"/>
                <w:lang w:val="en-GB"/>
              </w:rPr>
              <w:lastRenderedPageBreak/>
              <w:t>camera; Algorithm developed by the authors</w:t>
            </w:r>
          </w:p>
        </w:tc>
        <w:tc>
          <w:tcPr>
            <w:tcW w:w="1134" w:type="dxa"/>
            <w:tcBorders>
              <w:top w:val="single" w:sz="4" w:space="0" w:color="auto"/>
              <w:left w:val="nil"/>
              <w:bottom w:val="single" w:sz="4" w:space="0" w:color="auto"/>
              <w:right w:val="nil"/>
            </w:tcBorders>
            <w:vAlign w:val="center"/>
          </w:tcPr>
          <w:p w14:paraId="2A42B54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Agitation</w:t>
            </w:r>
          </w:p>
        </w:tc>
        <w:tc>
          <w:tcPr>
            <w:tcW w:w="1985" w:type="dxa"/>
            <w:tcBorders>
              <w:top w:val="single" w:sz="4" w:space="0" w:color="auto"/>
              <w:left w:val="nil"/>
              <w:bottom w:val="single" w:sz="4" w:space="0" w:color="auto"/>
              <w:right w:val="nil"/>
            </w:tcBorders>
            <w:vAlign w:val="center"/>
          </w:tcPr>
          <w:p w14:paraId="5C30492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develop an algorithm to detect grimacing </w:t>
            </w:r>
            <w:r w:rsidRPr="00523AB6">
              <w:rPr>
                <w:rFonts w:ascii="Calibri" w:hAnsi="Calibri" w:cs="Calibri"/>
                <w:lang w:val="en-GB"/>
              </w:rPr>
              <w:lastRenderedPageBreak/>
              <w:t>independent of the head movement.</w:t>
            </w:r>
          </w:p>
        </w:tc>
        <w:tc>
          <w:tcPr>
            <w:tcW w:w="3541" w:type="dxa"/>
            <w:tcBorders>
              <w:top w:val="single" w:sz="4" w:space="0" w:color="auto"/>
              <w:left w:val="nil"/>
              <w:bottom w:val="single" w:sz="4" w:space="0" w:color="auto"/>
              <w:right w:val="nil"/>
            </w:tcBorders>
            <w:vAlign w:val="center"/>
          </w:tcPr>
          <w:p w14:paraId="4373C63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Quantitative non-randomized experimental study with two simulated videos of the face, one </w:t>
            </w:r>
            <w:r w:rsidRPr="00523AB6">
              <w:rPr>
                <w:rFonts w:ascii="Calibri" w:hAnsi="Calibri" w:cs="Calibri"/>
                <w:lang w:val="en-GB"/>
              </w:rPr>
              <w:lastRenderedPageBreak/>
              <w:t xml:space="preserve">grimacing and the other with a neutral expression. </w:t>
            </w:r>
          </w:p>
        </w:tc>
        <w:tc>
          <w:tcPr>
            <w:tcW w:w="3261" w:type="dxa"/>
            <w:tcBorders>
              <w:top w:val="single" w:sz="4" w:space="0" w:color="auto"/>
              <w:left w:val="nil"/>
              <w:bottom w:val="single" w:sz="4" w:space="0" w:color="auto"/>
            </w:tcBorders>
            <w:vAlign w:val="center"/>
          </w:tcPr>
          <w:p w14:paraId="4B87424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 xml:space="preserve">The algorithm could successfully track the reference point on the forehead and identify the face </w:t>
            </w:r>
            <w:r w:rsidRPr="00523AB6">
              <w:rPr>
                <w:rFonts w:ascii="Calibri" w:hAnsi="Calibri" w:cs="Calibri"/>
                <w:lang w:val="en-GB"/>
              </w:rPr>
              <w:lastRenderedPageBreak/>
              <w:t>area when the head was moving. The grimacing level determined by the system corresponded with observation.</w:t>
            </w:r>
          </w:p>
        </w:tc>
      </w:tr>
      <w:tr w:rsidR="005A499B" w:rsidRPr="005A499B" w14:paraId="5E2291F0" w14:textId="77777777" w:rsidTr="007E42ED">
        <w:trPr>
          <w:trHeight w:val="903"/>
        </w:trPr>
        <w:tc>
          <w:tcPr>
            <w:tcW w:w="993" w:type="dxa"/>
            <w:tcBorders>
              <w:top w:val="single" w:sz="4" w:space="0" w:color="auto"/>
              <w:bottom w:val="single" w:sz="4" w:space="0" w:color="auto"/>
              <w:right w:val="nil"/>
            </w:tcBorders>
            <w:noWrap/>
            <w:vAlign w:val="center"/>
          </w:tcPr>
          <w:p w14:paraId="37B7922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Palestra</w:t>
            </w:r>
          </w:p>
        </w:tc>
        <w:tc>
          <w:tcPr>
            <w:tcW w:w="708" w:type="dxa"/>
            <w:tcBorders>
              <w:top w:val="single" w:sz="4" w:space="0" w:color="auto"/>
              <w:left w:val="nil"/>
              <w:bottom w:val="single" w:sz="4" w:space="0" w:color="auto"/>
              <w:right w:val="nil"/>
            </w:tcBorders>
            <w:noWrap/>
            <w:vAlign w:val="center"/>
          </w:tcPr>
          <w:p w14:paraId="186DB77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4424CC1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Italy</w:t>
            </w:r>
          </w:p>
        </w:tc>
        <w:tc>
          <w:tcPr>
            <w:tcW w:w="1275" w:type="dxa"/>
            <w:tcBorders>
              <w:top w:val="single" w:sz="4" w:space="0" w:color="auto"/>
              <w:left w:val="nil"/>
              <w:bottom w:val="single" w:sz="4" w:space="0" w:color="auto"/>
              <w:right w:val="nil"/>
            </w:tcBorders>
            <w:vAlign w:val="center"/>
          </w:tcPr>
          <w:p w14:paraId="52B56E9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RGB cameras; Algorithm developed by the authors</w:t>
            </w:r>
          </w:p>
        </w:tc>
        <w:tc>
          <w:tcPr>
            <w:tcW w:w="1134" w:type="dxa"/>
            <w:tcBorders>
              <w:top w:val="single" w:sz="4" w:space="0" w:color="auto"/>
              <w:left w:val="nil"/>
              <w:bottom w:val="single" w:sz="4" w:space="0" w:color="auto"/>
              <w:right w:val="nil"/>
            </w:tcBorders>
            <w:vAlign w:val="center"/>
          </w:tcPr>
          <w:p w14:paraId="156126A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Emotions</w:t>
            </w:r>
          </w:p>
        </w:tc>
        <w:tc>
          <w:tcPr>
            <w:tcW w:w="1985" w:type="dxa"/>
            <w:tcBorders>
              <w:top w:val="single" w:sz="4" w:space="0" w:color="auto"/>
              <w:left w:val="nil"/>
              <w:bottom w:val="single" w:sz="4" w:space="0" w:color="auto"/>
              <w:right w:val="nil"/>
            </w:tcBorders>
            <w:vAlign w:val="center"/>
          </w:tcPr>
          <w:p w14:paraId="4B13745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To evaluate a robot-facilitated memory training in its effects of engaging the participants. </w:t>
            </w:r>
          </w:p>
        </w:tc>
        <w:tc>
          <w:tcPr>
            <w:tcW w:w="3541" w:type="dxa"/>
            <w:tcBorders>
              <w:top w:val="single" w:sz="4" w:space="0" w:color="auto"/>
              <w:left w:val="nil"/>
              <w:bottom w:val="single" w:sz="4" w:space="0" w:color="auto"/>
              <w:right w:val="nil"/>
            </w:tcBorders>
            <w:vAlign w:val="center"/>
          </w:tcPr>
          <w:p w14:paraId="4462C12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21 adults with Mild Cognitive Impairment. Videos of an hour were taken during robot-facilitated group memory training sessions and emotions were identified by automatic facial expression analysis.</w:t>
            </w:r>
          </w:p>
        </w:tc>
        <w:tc>
          <w:tcPr>
            <w:tcW w:w="3261" w:type="dxa"/>
            <w:tcBorders>
              <w:top w:val="single" w:sz="4" w:space="0" w:color="auto"/>
              <w:left w:val="nil"/>
              <w:bottom w:val="single" w:sz="4" w:space="0" w:color="auto"/>
            </w:tcBorders>
            <w:vAlign w:val="center"/>
          </w:tcPr>
          <w:p w14:paraId="1B992B6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system could detect all faces, including partially covered faces (success rate 56%), and recognize emotions reliably when the face was detected. </w:t>
            </w:r>
          </w:p>
        </w:tc>
      </w:tr>
      <w:tr w:rsidR="005A499B" w:rsidRPr="00523AB6" w14:paraId="5B638962" w14:textId="77777777" w:rsidTr="007E42ED">
        <w:trPr>
          <w:trHeight w:val="903"/>
        </w:trPr>
        <w:tc>
          <w:tcPr>
            <w:tcW w:w="993" w:type="dxa"/>
            <w:tcBorders>
              <w:top w:val="single" w:sz="4" w:space="0" w:color="auto"/>
              <w:bottom w:val="single" w:sz="4" w:space="0" w:color="auto"/>
              <w:right w:val="nil"/>
            </w:tcBorders>
            <w:noWrap/>
            <w:vAlign w:val="center"/>
          </w:tcPr>
          <w:p w14:paraId="6F4592A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Castillo</w:t>
            </w:r>
          </w:p>
        </w:tc>
        <w:tc>
          <w:tcPr>
            <w:tcW w:w="708" w:type="dxa"/>
            <w:tcBorders>
              <w:top w:val="single" w:sz="4" w:space="0" w:color="auto"/>
              <w:left w:val="nil"/>
              <w:bottom w:val="single" w:sz="4" w:space="0" w:color="auto"/>
              <w:right w:val="nil"/>
            </w:tcBorders>
            <w:noWrap/>
            <w:vAlign w:val="center"/>
          </w:tcPr>
          <w:p w14:paraId="5B1720A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214C6B6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0BC0315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Algorithm: FaceReader version 8 (Noldus Technology Information)</w:t>
            </w:r>
          </w:p>
        </w:tc>
        <w:tc>
          <w:tcPr>
            <w:tcW w:w="1134" w:type="dxa"/>
            <w:tcBorders>
              <w:top w:val="single" w:sz="4" w:space="0" w:color="auto"/>
              <w:left w:val="nil"/>
              <w:bottom w:val="single" w:sz="4" w:space="0" w:color="auto"/>
              <w:right w:val="nil"/>
            </w:tcBorders>
            <w:vAlign w:val="center"/>
          </w:tcPr>
          <w:p w14:paraId="6732C7C6"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2226F4F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FaceReader in its estimation of pain and heart rate.</w:t>
            </w:r>
          </w:p>
        </w:tc>
        <w:tc>
          <w:tcPr>
            <w:tcW w:w="3541" w:type="dxa"/>
            <w:tcBorders>
              <w:top w:val="single" w:sz="4" w:space="0" w:color="auto"/>
              <w:left w:val="nil"/>
              <w:bottom w:val="single" w:sz="4" w:space="0" w:color="auto"/>
              <w:right w:val="nil"/>
            </w:tcBorders>
            <w:vAlign w:val="center"/>
          </w:tcPr>
          <w:p w14:paraId="4B9048C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pre-existing video recordings of two older long-term care residents with dementia and two community dwelling older adults. FaceReader automatically analysed pain based on facial expressions and estimated the heart rate. Pain was also manually scored using the</w:t>
            </w:r>
            <w:r w:rsidRPr="00523AB6">
              <w:rPr>
                <w:lang w:val="en-US"/>
              </w:rPr>
              <w:t xml:space="preserve"> </w:t>
            </w:r>
            <w:r w:rsidRPr="00523AB6">
              <w:rPr>
                <w:rFonts w:ascii="Calibri" w:hAnsi="Calibri" w:cs="Calibri"/>
                <w:lang w:val="en-GB"/>
              </w:rPr>
              <w:t>Facial Action Coding System (FACS) and heart rate was estimated with the well-established</w:t>
            </w:r>
            <w:r w:rsidRPr="00523AB6">
              <w:rPr>
                <w:lang w:val="en-US"/>
              </w:rPr>
              <w:t xml:space="preserve"> </w:t>
            </w:r>
            <w:r w:rsidRPr="00523AB6">
              <w:rPr>
                <w:rFonts w:ascii="Calibri" w:hAnsi="Calibri" w:cs="Calibri"/>
                <w:lang w:val="en-GB"/>
              </w:rPr>
              <w:t>Video Magnification (VM) algorithm.</w:t>
            </w:r>
          </w:p>
        </w:tc>
        <w:tc>
          <w:tcPr>
            <w:tcW w:w="3261" w:type="dxa"/>
            <w:tcBorders>
              <w:top w:val="single" w:sz="4" w:space="0" w:color="auto"/>
              <w:left w:val="nil"/>
              <w:bottom w:val="single" w:sz="4" w:space="0" w:color="auto"/>
            </w:tcBorders>
            <w:vAlign w:val="center"/>
          </w:tcPr>
          <w:p w14:paraId="7944B1B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FaceReader rating of pain scores strongly correlated with FACS during and around facial pain expression (</w:t>
            </w:r>
            <w:r w:rsidRPr="00523AB6">
              <w:rPr>
                <w:rFonts w:ascii="Calibri" w:hAnsi="Calibri" w:cs="Calibri"/>
                <w:i/>
                <w:iCs/>
                <w:lang w:val="en-GB"/>
              </w:rPr>
              <w:t xml:space="preserve">r </w:t>
            </w:r>
            <w:r w:rsidRPr="00523AB6">
              <w:rPr>
                <w:rFonts w:ascii="Calibri" w:hAnsi="Calibri" w:cs="Calibri"/>
                <w:lang w:val="en-GB"/>
              </w:rPr>
              <w:t>= 0.99 – 1.00). Its heart rate estimation strongly correlated with VM (</w:t>
            </w:r>
            <w:r w:rsidRPr="00523AB6">
              <w:rPr>
                <w:rFonts w:ascii="Calibri" w:hAnsi="Calibri" w:cs="Calibri"/>
                <w:i/>
                <w:iCs/>
                <w:lang w:val="en-GB"/>
              </w:rPr>
              <w:t xml:space="preserve">r </w:t>
            </w:r>
            <w:r w:rsidRPr="00523AB6">
              <w:rPr>
                <w:rFonts w:ascii="Calibri" w:hAnsi="Calibri" w:cs="Calibri"/>
                <w:lang w:val="en-GB"/>
              </w:rPr>
              <w:t>= 0.99 – 1.00).</w:t>
            </w:r>
          </w:p>
        </w:tc>
      </w:tr>
      <w:tr w:rsidR="005A499B" w:rsidRPr="00523AB6" w14:paraId="7A2975D5" w14:textId="77777777" w:rsidTr="007E42ED">
        <w:trPr>
          <w:trHeight w:val="903"/>
        </w:trPr>
        <w:tc>
          <w:tcPr>
            <w:tcW w:w="993" w:type="dxa"/>
            <w:tcBorders>
              <w:top w:val="single" w:sz="4" w:space="0" w:color="auto"/>
              <w:bottom w:val="single" w:sz="4" w:space="0" w:color="auto"/>
              <w:right w:val="nil"/>
            </w:tcBorders>
            <w:noWrap/>
            <w:vAlign w:val="center"/>
          </w:tcPr>
          <w:p w14:paraId="149A59D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Rezaei</w:t>
            </w:r>
          </w:p>
        </w:tc>
        <w:tc>
          <w:tcPr>
            <w:tcW w:w="708" w:type="dxa"/>
            <w:tcBorders>
              <w:top w:val="single" w:sz="4" w:space="0" w:color="auto"/>
              <w:left w:val="nil"/>
              <w:bottom w:val="single" w:sz="4" w:space="0" w:color="auto"/>
              <w:right w:val="nil"/>
            </w:tcBorders>
            <w:noWrap/>
            <w:vAlign w:val="center"/>
          </w:tcPr>
          <w:p w14:paraId="0075031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24036FF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32EBAAA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Algorithm developed by the authors</w:t>
            </w:r>
          </w:p>
        </w:tc>
        <w:tc>
          <w:tcPr>
            <w:tcW w:w="1134" w:type="dxa"/>
            <w:tcBorders>
              <w:top w:val="single" w:sz="4" w:space="0" w:color="auto"/>
              <w:left w:val="nil"/>
              <w:bottom w:val="single" w:sz="4" w:space="0" w:color="auto"/>
              <w:right w:val="nil"/>
            </w:tcBorders>
            <w:vAlign w:val="center"/>
          </w:tcPr>
          <w:p w14:paraId="15FDBB8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4210858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develop a technology to automatically recognize pain in long-term care facilities.</w:t>
            </w:r>
          </w:p>
        </w:tc>
        <w:tc>
          <w:tcPr>
            <w:tcW w:w="3541" w:type="dxa"/>
            <w:tcBorders>
              <w:top w:val="single" w:sz="4" w:space="0" w:color="auto"/>
              <w:left w:val="nil"/>
              <w:bottom w:val="single" w:sz="4" w:space="0" w:color="auto"/>
              <w:right w:val="nil"/>
            </w:tcBorders>
            <w:vAlign w:val="center"/>
          </w:tcPr>
          <w:p w14:paraId="0EE016FA"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experimental study with pre-existing video recordings of the faces of 25 adults with shoulder injury, 47 community-dwelling older adults, and 48 older adults with severe dementia in long-term care facilities. Automatic recognition of </w:t>
            </w:r>
            <w:r w:rsidRPr="00523AB6">
              <w:rPr>
                <w:rFonts w:ascii="Calibri" w:hAnsi="Calibri" w:cs="Calibri"/>
                <w:lang w:val="en-GB"/>
              </w:rPr>
              <w:lastRenderedPageBreak/>
              <w:t>pain was compared with Prkachin and Solomon Pain Index (PSPI), scored by trained human annotators.</w:t>
            </w:r>
          </w:p>
        </w:tc>
        <w:tc>
          <w:tcPr>
            <w:tcW w:w="3261" w:type="dxa"/>
            <w:tcBorders>
              <w:top w:val="single" w:sz="4" w:space="0" w:color="auto"/>
              <w:left w:val="nil"/>
              <w:bottom w:val="single" w:sz="4" w:space="0" w:color="auto"/>
            </w:tcBorders>
            <w:vAlign w:val="center"/>
          </w:tcPr>
          <w:p w14:paraId="45DE3F26"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lastRenderedPageBreak/>
              <w:t>The algorithm outperformed baseline in recognizing pain. Pain prediction with the final model correlated with PSPI (</w:t>
            </w:r>
            <w:r w:rsidRPr="00523AB6">
              <w:rPr>
                <w:rFonts w:ascii="Calibri" w:hAnsi="Calibri" w:cs="Calibri"/>
                <w:i/>
                <w:iCs/>
                <w:lang w:val="en-GB"/>
              </w:rPr>
              <w:t>r</w:t>
            </w:r>
            <w:r w:rsidRPr="00523AB6">
              <w:rPr>
                <w:rFonts w:ascii="Calibri" w:hAnsi="Calibri" w:cs="Calibri"/>
                <w:lang w:val="en-GB"/>
              </w:rPr>
              <w:t xml:space="preserve"> = 0.48 – 0.70), had an average precision of 0.71 (people with dementia) and 0.84 (in older adults without </w:t>
            </w:r>
            <w:r w:rsidRPr="00523AB6">
              <w:rPr>
                <w:rFonts w:ascii="Calibri" w:hAnsi="Calibri" w:cs="Calibri"/>
                <w:lang w:val="en-GB"/>
              </w:rPr>
              <w:lastRenderedPageBreak/>
              <w:t>dementia). The AUC was 0.85 – 0.86.</w:t>
            </w:r>
          </w:p>
        </w:tc>
      </w:tr>
      <w:tr w:rsidR="005A499B" w:rsidRPr="005A499B" w14:paraId="778EF313" w14:textId="77777777" w:rsidTr="007E42ED">
        <w:trPr>
          <w:trHeight w:val="511"/>
        </w:trPr>
        <w:tc>
          <w:tcPr>
            <w:tcW w:w="13890" w:type="dxa"/>
            <w:gridSpan w:val="9"/>
            <w:tcBorders>
              <w:top w:val="single" w:sz="4" w:space="0" w:color="auto"/>
              <w:bottom w:val="single" w:sz="4" w:space="0" w:color="auto"/>
            </w:tcBorders>
            <w:noWrap/>
            <w:vAlign w:val="center"/>
          </w:tcPr>
          <w:p w14:paraId="239A7533" w14:textId="77777777" w:rsidR="005A499B" w:rsidRPr="00523AB6" w:rsidRDefault="005A499B" w:rsidP="007E42ED">
            <w:pPr>
              <w:spacing w:after="0"/>
              <w:rPr>
                <w:b/>
                <w:bCs/>
                <w:lang w:val="en-GB"/>
              </w:rPr>
            </w:pPr>
            <w:r w:rsidRPr="00523AB6">
              <w:rPr>
                <w:b/>
                <w:bCs/>
                <w:lang w:val="en-GB"/>
              </w:rPr>
              <w:lastRenderedPageBreak/>
              <w:t xml:space="preserve">Non-contact monitoring systems - infrared </w:t>
            </w:r>
          </w:p>
        </w:tc>
      </w:tr>
      <w:tr w:rsidR="005A499B" w:rsidRPr="005A499B" w14:paraId="1237B745" w14:textId="77777777" w:rsidTr="007E42ED">
        <w:trPr>
          <w:trHeight w:val="903"/>
        </w:trPr>
        <w:tc>
          <w:tcPr>
            <w:tcW w:w="993" w:type="dxa"/>
            <w:tcBorders>
              <w:top w:val="single" w:sz="4" w:space="0" w:color="auto"/>
              <w:bottom w:val="single" w:sz="4" w:space="0" w:color="auto"/>
              <w:right w:val="nil"/>
            </w:tcBorders>
            <w:noWrap/>
            <w:vAlign w:val="center"/>
          </w:tcPr>
          <w:p w14:paraId="4210200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Casaccia</w:t>
            </w:r>
          </w:p>
        </w:tc>
        <w:tc>
          <w:tcPr>
            <w:tcW w:w="708" w:type="dxa"/>
            <w:tcBorders>
              <w:top w:val="single" w:sz="4" w:space="0" w:color="auto"/>
              <w:left w:val="nil"/>
              <w:bottom w:val="single" w:sz="4" w:space="0" w:color="auto"/>
              <w:right w:val="nil"/>
            </w:tcBorders>
            <w:noWrap/>
            <w:vAlign w:val="center"/>
          </w:tcPr>
          <w:p w14:paraId="7FA99DC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291606E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Italy</w:t>
            </w:r>
          </w:p>
        </w:tc>
        <w:tc>
          <w:tcPr>
            <w:tcW w:w="1275" w:type="dxa"/>
            <w:tcBorders>
              <w:top w:val="single" w:sz="4" w:space="0" w:color="auto"/>
              <w:left w:val="nil"/>
              <w:bottom w:val="single" w:sz="4" w:space="0" w:color="auto"/>
              <w:right w:val="nil"/>
            </w:tcBorders>
            <w:vAlign w:val="center"/>
          </w:tcPr>
          <w:p w14:paraId="4D1477D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Passive InfraRed motion sensor (brand not reported)</w:t>
            </w:r>
          </w:p>
        </w:tc>
        <w:tc>
          <w:tcPr>
            <w:tcW w:w="1134" w:type="dxa"/>
            <w:tcBorders>
              <w:top w:val="single" w:sz="4" w:space="0" w:color="auto"/>
              <w:left w:val="nil"/>
              <w:bottom w:val="single" w:sz="4" w:space="0" w:color="auto"/>
              <w:right w:val="nil"/>
            </w:tcBorders>
            <w:vAlign w:val="center"/>
          </w:tcPr>
          <w:p w14:paraId="2546EA8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stages</w:t>
            </w:r>
          </w:p>
        </w:tc>
        <w:tc>
          <w:tcPr>
            <w:tcW w:w="1985" w:type="dxa"/>
            <w:tcBorders>
              <w:top w:val="single" w:sz="4" w:space="0" w:color="auto"/>
              <w:left w:val="nil"/>
              <w:bottom w:val="single" w:sz="4" w:space="0" w:color="auto"/>
              <w:right w:val="nil"/>
            </w:tcBorders>
            <w:vAlign w:val="center"/>
          </w:tcPr>
          <w:p w14:paraId="2C9FC19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test the possibility of classifying sleep stages using infrared signal.</w:t>
            </w:r>
          </w:p>
        </w:tc>
        <w:tc>
          <w:tcPr>
            <w:tcW w:w="3541" w:type="dxa"/>
            <w:tcBorders>
              <w:top w:val="single" w:sz="4" w:space="0" w:color="auto"/>
              <w:left w:val="nil"/>
              <w:bottom w:val="single" w:sz="4" w:space="0" w:color="auto"/>
              <w:right w:val="nil"/>
            </w:tcBorders>
            <w:vAlign w:val="center"/>
          </w:tcPr>
          <w:p w14:paraId="07D380F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case report on 25 nights of sleep data of one healthy adult. The sleep stages classified by the Passive InfraRed system was compared to the sleep pattern measured by a Ballistocardiographic bed sensor (Nokia Sleep bed sensor) under the mattress. </w:t>
            </w:r>
          </w:p>
        </w:tc>
        <w:tc>
          <w:tcPr>
            <w:tcW w:w="3261" w:type="dxa"/>
            <w:tcBorders>
              <w:top w:val="single" w:sz="4" w:space="0" w:color="auto"/>
              <w:left w:val="nil"/>
              <w:bottom w:val="single" w:sz="4" w:space="0" w:color="auto"/>
            </w:tcBorders>
            <w:vAlign w:val="center"/>
          </w:tcPr>
          <w:p w14:paraId="5806A6B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Passive InfraRed sensor could detect the waking states (R = 0.67 - 0.86, R</w:t>
            </w:r>
            <w:r w:rsidRPr="00523AB6">
              <w:rPr>
                <w:rFonts w:ascii="Calibri" w:hAnsi="Calibri" w:cs="Calibri"/>
                <w:vertAlign w:val="superscript"/>
                <w:lang w:val="en-GB"/>
              </w:rPr>
              <w:t>2</w:t>
            </w:r>
            <w:r w:rsidRPr="00523AB6">
              <w:rPr>
                <w:rFonts w:ascii="Calibri" w:hAnsi="Calibri" w:cs="Calibri"/>
                <w:lang w:val="en-GB"/>
              </w:rPr>
              <w:t xml:space="preserve"> = 0.45 - 0.69) better than REM (R = 0.40, R</w:t>
            </w:r>
            <w:r w:rsidRPr="00523AB6">
              <w:rPr>
                <w:rFonts w:ascii="Calibri" w:hAnsi="Calibri" w:cs="Calibri"/>
                <w:vertAlign w:val="superscript"/>
                <w:lang w:val="en-GB"/>
              </w:rPr>
              <w:t>2</w:t>
            </w:r>
            <w:r w:rsidRPr="00523AB6">
              <w:rPr>
                <w:rFonts w:ascii="Calibri" w:hAnsi="Calibri" w:cs="Calibri"/>
                <w:lang w:val="en-GB"/>
              </w:rPr>
              <w:t xml:space="preserve"> = 0.16), deep sleep (R = -0.03, R</w:t>
            </w:r>
            <w:r w:rsidRPr="00523AB6">
              <w:rPr>
                <w:rFonts w:ascii="Calibri" w:hAnsi="Calibri" w:cs="Calibri"/>
                <w:vertAlign w:val="superscript"/>
                <w:lang w:val="en-GB"/>
              </w:rPr>
              <w:t>2</w:t>
            </w:r>
            <w:r w:rsidRPr="00523AB6">
              <w:rPr>
                <w:rFonts w:ascii="Calibri" w:hAnsi="Calibri" w:cs="Calibri"/>
                <w:lang w:val="en-GB"/>
              </w:rPr>
              <w:t xml:space="preserve"> = 0.00). and light sleep (R = 0.61, R</w:t>
            </w:r>
            <w:r w:rsidRPr="00523AB6">
              <w:rPr>
                <w:rFonts w:ascii="Calibri" w:hAnsi="Calibri" w:cs="Calibri"/>
                <w:vertAlign w:val="superscript"/>
                <w:lang w:val="en-GB"/>
              </w:rPr>
              <w:t>2</w:t>
            </w:r>
            <w:r w:rsidRPr="00523AB6">
              <w:rPr>
                <w:rFonts w:ascii="Calibri" w:hAnsi="Calibri" w:cs="Calibri"/>
                <w:lang w:val="en-GB"/>
              </w:rPr>
              <w:t xml:space="preserve"> =0.37).</w:t>
            </w:r>
          </w:p>
        </w:tc>
      </w:tr>
      <w:tr w:rsidR="005A499B" w:rsidRPr="005A499B" w14:paraId="4E039979" w14:textId="77777777" w:rsidTr="007E42ED">
        <w:trPr>
          <w:trHeight w:val="903"/>
        </w:trPr>
        <w:tc>
          <w:tcPr>
            <w:tcW w:w="993" w:type="dxa"/>
            <w:tcBorders>
              <w:top w:val="single" w:sz="4" w:space="0" w:color="auto"/>
              <w:bottom w:val="single" w:sz="4" w:space="0" w:color="auto"/>
              <w:right w:val="nil"/>
            </w:tcBorders>
            <w:noWrap/>
            <w:vAlign w:val="center"/>
          </w:tcPr>
          <w:p w14:paraId="7E7E8949"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Tejedor</w:t>
            </w:r>
          </w:p>
        </w:tc>
        <w:tc>
          <w:tcPr>
            <w:tcW w:w="708" w:type="dxa"/>
            <w:tcBorders>
              <w:top w:val="single" w:sz="4" w:space="0" w:color="auto"/>
              <w:left w:val="nil"/>
              <w:bottom w:val="single" w:sz="4" w:space="0" w:color="auto"/>
              <w:right w:val="nil"/>
            </w:tcBorders>
            <w:noWrap/>
            <w:vAlign w:val="center"/>
          </w:tcPr>
          <w:p w14:paraId="5765B0B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7338B48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Spain</w:t>
            </w:r>
          </w:p>
        </w:tc>
        <w:tc>
          <w:tcPr>
            <w:tcW w:w="1275" w:type="dxa"/>
            <w:tcBorders>
              <w:top w:val="single" w:sz="4" w:space="0" w:color="auto"/>
              <w:left w:val="nil"/>
              <w:bottom w:val="single" w:sz="4" w:space="0" w:color="auto"/>
              <w:right w:val="nil"/>
            </w:tcBorders>
            <w:vAlign w:val="center"/>
          </w:tcPr>
          <w:p w14:paraId="6173197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Camera: FLIR E60bx</w:t>
            </w:r>
          </w:p>
        </w:tc>
        <w:tc>
          <w:tcPr>
            <w:tcW w:w="1134" w:type="dxa"/>
            <w:tcBorders>
              <w:top w:val="single" w:sz="4" w:space="0" w:color="auto"/>
              <w:left w:val="nil"/>
              <w:bottom w:val="single" w:sz="4" w:space="0" w:color="auto"/>
              <w:right w:val="nil"/>
            </w:tcBorders>
            <w:vAlign w:val="center"/>
          </w:tcPr>
          <w:p w14:paraId="17A452C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Thermal comfort</w:t>
            </w:r>
          </w:p>
        </w:tc>
        <w:tc>
          <w:tcPr>
            <w:tcW w:w="1985" w:type="dxa"/>
            <w:tcBorders>
              <w:top w:val="single" w:sz="4" w:space="0" w:color="auto"/>
              <w:left w:val="nil"/>
              <w:bottom w:val="single" w:sz="4" w:space="0" w:color="auto"/>
              <w:right w:val="nil"/>
            </w:tcBorders>
            <w:vAlign w:val="center"/>
          </w:tcPr>
          <w:p w14:paraId="16087BC1"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propose a model to determine indoor thermal comfort for nursing home residents.</w:t>
            </w:r>
          </w:p>
        </w:tc>
        <w:tc>
          <w:tcPr>
            <w:tcW w:w="3541" w:type="dxa"/>
            <w:tcBorders>
              <w:top w:val="single" w:sz="4" w:space="0" w:color="auto"/>
              <w:left w:val="nil"/>
              <w:bottom w:val="single" w:sz="4" w:space="0" w:color="auto"/>
              <w:right w:val="nil"/>
            </w:tcBorders>
            <w:vAlign w:val="center"/>
          </w:tcPr>
          <w:p w14:paraId="5E805E53"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case study with 15 older adults in a nursing home during winter. Participants were monitored for five minutes. A thermal questionnaire was filled in by the participants.</w:t>
            </w:r>
          </w:p>
        </w:tc>
        <w:tc>
          <w:tcPr>
            <w:tcW w:w="3261" w:type="dxa"/>
            <w:tcBorders>
              <w:top w:val="single" w:sz="4" w:space="0" w:color="auto"/>
              <w:left w:val="nil"/>
              <w:bottom w:val="single" w:sz="4" w:space="0" w:color="auto"/>
            </w:tcBorders>
            <w:vAlign w:val="center"/>
          </w:tcPr>
          <w:p w14:paraId="7DAF6D5E"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proposed numerical model was reliably. The temperature of the nose could reliably indicate feeling cold. The self-report of the participants was concluded as not reliable.</w:t>
            </w:r>
          </w:p>
        </w:tc>
      </w:tr>
      <w:tr w:rsidR="005A499B" w:rsidRPr="005A499B" w14:paraId="1D06C456" w14:textId="77777777" w:rsidTr="007E42ED">
        <w:trPr>
          <w:trHeight w:val="511"/>
        </w:trPr>
        <w:tc>
          <w:tcPr>
            <w:tcW w:w="13890" w:type="dxa"/>
            <w:gridSpan w:val="9"/>
            <w:tcBorders>
              <w:top w:val="single" w:sz="4" w:space="0" w:color="auto"/>
              <w:bottom w:val="single" w:sz="4" w:space="0" w:color="auto"/>
            </w:tcBorders>
            <w:noWrap/>
            <w:vAlign w:val="center"/>
          </w:tcPr>
          <w:p w14:paraId="7B238734" w14:textId="77777777" w:rsidR="005A499B" w:rsidRPr="00523AB6" w:rsidRDefault="005A499B" w:rsidP="007E42ED">
            <w:pPr>
              <w:spacing w:after="0"/>
              <w:rPr>
                <w:b/>
                <w:bCs/>
                <w:lang w:val="en-GB"/>
              </w:rPr>
            </w:pPr>
            <w:r w:rsidRPr="00523AB6">
              <w:rPr>
                <w:b/>
                <w:bCs/>
                <w:lang w:val="en-GB"/>
              </w:rPr>
              <w:t>Non-contact monitoring systems - radar</w:t>
            </w:r>
          </w:p>
        </w:tc>
      </w:tr>
      <w:tr w:rsidR="005A499B" w:rsidRPr="005A499B" w14:paraId="0518152E" w14:textId="77777777" w:rsidTr="007E42ED">
        <w:trPr>
          <w:trHeight w:val="903"/>
        </w:trPr>
        <w:tc>
          <w:tcPr>
            <w:tcW w:w="993" w:type="dxa"/>
            <w:tcBorders>
              <w:top w:val="single" w:sz="4" w:space="0" w:color="auto"/>
              <w:bottom w:val="single" w:sz="4" w:space="0" w:color="auto"/>
              <w:right w:val="nil"/>
            </w:tcBorders>
            <w:noWrap/>
            <w:vAlign w:val="center"/>
          </w:tcPr>
          <w:p w14:paraId="27A6E731"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Hsu</w:t>
            </w:r>
          </w:p>
        </w:tc>
        <w:tc>
          <w:tcPr>
            <w:tcW w:w="708" w:type="dxa"/>
            <w:tcBorders>
              <w:top w:val="single" w:sz="4" w:space="0" w:color="auto"/>
              <w:left w:val="nil"/>
              <w:bottom w:val="single" w:sz="4" w:space="0" w:color="auto"/>
              <w:right w:val="nil"/>
            </w:tcBorders>
            <w:noWrap/>
            <w:vAlign w:val="center"/>
          </w:tcPr>
          <w:p w14:paraId="4900155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2017</w:t>
            </w:r>
          </w:p>
        </w:tc>
        <w:tc>
          <w:tcPr>
            <w:tcW w:w="993" w:type="dxa"/>
            <w:gridSpan w:val="2"/>
            <w:tcBorders>
              <w:top w:val="single" w:sz="4" w:space="0" w:color="auto"/>
              <w:left w:val="nil"/>
              <w:bottom w:val="single" w:sz="4" w:space="0" w:color="auto"/>
              <w:right w:val="nil"/>
            </w:tcBorders>
            <w:noWrap/>
            <w:vAlign w:val="center"/>
          </w:tcPr>
          <w:p w14:paraId="2340BDC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5BDFE4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EZ-Sleep (developed by the authors)</w:t>
            </w:r>
          </w:p>
        </w:tc>
        <w:tc>
          <w:tcPr>
            <w:tcW w:w="1134" w:type="dxa"/>
            <w:tcBorders>
              <w:top w:val="single" w:sz="4" w:space="0" w:color="auto"/>
              <w:left w:val="nil"/>
              <w:bottom w:val="single" w:sz="4" w:space="0" w:color="auto"/>
              <w:right w:val="nil"/>
            </w:tcBorders>
            <w:vAlign w:val="center"/>
          </w:tcPr>
          <w:p w14:paraId="64CF872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088011C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radio-based sleep monitor.</w:t>
            </w:r>
          </w:p>
        </w:tc>
        <w:tc>
          <w:tcPr>
            <w:tcW w:w="3541" w:type="dxa"/>
            <w:tcBorders>
              <w:top w:val="single" w:sz="4" w:space="0" w:color="auto"/>
              <w:left w:val="nil"/>
              <w:bottom w:val="single" w:sz="4" w:space="0" w:color="auto"/>
              <w:right w:val="nil"/>
            </w:tcBorders>
            <w:vAlign w:val="center"/>
          </w:tcPr>
          <w:p w14:paraId="34378EE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10 healthy community-duelling adults. More than 100 nights of sleep was monitored by EZ-Sleep and compared to a wearable SleepProfiler and sleep diary.</w:t>
            </w:r>
          </w:p>
        </w:tc>
        <w:tc>
          <w:tcPr>
            <w:tcW w:w="3261" w:type="dxa"/>
            <w:tcBorders>
              <w:top w:val="single" w:sz="4" w:space="0" w:color="auto"/>
              <w:left w:val="nil"/>
              <w:bottom w:val="single" w:sz="4" w:space="0" w:color="auto"/>
            </w:tcBorders>
            <w:vAlign w:val="center"/>
          </w:tcPr>
          <w:p w14:paraId="5272454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Compared to SleepProfiler, the EZ-Sleep had an average error of 3.15 min in estimating time in bed, 10.3 min in total sleep time, 4.9 min in sleep latency, 8.2 min in wake after sleep onset, and 2.8% in sleep efficiency. </w:t>
            </w:r>
          </w:p>
          <w:p w14:paraId="04D89D52"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EZ-Sleep can simultaneously monitor more than one people, although there can be a little </w:t>
            </w:r>
            <w:r w:rsidRPr="00523AB6">
              <w:rPr>
                <w:rFonts w:ascii="Calibri" w:hAnsi="Calibri" w:cs="Calibri"/>
                <w:lang w:val="en-GB"/>
              </w:rPr>
              <w:lastRenderedPageBreak/>
              <w:t>disturbance if two people are sleeping close to each other.</w:t>
            </w:r>
          </w:p>
        </w:tc>
      </w:tr>
      <w:tr w:rsidR="005A499B" w:rsidRPr="005A499B" w14:paraId="6A59B67C" w14:textId="77777777" w:rsidTr="007E42ED">
        <w:trPr>
          <w:trHeight w:val="903"/>
        </w:trPr>
        <w:tc>
          <w:tcPr>
            <w:tcW w:w="993" w:type="dxa"/>
            <w:tcBorders>
              <w:top w:val="single" w:sz="4" w:space="0" w:color="auto"/>
              <w:bottom w:val="single" w:sz="4" w:space="0" w:color="auto"/>
              <w:right w:val="nil"/>
            </w:tcBorders>
            <w:noWrap/>
            <w:vAlign w:val="center"/>
          </w:tcPr>
          <w:p w14:paraId="07F136A5"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lastRenderedPageBreak/>
              <w:t>Resuli</w:t>
            </w:r>
          </w:p>
        </w:tc>
        <w:tc>
          <w:tcPr>
            <w:tcW w:w="708" w:type="dxa"/>
            <w:tcBorders>
              <w:top w:val="single" w:sz="4" w:space="0" w:color="auto"/>
              <w:left w:val="nil"/>
              <w:bottom w:val="single" w:sz="4" w:space="0" w:color="auto"/>
              <w:right w:val="nil"/>
            </w:tcBorders>
            <w:noWrap/>
            <w:vAlign w:val="center"/>
          </w:tcPr>
          <w:p w14:paraId="4BC9FC8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1EE8D34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64FE32A4"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Vayyar radar system</w:t>
            </w:r>
          </w:p>
        </w:tc>
        <w:tc>
          <w:tcPr>
            <w:tcW w:w="1134" w:type="dxa"/>
            <w:tcBorders>
              <w:top w:val="single" w:sz="4" w:space="0" w:color="auto"/>
              <w:left w:val="nil"/>
              <w:bottom w:val="single" w:sz="4" w:space="0" w:color="auto"/>
              <w:right w:val="nil"/>
            </w:tcBorders>
            <w:vAlign w:val="center"/>
          </w:tcPr>
          <w:p w14:paraId="06E9B45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-respiration rate</w:t>
            </w:r>
          </w:p>
        </w:tc>
        <w:tc>
          <w:tcPr>
            <w:tcW w:w="1985" w:type="dxa"/>
            <w:tcBorders>
              <w:top w:val="single" w:sz="4" w:space="0" w:color="auto"/>
              <w:left w:val="nil"/>
              <w:bottom w:val="single" w:sz="4" w:space="0" w:color="auto"/>
              <w:right w:val="nil"/>
            </w:tcBorders>
            <w:vAlign w:val="center"/>
          </w:tcPr>
          <w:p w14:paraId="4EB8439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test the accuracy of respiration rate estimation in different sleeping positions with a radio frequency sensor.</w:t>
            </w:r>
          </w:p>
        </w:tc>
        <w:tc>
          <w:tcPr>
            <w:tcW w:w="3541" w:type="dxa"/>
            <w:tcBorders>
              <w:top w:val="single" w:sz="4" w:space="0" w:color="auto"/>
              <w:left w:val="nil"/>
              <w:bottom w:val="single" w:sz="4" w:space="0" w:color="auto"/>
              <w:right w:val="nil"/>
            </w:tcBorders>
            <w:vAlign w:val="center"/>
          </w:tcPr>
          <w:p w14:paraId="0E0718A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non-randomized experimental study with five healthy adults in a laboratory. Participants took different sleeping positions, each for at least six minutes. The radio frequency based estimation of breathing was compared with a respiration belt.</w:t>
            </w:r>
          </w:p>
        </w:tc>
        <w:tc>
          <w:tcPr>
            <w:tcW w:w="3261" w:type="dxa"/>
            <w:tcBorders>
              <w:top w:val="single" w:sz="4" w:space="0" w:color="auto"/>
              <w:left w:val="nil"/>
              <w:bottom w:val="single" w:sz="4" w:space="0" w:color="auto"/>
            </w:tcBorders>
            <w:vAlign w:val="center"/>
          </w:tcPr>
          <w:p w14:paraId="414AB6F5"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 accuracy of respiration estimation by the radar system was 92% in back postures, 84% in side postures, 76% in stomach position, 90% with a blanket covering the participant, 87% when sleeping on the back with the face turned sideways, and 86% in the sitting position. </w:t>
            </w:r>
          </w:p>
        </w:tc>
      </w:tr>
      <w:tr w:rsidR="005A499B" w:rsidRPr="005A499B" w14:paraId="629A2C60" w14:textId="77777777" w:rsidTr="007E42ED">
        <w:trPr>
          <w:trHeight w:val="903"/>
        </w:trPr>
        <w:tc>
          <w:tcPr>
            <w:tcW w:w="993" w:type="dxa"/>
            <w:tcBorders>
              <w:top w:val="single" w:sz="4" w:space="0" w:color="auto"/>
              <w:bottom w:val="single" w:sz="4" w:space="0" w:color="auto"/>
              <w:right w:val="nil"/>
            </w:tcBorders>
            <w:noWrap/>
            <w:vAlign w:val="center"/>
          </w:tcPr>
          <w:p w14:paraId="0EBA98F4"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US"/>
              </w:rPr>
              <w:t>Schnellenberge</w:t>
            </w:r>
          </w:p>
        </w:tc>
        <w:tc>
          <w:tcPr>
            <w:tcW w:w="708" w:type="dxa"/>
            <w:tcBorders>
              <w:top w:val="single" w:sz="4" w:space="0" w:color="auto"/>
              <w:left w:val="nil"/>
              <w:bottom w:val="single" w:sz="4" w:space="0" w:color="auto"/>
              <w:right w:val="nil"/>
            </w:tcBorders>
            <w:noWrap/>
            <w:vAlign w:val="center"/>
          </w:tcPr>
          <w:p w14:paraId="278A7D5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06F65A8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Germany</w:t>
            </w:r>
          </w:p>
        </w:tc>
        <w:tc>
          <w:tcPr>
            <w:tcW w:w="1275" w:type="dxa"/>
            <w:tcBorders>
              <w:top w:val="single" w:sz="4" w:space="0" w:color="auto"/>
              <w:left w:val="nil"/>
              <w:bottom w:val="single" w:sz="4" w:space="0" w:color="auto"/>
              <w:right w:val="nil"/>
            </w:tcBorders>
            <w:vAlign w:val="center"/>
          </w:tcPr>
          <w:p w14:paraId="33FAC4A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36581B6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Vital signs</w:t>
            </w:r>
          </w:p>
        </w:tc>
        <w:tc>
          <w:tcPr>
            <w:tcW w:w="1985" w:type="dxa"/>
            <w:tcBorders>
              <w:top w:val="single" w:sz="4" w:space="0" w:color="auto"/>
              <w:left w:val="nil"/>
              <w:bottom w:val="single" w:sz="4" w:space="0" w:color="auto"/>
              <w:right w:val="nil"/>
            </w:tcBorders>
            <w:vAlign w:val="center"/>
          </w:tcPr>
          <w:p w14:paraId="6D212B1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dataset with radar signals of the vital signs with synchronized reference.</w:t>
            </w:r>
          </w:p>
        </w:tc>
        <w:tc>
          <w:tcPr>
            <w:tcW w:w="3541" w:type="dxa"/>
            <w:tcBorders>
              <w:top w:val="single" w:sz="4" w:space="0" w:color="auto"/>
              <w:left w:val="nil"/>
              <w:bottom w:val="single" w:sz="4" w:space="0" w:color="auto"/>
              <w:right w:val="nil"/>
            </w:tcBorders>
            <w:vAlign w:val="center"/>
          </w:tcPr>
          <w:p w14:paraId="2C7F134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non-randomized experimental study with 30 healthy adults in the laboratory. Participants lay on a tilted table and five scenarios triggering the automatic nervous system and hemodynamics were simulated. Radar recording of the chest was conducted simultaneously with ECG, impedance cardiogram, and blood pressure.   </w:t>
            </w:r>
          </w:p>
        </w:tc>
        <w:tc>
          <w:tcPr>
            <w:tcW w:w="3261" w:type="dxa"/>
            <w:tcBorders>
              <w:top w:val="single" w:sz="4" w:space="0" w:color="auto"/>
              <w:left w:val="nil"/>
              <w:bottom w:val="single" w:sz="4" w:space="0" w:color="auto"/>
            </w:tcBorders>
            <w:vAlign w:val="center"/>
          </w:tcPr>
          <w:p w14:paraId="221389C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The interbeat-intervals measured by the radar highly correlated with the ECG data (</w:t>
            </w:r>
            <w:r w:rsidRPr="00523AB6">
              <w:rPr>
                <w:rFonts w:ascii="Calibri" w:hAnsi="Calibri" w:cs="Calibri"/>
                <w:i/>
                <w:iCs/>
                <w:lang w:val="en-GB"/>
              </w:rPr>
              <w:t>r</w:t>
            </w:r>
            <w:r w:rsidRPr="00523AB6">
              <w:rPr>
                <w:rFonts w:ascii="Calibri" w:hAnsi="Calibri" w:cs="Calibri"/>
                <w:lang w:val="en-GB"/>
              </w:rPr>
              <w:t xml:space="preserve"> = 0.96, </w:t>
            </w:r>
            <w:r w:rsidRPr="00523AB6">
              <w:rPr>
                <w:rFonts w:ascii="Calibri" w:hAnsi="Calibri" w:cs="Calibri"/>
                <w:i/>
                <w:iCs/>
                <w:lang w:val="en-GB"/>
              </w:rPr>
              <w:t>p</w:t>
            </w:r>
            <w:r w:rsidRPr="00523AB6">
              <w:rPr>
                <w:rFonts w:ascii="Calibri" w:hAnsi="Calibri" w:cs="Calibri"/>
                <w:lang w:val="en-GB"/>
              </w:rPr>
              <w:t xml:space="preserve"> &lt; 0.001)</w:t>
            </w:r>
          </w:p>
        </w:tc>
      </w:tr>
      <w:tr w:rsidR="005A499B" w:rsidRPr="005A499B" w14:paraId="148E2757" w14:textId="77777777" w:rsidTr="007E42ED">
        <w:trPr>
          <w:trHeight w:val="511"/>
        </w:trPr>
        <w:tc>
          <w:tcPr>
            <w:tcW w:w="13890" w:type="dxa"/>
            <w:gridSpan w:val="9"/>
            <w:tcBorders>
              <w:top w:val="single" w:sz="4" w:space="0" w:color="auto"/>
              <w:bottom w:val="single" w:sz="4" w:space="0" w:color="auto"/>
            </w:tcBorders>
            <w:noWrap/>
            <w:vAlign w:val="center"/>
          </w:tcPr>
          <w:p w14:paraId="4FA553D6" w14:textId="77777777" w:rsidR="005A499B" w:rsidRPr="00523AB6" w:rsidRDefault="005A499B" w:rsidP="007E42ED">
            <w:pPr>
              <w:spacing w:after="0"/>
              <w:rPr>
                <w:b/>
                <w:bCs/>
                <w:lang w:val="en-GB"/>
              </w:rPr>
            </w:pPr>
            <w:r w:rsidRPr="00523AB6">
              <w:rPr>
                <w:b/>
                <w:bCs/>
                <w:lang w:val="en-GB"/>
              </w:rPr>
              <w:t>Non-contact monitoring systems - multiple sensors</w:t>
            </w:r>
          </w:p>
        </w:tc>
      </w:tr>
      <w:tr w:rsidR="005A499B" w:rsidRPr="005A499B" w14:paraId="10E76207" w14:textId="77777777" w:rsidTr="007E42ED">
        <w:trPr>
          <w:trHeight w:val="903"/>
        </w:trPr>
        <w:tc>
          <w:tcPr>
            <w:tcW w:w="993" w:type="dxa"/>
            <w:tcBorders>
              <w:top w:val="single" w:sz="4" w:space="0" w:color="auto"/>
              <w:bottom w:val="single" w:sz="4" w:space="0" w:color="auto"/>
              <w:right w:val="nil"/>
            </w:tcBorders>
            <w:noWrap/>
            <w:vAlign w:val="center"/>
          </w:tcPr>
          <w:p w14:paraId="2C87EBFB"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Dimitrievski</w:t>
            </w:r>
          </w:p>
        </w:tc>
        <w:tc>
          <w:tcPr>
            <w:tcW w:w="708" w:type="dxa"/>
            <w:tcBorders>
              <w:top w:val="single" w:sz="4" w:space="0" w:color="auto"/>
              <w:left w:val="nil"/>
              <w:bottom w:val="single" w:sz="4" w:space="0" w:color="auto"/>
              <w:right w:val="nil"/>
            </w:tcBorders>
            <w:noWrap/>
            <w:vAlign w:val="center"/>
          </w:tcPr>
          <w:p w14:paraId="7574B893"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19D9C8AE"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Macedonia, Portugal, Spain</w:t>
            </w:r>
          </w:p>
        </w:tc>
        <w:tc>
          <w:tcPr>
            <w:tcW w:w="1275" w:type="dxa"/>
            <w:tcBorders>
              <w:top w:val="single" w:sz="4" w:space="0" w:color="auto"/>
              <w:left w:val="nil"/>
              <w:bottom w:val="single" w:sz="4" w:space="0" w:color="auto"/>
              <w:right w:val="nil"/>
            </w:tcBorders>
            <w:vAlign w:val="center"/>
          </w:tcPr>
          <w:p w14:paraId="52F476A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Piezoelectric sensor: (Angelcare, Montreal, QC, Canada), passive </w:t>
            </w:r>
            <w:r w:rsidRPr="00523AB6">
              <w:rPr>
                <w:rFonts w:ascii="Calibri" w:eastAsia="Times New Roman" w:hAnsi="Calibri" w:cs="Calibri"/>
                <w:lang w:val="en-GB"/>
              </w:rPr>
              <w:lastRenderedPageBreak/>
              <w:t>infrared sensors (Sunfounder, Shenzhen, China)</w:t>
            </w:r>
          </w:p>
        </w:tc>
        <w:tc>
          <w:tcPr>
            <w:tcW w:w="1134" w:type="dxa"/>
            <w:tcBorders>
              <w:top w:val="single" w:sz="4" w:space="0" w:color="auto"/>
              <w:left w:val="nil"/>
              <w:bottom w:val="single" w:sz="4" w:space="0" w:color="auto"/>
              <w:right w:val="nil"/>
            </w:tcBorders>
            <w:vAlign w:val="center"/>
          </w:tcPr>
          <w:p w14:paraId="0777D9E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Sleep</w:t>
            </w:r>
          </w:p>
        </w:tc>
        <w:tc>
          <w:tcPr>
            <w:tcW w:w="1985" w:type="dxa"/>
            <w:tcBorders>
              <w:top w:val="single" w:sz="4" w:space="0" w:color="auto"/>
              <w:left w:val="nil"/>
              <w:bottom w:val="single" w:sz="4" w:space="0" w:color="auto"/>
              <w:right w:val="nil"/>
            </w:tcBorders>
            <w:vAlign w:val="center"/>
          </w:tcPr>
          <w:p w14:paraId="1BEF3D79"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present a non-invasive system that monitors movement during sleep, aiming to detect sleep disturbances due to COVID-19.</w:t>
            </w:r>
          </w:p>
        </w:tc>
        <w:tc>
          <w:tcPr>
            <w:tcW w:w="3541" w:type="dxa"/>
            <w:tcBorders>
              <w:top w:val="single" w:sz="4" w:space="0" w:color="auto"/>
              <w:left w:val="nil"/>
              <w:bottom w:val="single" w:sz="4" w:space="0" w:color="auto"/>
              <w:right w:val="nil"/>
            </w:tcBorders>
            <w:vAlign w:val="center"/>
          </w:tcPr>
          <w:p w14:paraId="44161A88"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adults with COVID-19 in the hospital. Participants were monitored for eight hours. </w:t>
            </w:r>
          </w:p>
        </w:tc>
        <w:tc>
          <w:tcPr>
            <w:tcW w:w="3261" w:type="dxa"/>
            <w:tcBorders>
              <w:top w:val="single" w:sz="4" w:space="0" w:color="auto"/>
              <w:left w:val="nil"/>
              <w:bottom w:val="single" w:sz="4" w:space="0" w:color="auto"/>
            </w:tcBorders>
            <w:vAlign w:val="center"/>
          </w:tcPr>
          <w:p w14:paraId="1F04A98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Data from the </w:t>
            </w:r>
            <w:r w:rsidRPr="00523AB6">
              <w:rPr>
                <w:rFonts w:ascii="Calibri" w:eastAsia="Times New Roman" w:hAnsi="Calibri" w:cs="Calibri"/>
                <w:lang w:val="en-GB"/>
              </w:rPr>
              <w:t>Piezoelectric sensor correlated with the infrared sensors (</w:t>
            </w:r>
            <w:r w:rsidRPr="00523AB6">
              <w:rPr>
                <w:rFonts w:ascii="Calibri" w:eastAsia="Times New Roman" w:hAnsi="Calibri" w:cs="Calibri"/>
                <w:i/>
                <w:iCs/>
                <w:lang w:val="en-GB"/>
              </w:rPr>
              <w:t>r</w:t>
            </w:r>
            <w:r w:rsidRPr="00523AB6">
              <w:rPr>
                <w:rFonts w:ascii="Calibri" w:eastAsia="Times New Roman" w:hAnsi="Calibri" w:cs="Calibri"/>
                <w:lang w:val="en-GB"/>
              </w:rPr>
              <w:t xml:space="preserve"> = 0.32 - 0.43). The five infrared sensors also correlated with each other (</w:t>
            </w:r>
            <w:r w:rsidRPr="00523AB6">
              <w:rPr>
                <w:rFonts w:ascii="Calibri" w:eastAsia="Times New Roman" w:hAnsi="Calibri" w:cs="Calibri"/>
                <w:i/>
                <w:iCs/>
                <w:lang w:val="en-GB"/>
              </w:rPr>
              <w:t>r</w:t>
            </w:r>
            <w:r w:rsidRPr="00523AB6">
              <w:rPr>
                <w:rFonts w:ascii="Calibri" w:eastAsia="Times New Roman" w:hAnsi="Calibri" w:cs="Calibri"/>
                <w:lang w:val="en-GB"/>
              </w:rPr>
              <w:t xml:space="preserve"> = 0.83). There was built-in delay in the infrared sensors and oscillation in the </w:t>
            </w:r>
            <w:r w:rsidRPr="00523AB6">
              <w:rPr>
                <w:rFonts w:ascii="Calibri" w:eastAsia="Times New Roman" w:hAnsi="Calibri" w:cs="Calibri"/>
                <w:lang w:val="en-GB"/>
              </w:rPr>
              <w:lastRenderedPageBreak/>
              <w:t>piezoelectric sensor, but these could be adjusted with the post-processing of the data.</w:t>
            </w:r>
          </w:p>
        </w:tc>
      </w:tr>
      <w:tr w:rsidR="005A499B" w:rsidRPr="00D25314" w14:paraId="75B73897" w14:textId="77777777" w:rsidTr="007E42ED">
        <w:trPr>
          <w:trHeight w:val="903"/>
        </w:trPr>
        <w:tc>
          <w:tcPr>
            <w:tcW w:w="993" w:type="dxa"/>
            <w:tcBorders>
              <w:top w:val="single" w:sz="4" w:space="0" w:color="auto"/>
              <w:bottom w:val="single" w:sz="4" w:space="0" w:color="auto"/>
              <w:right w:val="nil"/>
            </w:tcBorders>
            <w:noWrap/>
            <w:vAlign w:val="center"/>
          </w:tcPr>
          <w:p w14:paraId="17A867C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Ravindran</w:t>
            </w:r>
          </w:p>
        </w:tc>
        <w:tc>
          <w:tcPr>
            <w:tcW w:w="708" w:type="dxa"/>
            <w:tcBorders>
              <w:top w:val="single" w:sz="4" w:space="0" w:color="auto"/>
              <w:left w:val="nil"/>
              <w:bottom w:val="single" w:sz="4" w:space="0" w:color="auto"/>
              <w:right w:val="nil"/>
            </w:tcBorders>
            <w:noWrap/>
            <w:vAlign w:val="center"/>
          </w:tcPr>
          <w:p w14:paraId="32A32BB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2023</w:t>
            </w:r>
          </w:p>
        </w:tc>
        <w:tc>
          <w:tcPr>
            <w:tcW w:w="993" w:type="dxa"/>
            <w:gridSpan w:val="2"/>
            <w:tcBorders>
              <w:top w:val="single" w:sz="4" w:space="0" w:color="auto"/>
              <w:left w:val="nil"/>
              <w:bottom w:val="single" w:sz="4" w:space="0" w:color="auto"/>
              <w:right w:val="nil"/>
            </w:tcBorders>
            <w:noWrap/>
            <w:vAlign w:val="center"/>
          </w:tcPr>
          <w:p w14:paraId="38D007AF"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UK</w:t>
            </w:r>
          </w:p>
        </w:tc>
        <w:tc>
          <w:tcPr>
            <w:tcW w:w="1275" w:type="dxa"/>
            <w:tcBorders>
              <w:top w:val="single" w:sz="4" w:space="0" w:color="auto"/>
              <w:left w:val="nil"/>
              <w:bottom w:val="single" w:sz="4" w:space="0" w:color="auto"/>
              <w:right w:val="nil"/>
            </w:tcBorders>
            <w:vAlign w:val="center"/>
          </w:tcPr>
          <w:p w14:paraId="1FC38B02"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Radar: Somnofy </w:t>
            </w:r>
            <w:r w:rsidRPr="00523AB6">
              <w:rPr>
                <w:lang w:val="en-US"/>
              </w:rPr>
              <w:t xml:space="preserve"> </w:t>
            </w:r>
            <w:r w:rsidRPr="00523AB6">
              <w:rPr>
                <w:rFonts w:ascii="Calibri" w:eastAsia="Times New Roman" w:hAnsi="Calibri" w:cs="Calibri"/>
                <w:lang w:val="en-GB"/>
              </w:rPr>
              <w:t xml:space="preserve">(VitalThings, Norway); Pressure mats: Withings Sleep Analyser </w:t>
            </w:r>
            <w:r w:rsidRPr="00523AB6">
              <w:rPr>
                <w:lang w:val="en-US"/>
              </w:rPr>
              <w:t xml:space="preserve"> </w:t>
            </w:r>
            <w:r w:rsidRPr="00523AB6">
              <w:rPr>
                <w:rFonts w:ascii="Calibri" w:eastAsia="Times New Roman" w:hAnsi="Calibri" w:cs="Calibri"/>
                <w:lang w:val="en-GB"/>
              </w:rPr>
              <w:t xml:space="preserve">(WSA, Withings, France), Emfit-QS </w:t>
            </w:r>
            <w:r w:rsidRPr="00523AB6">
              <w:rPr>
                <w:lang w:val="en-US"/>
              </w:rPr>
              <w:t xml:space="preserve"> </w:t>
            </w:r>
            <w:r w:rsidRPr="00523AB6">
              <w:rPr>
                <w:rFonts w:ascii="Calibri" w:eastAsia="Times New Roman" w:hAnsi="Calibri" w:cs="Calibri"/>
                <w:lang w:val="en-GB"/>
              </w:rPr>
              <w:t>(Emfit Ltd, Finland)</w:t>
            </w:r>
          </w:p>
        </w:tc>
        <w:tc>
          <w:tcPr>
            <w:tcW w:w="1134" w:type="dxa"/>
            <w:tcBorders>
              <w:top w:val="single" w:sz="4" w:space="0" w:color="auto"/>
              <w:left w:val="nil"/>
              <w:bottom w:val="single" w:sz="4" w:space="0" w:color="auto"/>
              <w:right w:val="nil"/>
            </w:tcBorders>
            <w:vAlign w:val="center"/>
          </w:tcPr>
          <w:p w14:paraId="2BB89BAD"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64390E6B"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compare three non-contact sleep monitors with PSG and actigraphy (Actiwatch Spectrum).</w:t>
            </w:r>
          </w:p>
        </w:tc>
        <w:tc>
          <w:tcPr>
            <w:tcW w:w="3541" w:type="dxa"/>
            <w:tcBorders>
              <w:top w:val="single" w:sz="4" w:space="0" w:color="auto"/>
              <w:left w:val="nil"/>
              <w:bottom w:val="single" w:sz="4" w:space="0" w:color="auto"/>
              <w:right w:val="nil"/>
            </w:tcBorders>
            <w:vAlign w:val="center"/>
          </w:tcPr>
          <w:p w14:paraId="7BEAFF27"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Quantitative cross-sectional study with 35 older adults, some with sleep apnea. Participants used the non-contact devices at their own homes for 8-14 days and had one overnight measurement with all the devices in the laboratory.</w:t>
            </w:r>
          </w:p>
        </w:tc>
        <w:tc>
          <w:tcPr>
            <w:tcW w:w="3261" w:type="dxa"/>
            <w:tcBorders>
              <w:top w:val="single" w:sz="4" w:space="0" w:color="auto"/>
              <w:left w:val="nil"/>
              <w:bottom w:val="single" w:sz="4" w:space="0" w:color="auto"/>
            </w:tcBorders>
            <w:vAlign w:val="center"/>
          </w:tcPr>
          <w:p w14:paraId="014B64A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Compared to PSG, all three devices overestimated total sleep time (bias &gt; 90 min) and sleep efficiency (bias &gt; 13 %), and underestimated wake after sleep onset (bias &gt; 50 min). Bedside radar accurately measured sleep onset latency (bias &lt; 6 mins) while the under-mattress devices overestimated it (bias &gt;16 mins). </w:t>
            </w:r>
          </w:p>
          <w:p w14:paraId="4461C45F"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These performances were less optimal than actigraphy. The bedside radar performed better in discriminating sleep vs wake (Matthews Correlation Coefficient (MCC) [mean and 95% CI] = 0.63 [0.57 0.69]) than the under-mattress devices (MCC = 0.41 [0.36 0.46]; Emfit-QS = 0.35 [0.26 0.43]). Accuracy of identifying REM and Light sleep was poor for all three devices, but deep sleep was predicted with moderate accuracy (MCC &gt;0.45) by both Somnofy and Withings Sleep Analyser. </w:t>
            </w:r>
          </w:p>
        </w:tc>
      </w:tr>
      <w:tr w:rsidR="005A499B" w:rsidRPr="00D25314" w14:paraId="73B3E321" w14:textId="77777777" w:rsidTr="007E42ED">
        <w:trPr>
          <w:trHeight w:val="903"/>
        </w:trPr>
        <w:tc>
          <w:tcPr>
            <w:tcW w:w="993" w:type="dxa"/>
            <w:tcBorders>
              <w:top w:val="single" w:sz="4" w:space="0" w:color="auto"/>
              <w:bottom w:val="single" w:sz="4" w:space="0" w:color="auto"/>
              <w:right w:val="nil"/>
            </w:tcBorders>
            <w:noWrap/>
            <w:vAlign w:val="center"/>
          </w:tcPr>
          <w:p w14:paraId="1102FA7C" w14:textId="77777777" w:rsidR="005A499B" w:rsidRPr="00523AB6" w:rsidRDefault="005A499B" w:rsidP="007E42ED">
            <w:pPr>
              <w:spacing w:after="0" w:line="240" w:lineRule="auto"/>
              <w:rPr>
                <w:rFonts w:ascii="Calibri" w:eastAsia="Times New Roman" w:hAnsi="Calibri" w:cs="Calibri"/>
                <w:lang w:val="en-US"/>
              </w:rPr>
            </w:pPr>
            <w:r w:rsidRPr="00523AB6">
              <w:rPr>
                <w:rFonts w:ascii="Calibri" w:eastAsia="Times New Roman" w:hAnsi="Calibri" w:cs="Calibri"/>
                <w:lang w:val="en-GB"/>
              </w:rPr>
              <w:lastRenderedPageBreak/>
              <w:t>Kroll</w:t>
            </w:r>
          </w:p>
        </w:tc>
        <w:tc>
          <w:tcPr>
            <w:tcW w:w="708" w:type="dxa"/>
            <w:tcBorders>
              <w:top w:val="single" w:sz="4" w:space="0" w:color="auto"/>
              <w:left w:val="nil"/>
              <w:bottom w:val="single" w:sz="4" w:space="0" w:color="auto"/>
              <w:right w:val="nil"/>
            </w:tcBorders>
            <w:noWrap/>
            <w:vAlign w:val="center"/>
          </w:tcPr>
          <w:p w14:paraId="3A5023D0"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2F7AC851"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Germany</w:t>
            </w:r>
          </w:p>
        </w:tc>
        <w:tc>
          <w:tcPr>
            <w:tcW w:w="1275" w:type="dxa"/>
            <w:tcBorders>
              <w:top w:val="single" w:sz="4" w:space="0" w:color="auto"/>
              <w:left w:val="nil"/>
              <w:bottom w:val="single" w:sz="4" w:space="0" w:color="auto"/>
              <w:right w:val="nil"/>
            </w:tcBorders>
            <w:vAlign w:val="center"/>
          </w:tcPr>
          <w:p w14:paraId="14639888"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Camera: Mini-Webcam (Conrad Electronics SE, Hirschau, Germany);</w:t>
            </w:r>
          </w:p>
          <w:p w14:paraId="4BDF495C"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Acoustic sensor: ME32 (Olympus Imaging Europa GmbH, Hamburg, Germany)</w:t>
            </w:r>
          </w:p>
          <w:p w14:paraId="500E31DA"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Pressure mat: SafeBed IP system (Emfit® Ltd., Vaajakoski, Finland)</w:t>
            </w:r>
          </w:p>
        </w:tc>
        <w:tc>
          <w:tcPr>
            <w:tcW w:w="1134" w:type="dxa"/>
            <w:tcBorders>
              <w:top w:val="single" w:sz="4" w:space="0" w:color="auto"/>
              <w:left w:val="nil"/>
              <w:bottom w:val="single" w:sz="4" w:space="0" w:color="auto"/>
              <w:right w:val="nil"/>
            </w:tcBorders>
            <w:vAlign w:val="center"/>
          </w:tcPr>
          <w:p w14:paraId="4B9B5375" w14:textId="77777777" w:rsidR="005A499B" w:rsidRPr="00523AB6"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20DD927D"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To validate the non-contact monitoring system and a tent-like shelter for people with dementia.</w:t>
            </w:r>
          </w:p>
        </w:tc>
        <w:tc>
          <w:tcPr>
            <w:tcW w:w="3541" w:type="dxa"/>
            <w:tcBorders>
              <w:top w:val="single" w:sz="4" w:space="0" w:color="auto"/>
              <w:left w:val="nil"/>
              <w:bottom w:val="single" w:sz="4" w:space="0" w:color="auto"/>
              <w:right w:val="nil"/>
            </w:tcBorders>
            <w:vAlign w:val="center"/>
          </w:tcPr>
          <w:p w14:paraId="6F4976DC"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Quantitative cross-sectional study with six healthy adult volunteers in the laboratory and 19 patients, most of whom had dementia, in </w:t>
            </w:r>
            <w:bookmarkStart w:id="10" w:name="_Hlk136610406"/>
            <w:r w:rsidRPr="00523AB6">
              <w:rPr>
                <w:rFonts w:ascii="Calibri" w:hAnsi="Calibri" w:cs="Calibri"/>
                <w:lang w:val="en-GB"/>
              </w:rPr>
              <w:t>the emergency department and a geriatric-psychiatric ward</w:t>
            </w:r>
            <w:bookmarkEnd w:id="10"/>
            <w:r w:rsidRPr="00523AB6">
              <w:rPr>
                <w:rFonts w:ascii="Calibri" w:hAnsi="Calibri" w:cs="Calibri"/>
                <w:lang w:val="en-GB"/>
              </w:rPr>
              <w:t>. Participants were monitored for two hours, the first hour without the tent-like shelter, the second hour with it.</w:t>
            </w:r>
          </w:p>
        </w:tc>
        <w:tc>
          <w:tcPr>
            <w:tcW w:w="3261" w:type="dxa"/>
            <w:tcBorders>
              <w:top w:val="single" w:sz="4" w:space="0" w:color="auto"/>
              <w:left w:val="nil"/>
              <w:bottom w:val="single" w:sz="4" w:space="0" w:color="auto"/>
            </w:tcBorders>
            <w:vAlign w:val="center"/>
          </w:tcPr>
          <w:p w14:paraId="7061D1A0" w14:textId="77777777" w:rsidR="005A499B" w:rsidRPr="00523AB6" w:rsidRDefault="005A499B" w:rsidP="007E42ED">
            <w:pPr>
              <w:spacing w:after="0"/>
              <w:rPr>
                <w:rFonts w:ascii="Calibri" w:hAnsi="Calibri" w:cs="Calibri"/>
                <w:lang w:val="en-GB"/>
              </w:rPr>
            </w:pPr>
            <w:r w:rsidRPr="00523AB6">
              <w:rPr>
                <w:rFonts w:ascii="Calibri" w:hAnsi="Calibri" w:cs="Calibri"/>
                <w:lang w:val="en-GB"/>
              </w:rPr>
              <w:t xml:space="preserve">In the laboratory test, the measurement of heart rate was reliable between the first and second hour, but that of respiration rate was not. </w:t>
            </w:r>
            <w:bookmarkStart w:id="11" w:name="_Hlk136610453"/>
            <w:r w:rsidRPr="00523AB6">
              <w:rPr>
                <w:rFonts w:ascii="Calibri" w:hAnsi="Calibri" w:cs="Calibri"/>
                <w:lang w:val="en-GB"/>
              </w:rPr>
              <w:t>The camera and mattress registration of movement complimented each other.</w:t>
            </w:r>
            <w:bookmarkEnd w:id="11"/>
            <w:r w:rsidRPr="00523AB6">
              <w:rPr>
                <w:rFonts w:ascii="Calibri" w:hAnsi="Calibri" w:cs="Calibri"/>
                <w:lang w:val="en-GB"/>
              </w:rPr>
              <w:t xml:space="preserve"> </w:t>
            </w:r>
            <w:bookmarkStart w:id="12" w:name="_Hlk136610512"/>
            <w:r w:rsidRPr="00523AB6">
              <w:rPr>
                <w:rFonts w:ascii="Calibri" w:hAnsi="Calibri" w:cs="Calibri"/>
                <w:lang w:val="en-GB"/>
              </w:rPr>
              <w:t>The measurements in the emergency department and geriatric-gerontopsychiatric ward were reliable.</w:t>
            </w:r>
            <w:bookmarkEnd w:id="12"/>
          </w:p>
        </w:tc>
      </w:tr>
      <w:tr w:rsidR="005A499B" w:rsidRPr="00D25314" w14:paraId="6B2A93B4" w14:textId="77777777" w:rsidTr="007E42ED">
        <w:tblPrEx>
          <w:tblBorders>
            <w:insideH w:val="none" w:sz="0" w:space="0" w:color="auto"/>
            <w:insideV w:val="none" w:sz="0" w:space="0" w:color="auto"/>
          </w:tblBorders>
        </w:tblPrEx>
        <w:trPr>
          <w:trHeight w:val="903"/>
        </w:trPr>
        <w:tc>
          <w:tcPr>
            <w:tcW w:w="13890" w:type="dxa"/>
            <w:gridSpan w:val="9"/>
            <w:tcBorders>
              <w:top w:val="single" w:sz="18" w:space="0" w:color="auto"/>
            </w:tcBorders>
            <w:noWrap/>
            <w:vAlign w:val="center"/>
          </w:tcPr>
          <w:p w14:paraId="571D5A81" w14:textId="77777777" w:rsidR="005A499B" w:rsidRDefault="005A499B" w:rsidP="007E42ED">
            <w:pPr>
              <w:spacing w:after="0" w:line="240" w:lineRule="auto"/>
              <w:rPr>
                <w:rFonts w:ascii="Calibri" w:eastAsia="Times New Roman" w:hAnsi="Calibri" w:cs="Calibri"/>
                <w:lang w:val="en-GB"/>
              </w:rPr>
            </w:pPr>
            <w:r w:rsidRPr="00523AB6">
              <w:rPr>
                <w:rFonts w:ascii="Calibri" w:eastAsia="Times New Roman" w:hAnsi="Calibri" w:cs="Calibri"/>
                <w:i/>
                <w:iCs/>
                <w:lang w:val="en-GB"/>
              </w:rPr>
              <w:t>Notes:</w:t>
            </w:r>
            <w:r w:rsidRPr="00523AB6">
              <w:rPr>
                <w:rFonts w:ascii="Calibri" w:eastAsia="Times New Roman" w:hAnsi="Calibri" w:cs="Calibri"/>
                <w:lang w:val="en-GB"/>
              </w:rPr>
              <w:t xml:space="preserve">  Adults = mean age between 18 and 65; Older adults = mean age over 65; ICU = intensive care unit </w:t>
            </w:r>
          </w:p>
          <w:p w14:paraId="1C25E7E6" w14:textId="77777777" w:rsidR="005A499B" w:rsidRPr="00523AB6" w:rsidRDefault="005A499B" w:rsidP="007E42ED">
            <w:pPr>
              <w:spacing w:after="0" w:line="240" w:lineRule="auto"/>
              <w:rPr>
                <w:rFonts w:ascii="Calibri" w:eastAsia="Times New Roman" w:hAnsi="Calibri" w:cs="Calibri"/>
                <w:lang w:val="en-GB"/>
              </w:rPr>
            </w:pPr>
            <w:r>
              <w:rPr>
                <w:rFonts w:ascii="Calibri" w:eastAsia="Times New Roman" w:hAnsi="Calibri" w:cs="Calibri"/>
                <w:lang w:val="en-GB"/>
              </w:rPr>
              <w:t xml:space="preserve">References can be found in Supplement IV. </w:t>
            </w:r>
          </w:p>
          <w:p w14:paraId="753E1EA5" w14:textId="77777777" w:rsidR="005A499B" w:rsidRPr="00523AB6" w:rsidRDefault="005A499B" w:rsidP="007E42ED">
            <w:pPr>
              <w:spacing w:after="0" w:line="240" w:lineRule="auto"/>
              <w:rPr>
                <w:rFonts w:ascii="Calibri" w:hAnsi="Calibri" w:cs="Calibri"/>
                <w:lang w:val="en-GB"/>
              </w:rPr>
            </w:pPr>
            <w:r w:rsidRPr="00523AB6">
              <w:rPr>
                <w:rFonts w:ascii="Calibri" w:eastAsia="Times New Roman" w:hAnsi="Calibri" w:cs="Calibri"/>
                <w:lang w:val="en-GB"/>
              </w:rPr>
              <w:t>*The setting was not reported.</w:t>
            </w:r>
          </w:p>
        </w:tc>
      </w:tr>
    </w:tbl>
    <w:p w14:paraId="2570DAE1" w14:textId="19DFEA26" w:rsidR="005200A0" w:rsidRPr="005A499B" w:rsidRDefault="005200A0">
      <w:pPr>
        <w:rPr>
          <w:lang w:val="en-GB"/>
        </w:rPr>
      </w:pPr>
    </w:p>
    <w:sectPr w:rsidR="005200A0" w:rsidRPr="005A499B" w:rsidSect="005A49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90814"/>
    <w:multiLevelType w:val="hybridMultilevel"/>
    <w:tmpl w:val="F8D25A06"/>
    <w:lvl w:ilvl="0" w:tplc="EAA4367E">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078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96"/>
    <w:rsid w:val="001E6273"/>
    <w:rsid w:val="004E19B6"/>
    <w:rsid w:val="005200A0"/>
    <w:rsid w:val="005A499B"/>
    <w:rsid w:val="007D2CA4"/>
    <w:rsid w:val="00883D96"/>
    <w:rsid w:val="00D2531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1B8A"/>
  <w15:chartTrackingRefBased/>
  <w15:docId w15:val="{E3B6550B-821A-401B-A7FE-E6E9DEF5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99B"/>
    <w:rPr>
      <w:rFonts w:eastAsiaTheme="minorEastAsia"/>
      <w:lang w:eastAsia="zh-CN"/>
    </w:rPr>
  </w:style>
  <w:style w:type="paragraph" w:styleId="Heading1">
    <w:name w:val="heading 1"/>
    <w:basedOn w:val="Normal"/>
    <w:next w:val="Normal"/>
    <w:link w:val="Heading1Char"/>
    <w:uiPriority w:val="9"/>
    <w:qFormat/>
    <w:rsid w:val="005A49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499B"/>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99B"/>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rsid w:val="005A499B"/>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5A499B"/>
    <w:pPr>
      <w:spacing w:line="240" w:lineRule="auto"/>
    </w:pPr>
    <w:rPr>
      <w:sz w:val="20"/>
      <w:szCs w:val="20"/>
    </w:rPr>
  </w:style>
  <w:style w:type="character" w:customStyle="1" w:styleId="CommentTextChar">
    <w:name w:val="Comment Text Char"/>
    <w:basedOn w:val="DefaultParagraphFont"/>
    <w:link w:val="CommentText"/>
    <w:uiPriority w:val="99"/>
    <w:semiHidden/>
    <w:rsid w:val="005A499B"/>
    <w:rPr>
      <w:rFonts w:eastAsiaTheme="minorEastAsia"/>
      <w:sz w:val="20"/>
      <w:szCs w:val="20"/>
      <w:lang w:eastAsia="zh-CN"/>
    </w:rPr>
  </w:style>
  <w:style w:type="character" w:styleId="CommentReference">
    <w:name w:val="annotation reference"/>
    <w:basedOn w:val="DefaultParagraphFont"/>
    <w:uiPriority w:val="99"/>
    <w:semiHidden/>
    <w:unhideWhenUsed/>
    <w:rsid w:val="005A499B"/>
    <w:rPr>
      <w:sz w:val="16"/>
      <w:szCs w:val="16"/>
    </w:rPr>
  </w:style>
  <w:style w:type="paragraph" w:styleId="CommentSubject">
    <w:name w:val="annotation subject"/>
    <w:basedOn w:val="CommentText"/>
    <w:next w:val="CommentText"/>
    <w:link w:val="CommentSubjectChar"/>
    <w:uiPriority w:val="99"/>
    <w:semiHidden/>
    <w:unhideWhenUsed/>
    <w:rsid w:val="005A499B"/>
    <w:rPr>
      <w:b/>
      <w:bCs/>
    </w:rPr>
  </w:style>
  <w:style w:type="character" w:customStyle="1" w:styleId="CommentSubjectChar">
    <w:name w:val="Comment Subject Char"/>
    <w:basedOn w:val="CommentTextChar"/>
    <w:link w:val="CommentSubject"/>
    <w:uiPriority w:val="99"/>
    <w:semiHidden/>
    <w:rsid w:val="005A499B"/>
    <w:rPr>
      <w:rFonts w:eastAsiaTheme="minorEastAsia"/>
      <w:b/>
      <w:bCs/>
      <w:sz w:val="20"/>
      <w:szCs w:val="20"/>
      <w:lang w:eastAsia="zh-CN"/>
    </w:rPr>
  </w:style>
  <w:style w:type="paragraph" w:styleId="Revision">
    <w:name w:val="Revision"/>
    <w:hidden/>
    <w:uiPriority w:val="99"/>
    <w:semiHidden/>
    <w:rsid w:val="005A499B"/>
    <w:pPr>
      <w:spacing w:after="0" w:line="240" w:lineRule="auto"/>
    </w:pPr>
    <w:rPr>
      <w:rFonts w:eastAsiaTheme="minorEastAsia"/>
      <w:lang w:eastAsia="zh-CN"/>
    </w:rPr>
  </w:style>
  <w:style w:type="paragraph" w:customStyle="1" w:styleId="EndNoteBibliographyTitle">
    <w:name w:val="EndNote Bibliography Title"/>
    <w:basedOn w:val="Normal"/>
    <w:link w:val="EndNoteBibliographyTitleChar"/>
    <w:rsid w:val="005A499B"/>
    <w:pPr>
      <w:framePr w:hSpace="141" w:wrap="around" w:vAnchor="text" w:hAnchor="margin" w:y="35"/>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499B"/>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5A499B"/>
    <w:pPr>
      <w:framePr w:hSpace="141" w:wrap="around" w:vAnchor="text" w:hAnchor="margin" w:y="35"/>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A499B"/>
    <w:rPr>
      <w:rFonts w:ascii="Calibri" w:eastAsiaTheme="minorEastAsia" w:hAnsi="Calibri" w:cs="Calibri"/>
      <w:noProof/>
      <w:lang w:eastAsia="zh-CN"/>
    </w:rPr>
  </w:style>
  <w:style w:type="paragraph" w:styleId="ListParagraph">
    <w:name w:val="List Paragraph"/>
    <w:basedOn w:val="Normal"/>
    <w:uiPriority w:val="34"/>
    <w:qFormat/>
    <w:rsid w:val="005A499B"/>
    <w:pPr>
      <w:ind w:left="720"/>
      <w:contextualSpacing/>
    </w:pPr>
  </w:style>
  <w:style w:type="paragraph" w:styleId="NoSpacing">
    <w:name w:val="No Spacing"/>
    <w:basedOn w:val="Normal"/>
    <w:link w:val="NoSpacingChar"/>
    <w:uiPriority w:val="1"/>
    <w:qFormat/>
    <w:rsid w:val="005A499B"/>
    <w:pPr>
      <w:spacing w:after="0" w:line="240" w:lineRule="auto"/>
    </w:pPr>
    <w:rPr>
      <w:sz w:val="24"/>
      <w:szCs w:val="24"/>
      <w:lang w:eastAsia="en-US"/>
    </w:rPr>
  </w:style>
  <w:style w:type="character" w:customStyle="1" w:styleId="NoSpacingChar">
    <w:name w:val="No Spacing Char"/>
    <w:basedOn w:val="DefaultParagraphFont"/>
    <w:link w:val="NoSpacing"/>
    <w:uiPriority w:val="1"/>
    <w:locked/>
    <w:rsid w:val="005A499B"/>
    <w:rPr>
      <w:rFonts w:eastAsiaTheme="minorEastAsia"/>
      <w:sz w:val="24"/>
      <w:szCs w:val="24"/>
    </w:rPr>
  </w:style>
  <w:style w:type="paragraph" w:styleId="TOCHeading">
    <w:name w:val="TOC Heading"/>
    <w:basedOn w:val="Heading1"/>
    <w:next w:val="Normal"/>
    <w:uiPriority w:val="39"/>
    <w:unhideWhenUsed/>
    <w:qFormat/>
    <w:rsid w:val="005A499B"/>
    <w:pPr>
      <w:outlineLvl w:val="9"/>
    </w:pPr>
    <w:rPr>
      <w:lang w:val="en-US" w:eastAsia="en-US"/>
    </w:rPr>
  </w:style>
  <w:style w:type="paragraph" w:styleId="TOC2">
    <w:name w:val="toc 2"/>
    <w:basedOn w:val="Normal"/>
    <w:next w:val="Normal"/>
    <w:autoRedefine/>
    <w:uiPriority w:val="39"/>
    <w:unhideWhenUsed/>
    <w:rsid w:val="005A499B"/>
    <w:pPr>
      <w:tabs>
        <w:tab w:val="right" w:leader="dot" w:pos="9016"/>
      </w:tabs>
      <w:spacing w:after="100"/>
      <w:ind w:left="220"/>
    </w:pPr>
    <w:rPr>
      <w:rFonts w:eastAsiaTheme="minorHAnsi"/>
      <w:lang w:eastAsia="en-US"/>
    </w:rPr>
  </w:style>
  <w:style w:type="character" w:styleId="Hyperlink">
    <w:name w:val="Hyperlink"/>
    <w:basedOn w:val="DefaultParagraphFont"/>
    <w:uiPriority w:val="99"/>
    <w:unhideWhenUsed/>
    <w:rsid w:val="005A49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10973</Words>
  <Characters>60356</Characters>
  <Application>Microsoft Office Word</Application>
  <DocSecurity>0</DocSecurity>
  <Lines>502</Lines>
  <Paragraphs>142</Paragraphs>
  <ScaleCrop>false</ScaleCrop>
  <Company/>
  <LinksUpToDate>false</LinksUpToDate>
  <CharactersWithSpaces>71187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 (PHEG)</dc:creator>
  <cp:keywords/>
  <dc:description/>
  <cp:lastModifiedBy>Xu, J. (PHEG)</cp:lastModifiedBy>
  <cp:revision>4</cp:revision>
  <dcterms:created xsi:type="dcterms:W3CDTF">2023-12-01T09:56:00Z</dcterms:created>
  <dcterms:modified xsi:type="dcterms:W3CDTF">2023-12-01T10:05:00Z</dcterms:modified>
</cp:coreProperties>
</file>