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A14C" w14:textId="77777777" w:rsidR="005B1B29" w:rsidRPr="003314F8" w:rsidRDefault="005B1B29" w:rsidP="005B1B29">
      <w:pPr>
        <w:ind w:firstLine="720"/>
        <w:jc w:val="center"/>
        <w:rPr>
          <w:sz w:val="36"/>
          <w:szCs w:val="36"/>
        </w:rPr>
      </w:pPr>
      <w:bookmarkStart w:id="0" w:name="_Hlk152504903"/>
    </w:p>
    <w:p w14:paraId="749EB92C" w14:textId="77777777" w:rsidR="005B1B29" w:rsidRPr="003314F8" w:rsidRDefault="005B1B29" w:rsidP="005B1B29">
      <w:pPr>
        <w:ind w:firstLine="720"/>
        <w:jc w:val="center"/>
        <w:rPr>
          <w:rFonts w:hint="eastAsia"/>
          <w:sz w:val="36"/>
          <w:szCs w:val="36"/>
        </w:rPr>
      </w:pPr>
    </w:p>
    <w:p w14:paraId="0832C1A7" w14:textId="5A9944D4" w:rsidR="005B1B29" w:rsidRPr="003314F8" w:rsidRDefault="005B1B29" w:rsidP="005B1B29">
      <w:pPr>
        <w:widowControl/>
        <w:ind w:firstLineChars="0" w:firstLine="0"/>
        <w:jc w:val="center"/>
        <w:outlineLvl w:val="0"/>
        <w:rPr>
          <w:b/>
          <w:bCs/>
          <w:sz w:val="36"/>
          <w:szCs w:val="36"/>
        </w:rPr>
      </w:pPr>
      <w:r w:rsidRPr="005B1B29">
        <w:rPr>
          <w:b/>
          <w:bCs/>
          <w:sz w:val="36"/>
          <w:szCs w:val="36"/>
        </w:rPr>
        <w:t>Supplementary Materials for</w:t>
      </w:r>
      <w:r w:rsidRPr="005B1B29">
        <w:rPr>
          <w:b/>
          <w:bCs/>
          <w:sz w:val="36"/>
          <w:szCs w:val="36"/>
        </w:rPr>
        <w:t xml:space="preserve"> </w:t>
      </w:r>
      <w:r w:rsidRPr="005B1B29">
        <w:rPr>
          <w:b/>
          <w:bCs/>
          <w:i/>
          <w:iCs/>
          <w:sz w:val="36"/>
          <w:szCs w:val="36"/>
        </w:rPr>
        <w:t>Asymmetry of Winter Precipitation Event Predictions in South China</w:t>
      </w:r>
    </w:p>
    <w:p w14:paraId="1E3BD01A" w14:textId="77777777" w:rsidR="005B1B29" w:rsidRPr="00546A30" w:rsidRDefault="005B1B29" w:rsidP="005B1B29">
      <w:pPr>
        <w:widowControl/>
        <w:spacing w:beforeLines="50" w:before="163" w:afterLines="50" w:after="163"/>
        <w:ind w:firstLineChars="0" w:firstLine="0"/>
        <w:rPr>
          <w:sz w:val="20"/>
          <w:szCs w:val="20"/>
        </w:rPr>
      </w:pPr>
      <w:r w:rsidRPr="00546A30">
        <w:rPr>
          <w:sz w:val="20"/>
          <w:szCs w:val="20"/>
        </w:rPr>
        <w:t>Shixin Zhen</w:t>
      </w:r>
      <w:r w:rsidRPr="00546A30">
        <w:rPr>
          <w:sz w:val="20"/>
          <w:szCs w:val="20"/>
          <w:vertAlign w:val="superscript"/>
        </w:rPr>
        <w:t>1</w:t>
      </w:r>
      <w:r w:rsidRPr="00546A30">
        <w:rPr>
          <w:sz w:val="20"/>
          <w:szCs w:val="20"/>
        </w:rPr>
        <w:t>, Zhaolu Hou</w:t>
      </w:r>
      <w:r w:rsidRPr="00546A30">
        <w:rPr>
          <w:sz w:val="20"/>
          <w:szCs w:val="20"/>
          <w:vertAlign w:val="superscript"/>
        </w:rPr>
        <w:t>1*</w:t>
      </w:r>
      <w:r w:rsidRPr="00546A30">
        <w:rPr>
          <w:sz w:val="20"/>
          <w:szCs w:val="20"/>
        </w:rPr>
        <w:t>, Jianping Li</w:t>
      </w:r>
      <w:r w:rsidRPr="00546A30">
        <w:rPr>
          <w:sz w:val="20"/>
          <w:szCs w:val="20"/>
          <w:vertAlign w:val="superscript"/>
        </w:rPr>
        <w:t>1,2*</w:t>
      </w:r>
      <w:r w:rsidRPr="00546A30">
        <w:rPr>
          <w:sz w:val="20"/>
          <w:szCs w:val="20"/>
        </w:rPr>
        <w:t>, Yina Diao</w:t>
      </w:r>
      <w:r w:rsidRPr="00546A30">
        <w:rPr>
          <w:sz w:val="20"/>
          <w:szCs w:val="20"/>
          <w:vertAlign w:val="superscript"/>
        </w:rPr>
        <w:t>1</w:t>
      </w:r>
      <w:r w:rsidRPr="00546A30">
        <w:rPr>
          <w:sz w:val="20"/>
          <w:szCs w:val="20"/>
        </w:rPr>
        <w:t xml:space="preserve">, </w:t>
      </w:r>
      <w:proofErr w:type="spellStart"/>
      <w:r w:rsidRPr="00546A30">
        <w:rPr>
          <w:sz w:val="20"/>
          <w:szCs w:val="20"/>
        </w:rPr>
        <w:t>Yazhou</w:t>
      </w:r>
      <w:proofErr w:type="spellEnd"/>
      <w:r w:rsidRPr="00546A30">
        <w:rPr>
          <w:sz w:val="20"/>
          <w:szCs w:val="20"/>
        </w:rPr>
        <w:t xml:space="preserve"> Zhang</w:t>
      </w:r>
      <w:r w:rsidRPr="00546A30">
        <w:rPr>
          <w:sz w:val="20"/>
          <w:szCs w:val="20"/>
          <w:vertAlign w:val="superscript"/>
        </w:rPr>
        <w:t>1</w:t>
      </w:r>
    </w:p>
    <w:p w14:paraId="77AB4444" w14:textId="77777777" w:rsidR="005B1B29" w:rsidRPr="00546A30" w:rsidRDefault="005B1B29" w:rsidP="005B1B29">
      <w:pPr>
        <w:widowControl/>
        <w:ind w:firstLineChars="0" w:firstLine="0"/>
        <w:rPr>
          <w:sz w:val="20"/>
          <w:szCs w:val="20"/>
        </w:rPr>
      </w:pPr>
      <w:bookmarkStart w:id="1" w:name="_Hlk152516001"/>
      <w:r w:rsidRPr="00546A30">
        <w:rPr>
          <w:sz w:val="20"/>
          <w:szCs w:val="20"/>
          <w:vertAlign w:val="superscript"/>
        </w:rPr>
        <w:t>1</w:t>
      </w:r>
      <w:r w:rsidRPr="00546A30">
        <w:rPr>
          <w:sz w:val="20"/>
          <w:szCs w:val="20"/>
        </w:rPr>
        <w:t xml:space="preserve"> </w:t>
      </w:r>
      <w:r w:rsidRPr="006E32DE">
        <w:rPr>
          <w:sz w:val="20"/>
          <w:szCs w:val="20"/>
        </w:rPr>
        <w:t>College of Oceanic and Atmospheric Sciences/</w:t>
      </w:r>
      <w:r>
        <w:rPr>
          <w:sz w:val="20"/>
          <w:szCs w:val="20"/>
        </w:rPr>
        <w:t xml:space="preserve"> </w:t>
      </w:r>
      <w:r w:rsidRPr="006E32DE">
        <w:rPr>
          <w:sz w:val="20"/>
          <w:szCs w:val="20"/>
        </w:rPr>
        <w:t>Frontiers Science Center for Deep Ocean Multi-spheres and Earth System (DOMES)/</w:t>
      </w:r>
      <w:r>
        <w:rPr>
          <w:sz w:val="20"/>
          <w:szCs w:val="20"/>
        </w:rPr>
        <w:t xml:space="preserve"> </w:t>
      </w:r>
      <w:r w:rsidRPr="006E32DE">
        <w:rPr>
          <w:sz w:val="20"/>
          <w:szCs w:val="20"/>
        </w:rPr>
        <w:t>Key Laboratory of Physical Oceanography/</w:t>
      </w:r>
      <w:r>
        <w:rPr>
          <w:sz w:val="20"/>
          <w:szCs w:val="20"/>
        </w:rPr>
        <w:t xml:space="preserve"> </w:t>
      </w:r>
      <w:r w:rsidRPr="006E32DE">
        <w:rPr>
          <w:sz w:val="20"/>
          <w:szCs w:val="20"/>
        </w:rPr>
        <w:t>Academy of Future Ocean/ Center for Ocean Carbon Neutrality, Ocean University of China, Qingdao 266100, China</w:t>
      </w:r>
    </w:p>
    <w:p w14:paraId="0066E835" w14:textId="77777777" w:rsidR="005B1B29" w:rsidRPr="00546A30" w:rsidRDefault="005B1B29" w:rsidP="005B1B29">
      <w:pPr>
        <w:widowControl/>
        <w:ind w:firstLineChars="0" w:firstLine="0"/>
        <w:rPr>
          <w:sz w:val="20"/>
          <w:szCs w:val="20"/>
        </w:rPr>
      </w:pPr>
      <w:r w:rsidRPr="00546A30">
        <w:rPr>
          <w:sz w:val="20"/>
          <w:szCs w:val="20"/>
          <w:vertAlign w:val="superscript"/>
        </w:rPr>
        <w:t>2</w:t>
      </w:r>
      <w:r w:rsidRPr="00546A30">
        <w:rPr>
          <w:sz w:val="20"/>
          <w:szCs w:val="20"/>
        </w:rPr>
        <w:t xml:space="preserve"> </w:t>
      </w:r>
      <w:proofErr w:type="spellStart"/>
      <w:r w:rsidRPr="00546A30">
        <w:rPr>
          <w:sz w:val="20"/>
          <w:szCs w:val="20"/>
        </w:rPr>
        <w:t>Laoshan</w:t>
      </w:r>
      <w:proofErr w:type="spellEnd"/>
      <w:r w:rsidRPr="00546A30">
        <w:rPr>
          <w:sz w:val="20"/>
          <w:szCs w:val="20"/>
        </w:rPr>
        <w:t xml:space="preserve"> Laboratory, Qingdao 266237, China</w:t>
      </w:r>
    </w:p>
    <w:bookmarkEnd w:id="1"/>
    <w:p w14:paraId="06E6E457" w14:textId="77777777" w:rsidR="005B1B29" w:rsidRPr="00546A30" w:rsidRDefault="005B1B29" w:rsidP="005B1B29">
      <w:pPr>
        <w:widowControl/>
        <w:ind w:firstLineChars="0" w:firstLine="0"/>
        <w:jc w:val="center"/>
        <w:rPr>
          <w:sz w:val="20"/>
          <w:szCs w:val="20"/>
        </w:rPr>
      </w:pPr>
    </w:p>
    <w:p w14:paraId="62D2A217" w14:textId="77777777" w:rsidR="005B1B29" w:rsidRPr="00546A30" w:rsidRDefault="005B1B29" w:rsidP="005B1B29">
      <w:pPr>
        <w:widowControl/>
        <w:ind w:firstLineChars="0" w:firstLine="0"/>
        <w:rPr>
          <w:sz w:val="20"/>
          <w:szCs w:val="20"/>
        </w:rPr>
      </w:pPr>
      <w:r w:rsidRPr="00546A30">
        <w:rPr>
          <w:sz w:val="20"/>
          <w:szCs w:val="20"/>
        </w:rPr>
        <w:t>*Correspondence to: Jianping Li (</w:t>
      </w:r>
      <w:hyperlink r:id="rId6" w:history="1">
        <w:r w:rsidRPr="00546A30">
          <w:rPr>
            <w:rStyle w:val="a5"/>
            <w:sz w:val="20"/>
            <w:szCs w:val="20"/>
          </w:rPr>
          <w:t>ljp@ouc.edu.cn</w:t>
        </w:r>
      </w:hyperlink>
      <w:r w:rsidRPr="00546A30">
        <w:rPr>
          <w:sz w:val="20"/>
          <w:szCs w:val="20"/>
        </w:rPr>
        <w:t>) &amp; Zhaolu Hou (</w:t>
      </w:r>
      <w:hyperlink r:id="rId7" w:history="1">
        <w:r w:rsidRPr="00546A30">
          <w:rPr>
            <w:rStyle w:val="a5"/>
            <w:sz w:val="20"/>
            <w:szCs w:val="20"/>
          </w:rPr>
          <w:t>hzl@ouc.edu.cn</w:t>
        </w:r>
      </w:hyperlink>
      <w:r w:rsidRPr="00546A30">
        <w:rPr>
          <w:sz w:val="20"/>
          <w:szCs w:val="20"/>
        </w:rPr>
        <w:t>)</w:t>
      </w:r>
    </w:p>
    <w:p w14:paraId="45A13552" w14:textId="77777777" w:rsidR="005B1B29" w:rsidRDefault="005B1B29" w:rsidP="005B1B29">
      <w:pPr>
        <w:widowControl/>
        <w:ind w:firstLineChars="0" w:firstLine="0"/>
        <w:rPr>
          <w:sz w:val="20"/>
          <w:szCs w:val="20"/>
        </w:rPr>
      </w:pPr>
    </w:p>
    <w:p w14:paraId="548767B3" w14:textId="77777777" w:rsidR="005B1B29" w:rsidRDefault="005B1B29" w:rsidP="005B1B29">
      <w:pPr>
        <w:widowControl/>
        <w:ind w:firstLineChars="0" w:firstLine="0"/>
        <w:jc w:val="center"/>
        <w:rPr>
          <w:sz w:val="20"/>
          <w:szCs w:val="20"/>
        </w:rPr>
      </w:pPr>
      <w:r w:rsidRPr="00546A30">
        <w:rPr>
          <w:sz w:val="20"/>
          <w:szCs w:val="20"/>
        </w:rPr>
        <w:t xml:space="preserve">Summitted to </w:t>
      </w:r>
      <w:r w:rsidRPr="00546A30">
        <w:rPr>
          <w:i/>
          <w:iCs/>
          <w:sz w:val="20"/>
          <w:szCs w:val="20"/>
        </w:rPr>
        <w:t>Climate Dynamics</w:t>
      </w:r>
    </w:p>
    <w:p w14:paraId="69A220DB" w14:textId="77777777" w:rsidR="005B1B29" w:rsidRPr="00546A30" w:rsidRDefault="005B1B29" w:rsidP="005B1B29">
      <w:pPr>
        <w:widowControl/>
        <w:ind w:firstLineChars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December</w:t>
      </w:r>
      <w:r w:rsidRPr="00546A30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546A30">
        <w:rPr>
          <w:sz w:val="20"/>
          <w:szCs w:val="20"/>
        </w:rPr>
        <w:t>, 2023</w:t>
      </w:r>
    </w:p>
    <w:bookmarkEnd w:id="0"/>
    <w:p w14:paraId="190DBF43" w14:textId="72ACA693" w:rsidR="00133121" w:rsidRPr="00A161C7" w:rsidRDefault="00133121" w:rsidP="00133121">
      <w:pPr>
        <w:widowControl/>
        <w:spacing w:line="240" w:lineRule="auto"/>
        <w:ind w:firstLineChars="0" w:firstLine="0"/>
        <w:jc w:val="left"/>
        <w:rPr>
          <w:sz w:val="21"/>
          <w:szCs w:val="21"/>
        </w:rPr>
      </w:pPr>
    </w:p>
    <w:p w14:paraId="53CBC8C3" w14:textId="77777777" w:rsidR="00A161C7" w:rsidRPr="00A161C7" w:rsidRDefault="00A161C7" w:rsidP="00A161C7">
      <w:pPr>
        <w:widowControl/>
        <w:ind w:firstLineChars="0" w:firstLine="0"/>
        <w:rPr>
          <w:b/>
          <w:bCs/>
          <w:sz w:val="21"/>
          <w:szCs w:val="21"/>
        </w:rPr>
      </w:pPr>
      <w:r w:rsidRPr="00A161C7">
        <w:rPr>
          <w:b/>
          <w:bCs/>
          <w:sz w:val="21"/>
          <w:szCs w:val="21"/>
        </w:rPr>
        <w:t>Contents of this file:</w:t>
      </w:r>
    </w:p>
    <w:p w14:paraId="4BE1B848" w14:textId="77777777" w:rsidR="00A161C7" w:rsidRPr="00A161C7" w:rsidRDefault="00A161C7" w:rsidP="00A161C7">
      <w:pPr>
        <w:widowControl/>
        <w:ind w:firstLineChars="0" w:firstLine="0"/>
        <w:rPr>
          <w:b/>
          <w:bCs/>
          <w:sz w:val="21"/>
          <w:szCs w:val="21"/>
        </w:rPr>
      </w:pPr>
      <w:r w:rsidRPr="00A161C7">
        <w:rPr>
          <w:b/>
          <w:bCs/>
          <w:sz w:val="21"/>
          <w:szCs w:val="21"/>
        </w:rPr>
        <w:t>Figures S1 to S4</w:t>
      </w:r>
    </w:p>
    <w:p w14:paraId="71B1F9DF" w14:textId="77777777" w:rsidR="00A161C7" w:rsidRPr="00A161C7" w:rsidRDefault="00A161C7" w:rsidP="00133121">
      <w:pPr>
        <w:widowControl/>
        <w:spacing w:line="240" w:lineRule="auto"/>
        <w:ind w:firstLineChars="0" w:firstLine="0"/>
        <w:jc w:val="left"/>
        <w:rPr>
          <w:sz w:val="21"/>
          <w:szCs w:val="21"/>
        </w:rPr>
      </w:pPr>
    </w:p>
    <w:p w14:paraId="1E659EBF" w14:textId="77777777" w:rsidR="009231F8" w:rsidRDefault="009231F8" w:rsidP="009231F8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20973E45" wp14:editId="653CA72B">
            <wp:extent cx="5040000" cy="4923497"/>
            <wp:effectExtent l="0" t="0" r="8255" b="0"/>
            <wp:docPr id="1705603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038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92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3F205" w14:textId="0D8F2E16" w:rsidR="00A161C7" w:rsidRDefault="00A161C7" w:rsidP="009231F8">
      <w:pPr>
        <w:pStyle w:val="a4"/>
        <w:rPr>
          <w:sz w:val="20"/>
          <w:szCs w:val="20"/>
        </w:rPr>
      </w:pPr>
      <w:r w:rsidRPr="00F81A41">
        <w:rPr>
          <w:b/>
          <w:bCs/>
          <w:sz w:val="20"/>
          <w:szCs w:val="20"/>
        </w:rPr>
        <w:t xml:space="preserve">Fig. </w:t>
      </w:r>
      <w:r w:rsidR="00EA41E2">
        <w:rPr>
          <w:b/>
          <w:bCs/>
          <w:sz w:val="20"/>
          <w:szCs w:val="20"/>
        </w:rPr>
        <w:t>S1</w:t>
      </w:r>
      <w:r w:rsidRPr="00546A30">
        <w:rPr>
          <w:sz w:val="20"/>
          <w:szCs w:val="20"/>
        </w:rPr>
        <w:t xml:space="preserve"> </w:t>
      </w:r>
      <w:bookmarkStart w:id="2" w:name="_Hlk151726614"/>
      <w:r w:rsidRPr="00A161C7">
        <w:rPr>
          <w:sz w:val="20"/>
          <w:szCs w:val="20"/>
        </w:rPr>
        <w:t xml:space="preserve">Temporal </w:t>
      </w:r>
      <w:r>
        <w:rPr>
          <w:sz w:val="20"/>
          <w:szCs w:val="20"/>
        </w:rPr>
        <w:t>a</w:t>
      </w:r>
      <w:r w:rsidRPr="00A161C7">
        <w:rPr>
          <w:sz w:val="20"/>
          <w:szCs w:val="20"/>
        </w:rPr>
        <w:t xml:space="preserve">nomaly </w:t>
      </w:r>
      <w:r>
        <w:rPr>
          <w:sz w:val="20"/>
          <w:szCs w:val="20"/>
        </w:rPr>
        <w:t>c</w:t>
      </w:r>
      <w:r w:rsidRPr="00A161C7">
        <w:rPr>
          <w:sz w:val="20"/>
          <w:szCs w:val="20"/>
        </w:rPr>
        <w:t xml:space="preserve">orrelation </w:t>
      </w:r>
      <w:r w:rsidR="00EA41E2">
        <w:rPr>
          <w:sz w:val="20"/>
          <w:szCs w:val="20"/>
        </w:rPr>
        <w:t>c</w:t>
      </w:r>
      <w:r w:rsidRPr="00A161C7">
        <w:rPr>
          <w:sz w:val="20"/>
          <w:szCs w:val="20"/>
        </w:rPr>
        <w:t>oefficient (TCC)</w:t>
      </w:r>
      <w:r w:rsidRPr="00546A30">
        <w:rPr>
          <w:sz w:val="20"/>
          <w:szCs w:val="20"/>
        </w:rPr>
        <w:t xml:space="preserve"> for positive precipitation anomaly events (PPA) between observation</w:t>
      </w:r>
      <w:r>
        <w:rPr>
          <w:sz w:val="20"/>
          <w:szCs w:val="20"/>
        </w:rPr>
        <w:t>s</w:t>
      </w:r>
      <w:r w:rsidRPr="00546A30">
        <w:rPr>
          <w:sz w:val="20"/>
          <w:szCs w:val="20"/>
        </w:rPr>
        <w:t xml:space="preserve"> and </w:t>
      </w:r>
      <w:bookmarkStart w:id="3" w:name="_Hlk151568470"/>
      <w:r w:rsidRPr="00546A30">
        <w:rPr>
          <w:sz w:val="20"/>
          <w:szCs w:val="20"/>
        </w:rPr>
        <w:t xml:space="preserve">prediction with a </w:t>
      </w:r>
      <w:bookmarkEnd w:id="3"/>
      <w:r w:rsidRPr="00546A30">
        <w:rPr>
          <w:sz w:val="20"/>
          <w:szCs w:val="20"/>
        </w:rPr>
        <w:t>lead time of 0 (</w:t>
      </w:r>
      <w:r w:rsidRPr="00546A30">
        <w:rPr>
          <w:b/>
          <w:bCs/>
          <w:sz w:val="20"/>
          <w:szCs w:val="20"/>
        </w:rPr>
        <w:t>a</w:t>
      </w:r>
      <w:r w:rsidRPr="00546A30">
        <w:rPr>
          <w:sz w:val="20"/>
          <w:szCs w:val="20"/>
        </w:rPr>
        <w:t>) and 3 (</w:t>
      </w:r>
      <w:r w:rsidRPr="00546A30">
        <w:rPr>
          <w:b/>
          <w:bCs/>
          <w:sz w:val="20"/>
          <w:szCs w:val="20"/>
        </w:rPr>
        <w:t>b</w:t>
      </w:r>
      <w:r w:rsidRPr="00546A30">
        <w:rPr>
          <w:sz w:val="20"/>
          <w:szCs w:val="20"/>
        </w:rPr>
        <w:t xml:space="preserve">) months </w:t>
      </w:r>
      <w:r>
        <w:rPr>
          <w:sz w:val="20"/>
          <w:szCs w:val="20"/>
        </w:rPr>
        <w:t>during</w:t>
      </w:r>
      <w:r w:rsidRPr="00546A30">
        <w:rPr>
          <w:sz w:val="20"/>
          <w:szCs w:val="20"/>
        </w:rPr>
        <w:t xml:space="preserve"> boreal winter (December–January–February) </w:t>
      </w:r>
      <w:r>
        <w:rPr>
          <w:sz w:val="20"/>
          <w:szCs w:val="20"/>
        </w:rPr>
        <w:t>from</w:t>
      </w:r>
      <w:r w:rsidRPr="00546A30">
        <w:rPr>
          <w:sz w:val="20"/>
          <w:szCs w:val="20"/>
        </w:rPr>
        <w:t xml:space="preserve"> 1983</w:t>
      </w:r>
      <w:r>
        <w:rPr>
          <w:sz w:val="20"/>
          <w:szCs w:val="20"/>
        </w:rPr>
        <w:t xml:space="preserve"> to </w:t>
      </w:r>
      <w:r w:rsidRPr="00546A30">
        <w:rPr>
          <w:sz w:val="20"/>
          <w:szCs w:val="20"/>
        </w:rPr>
        <w:t>2021. (</w:t>
      </w:r>
      <w:r w:rsidRPr="00546A30">
        <w:rPr>
          <w:b/>
          <w:bCs/>
          <w:sz w:val="20"/>
          <w:szCs w:val="20"/>
        </w:rPr>
        <w:t>c</w:t>
      </w:r>
      <w:r w:rsidRPr="00546A30">
        <w:rPr>
          <w:sz w:val="20"/>
          <w:szCs w:val="20"/>
        </w:rPr>
        <w:t xml:space="preserve">, </w:t>
      </w:r>
      <w:r w:rsidRPr="00546A30">
        <w:rPr>
          <w:b/>
          <w:bCs/>
          <w:sz w:val="20"/>
          <w:szCs w:val="20"/>
        </w:rPr>
        <w:t xml:space="preserve">d) </w:t>
      </w:r>
      <w:r w:rsidRPr="00546A30">
        <w:rPr>
          <w:sz w:val="20"/>
          <w:szCs w:val="20"/>
        </w:rPr>
        <w:t>is the same as</w:t>
      </w:r>
      <w:r w:rsidRPr="00546A30">
        <w:rPr>
          <w:color w:val="000000" w:themeColor="text1"/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</w:t>
      </w:r>
      <w:r w:rsidRPr="00546A30">
        <w:rPr>
          <w:sz w:val="20"/>
          <w:szCs w:val="20"/>
        </w:rPr>
        <w:t>,</w:t>
      </w:r>
      <w:r w:rsidRPr="00546A30">
        <w:rPr>
          <w:b/>
          <w:bCs/>
          <w:sz w:val="20"/>
          <w:szCs w:val="20"/>
        </w:rPr>
        <w:t xml:space="preserve"> b)</w:t>
      </w:r>
      <w:r w:rsidRPr="00546A30">
        <w:rPr>
          <w:color w:val="000000" w:themeColor="text1"/>
          <w:sz w:val="20"/>
          <w:szCs w:val="20"/>
        </w:rPr>
        <w:t xml:space="preserve">, but for </w:t>
      </w:r>
      <w:r w:rsidRPr="00546A30">
        <w:rPr>
          <w:sz w:val="20"/>
          <w:szCs w:val="20"/>
        </w:rPr>
        <w:t xml:space="preserve">negative precipitation anomaly events (NPA). PPA (NPA) is defined as the years when the regional average precipitation anomalies in South China (107°–123°E, 22°–32°N)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higher (lower) than +(−)1 standard deviation. </w:t>
      </w:r>
      <w:bookmarkStart w:id="4" w:name="_Hlk151569040"/>
      <w:r w:rsidRPr="00546A30">
        <w:rPr>
          <w:sz w:val="20"/>
          <w:szCs w:val="20"/>
        </w:rPr>
        <w:t xml:space="preserve">Observations are from the ECMWF </w:t>
      </w:r>
      <w:r>
        <w:rPr>
          <w:sz w:val="20"/>
          <w:szCs w:val="20"/>
        </w:rPr>
        <w:t>f</w:t>
      </w:r>
      <w:r w:rsidRPr="00546A30">
        <w:rPr>
          <w:sz w:val="20"/>
          <w:szCs w:val="20"/>
        </w:rPr>
        <w:t xml:space="preserve">ifth-generation </w:t>
      </w:r>
      <w:r>
        <w:rPr>
          <w:sz w:val="20"/>
          <w:szCs w:val="20"/>
        </w:rPr>
        <w:t>r</w:t>
      </w:r>
      <w:r w:rsidRPr="00546A30">
        <w:rPr>
          <w:sz w:val="20"/>
          <w:szCs w:val="20"/>
        </w:rPr>
        <w:t>eanalysis (ERA5), and predictions are from the Climate Forecast System version 2 (CFSv2)</w:t>
      </w:r>
      <w:bookmarkEnd w:id="2"/>
      <w:bookmarkEnd w:id="4"/>
    </w:p>
    <w:p w14:paraId="04161B18" w14:textId="28F98836" w:rsidR="009231F8" w:rsidRPr="00170443" w:rsidRDefault="009231F8" w:rsidP="009231F8">
      <w:pPr>
        <w:pStyle w:val="a4"/>
      </w:pPr>
      <w:r>
        <w:br w:type="page"/>
      </w:r>
    </w:p>
    <w:p w14:paraId="47693F2E" w14:textId="074D08CB" w:rsidR="009231F8" w:rsidRDefault="0017581B" w:rsidP="009231F8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31570E57" wp14:editId="32109351">
            <wp:extent cx="4356000" cy="6966146"/>
            <wp:effectExtent l="0" t="0" r="6985" b="6350"/>
            <wp:docPr id="593924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240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6000" cy="696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3304" w14:textId="0FA1DC43" w:rsidR="00EA41E2" w:rsidRDefault="00EA41E2" w:rsidP="004E1F13">
      <w:pPr>
        <w:pStyle w:val="a4"/>
        <w:rPr>
          <w:sz w:val="20"/>
          <w:szCs w:val="20"/>
        </w:rPr>
      </w:pPr>
      <w:r w:rsidRPr="00F81A41">
        <w:rPr>
          <w:b/>
          <w:bCs/>
          <w:sz w:val="20"/>
          <w:szCs w:val="20"/>
        </w:rPr>
        <w:t xml:space="preserve">Fig. </w:t>
      </w:r>
      <w:r>
        <w:rPr>
          <w:b/>
          <w:bCs/>
          <w:sz w:val="20"/>
          <w:szCs w:val="20"/>
        </w:rPr>
        <w:t>S2</w:t>
      </w:r>
      <w:r w:rsidRPr="00546A30">
        <w:rPr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</w:t>
      </w:r>
      <w:r w:rsidRPr="00546A30">
        <w:rPr>
          <w:sz w:val="20"/>
          <w:szCs w:val="20"/>
        </w:rPr>
        <w:t xml:space="preserve">) Composites of 500 hPa geopotential height anomalies in </w:t>
      </w:r>
      <w:r>
        <w:rPr>
          <w:sz w:val="20"/>
          <w:szCs w:val="20"/>
        </w:rPr>
        <w:t xml:space="preserve">the </w:t>
      </w:r>
      <w:r w:rsidRPr="00546A30">
        <w:rPr>
          <w:sz w:val="20"/>
          <w:szCs w:val="20"/>
        </w:rPr>
        <w:t>north</w:t>
      </w:r>
      <w:r>
        <w:rPr>
          <w:sz w:val="20"/>
          <w:szCs w:val="20"/>
        </w:rPr>
        <w:t>ern</w:t>
      </w:r>
      <w:r w:rsidRPr="00546A30">
        <w:rPr>
          <w:sz w:val="20"/>
          <w:szCs w:val="20"/>
        </w:rPr>
        <w:t xml:space="preserve"> hemisphere for observed positive precipitation anomaly events (PPA) </w:t>
      </w:r>
      <w:r>
        <w:rPr>
          <w:sz w:val="20"/>
          <w:szCs w:val="20"/>
        </w:rPr>
        <w:t xml:space="preserve">during </w:t>
      </w:r>
      <w:r w:rsidRPr="00546A30">
        <w:rPr>
          <w:sz w:val="20"/>
          <w:szCs w:val="20"/>
        </w:rPr>
        <w:t xml:space="preserve">boreal winter (December–January–February) </w:t>
      </w:r>
      <w:r>
        <w:rPr>
          <w:sz w:val="20"/>
          <w:szCs w:val="20"/>
        </w:rPr>
        <w:t>from</w:t>
      </w:r>
      <w:r w:rsidRPr="00546A30">
        <w:rPr>
          <w:sz w:val="20"/>
          <w:szCs w:val="20"/>
        </w:rPr>
        <w:t xml:space="preserve"> 1983</w:t>
      </w:r>
      <w:r>
        <w:rPr>
          <w:sz w:val="20"/>
          <w:szCs w:val="20"/>
        </w:rPr>
        <w:t xml:space="preserve"> to </w:t>
      </w:r>
      <w:r w:rsidRPr="00546A30">
        <w:rPr>
          <w:sz w:val="20"/>
          <w:szCs w:val="20"/>
        </w:rPr>
        <w:t xml:space="preserve">2021. </w:t>
      </w:r>
      <w:bookmarkStart w:id="5" w:name="_Hlk151364590"/>
      <w:r w:rsidRPr="00546A30">
        <w:rPr>
          <w:sz w:val="20"/>
          <w:szCs w:val="20"/>
        </w:rPr>
        <w:t>(</w:t>
      </w:r>
      <w:r w:rsidRPr="00546A30">
        <w:rPr>
          <w:b/>
          <w:bCs/>
          <w:sz w:val="20"/>
          <w:szCs w:val="20"/>
        </w:rPr>
        <w:t>b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 w:rsidRPr="00546A30">
        <w:rPr>
          <w:sz w:val="20"/>
          <w:szCs w:val="20"/>
        </w:rPr>
        <w:t>is the same as</w:t>
      </w:r>
      <w:r w:rsidRPr="00546A30">
        <w:rPr>
          <w:color w:val="000000" w:themeColor="text1"/>
          <w:sz w:val="20"/>
          <w:szCs w:val="20"/>
        </w:rPr>
        <w:t xml:space="preserve"> (</w:t>
      </w:r>
      <w:r w:rsidRPr="00546A30">
        <w:rPr>
          <w:b/>
          <w:bCs/>
          <w:color w:val="000000" w:themeColor="text1"/>
          <w:sz w:val="20"/>
          <w:szCs w:val="20"/>
        </w:rPr>
        <w:t>a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, but for observed </w:t>
      </w:r>
      <w:r w:rsidRPr="00546A30">
        <w:rPr>
          <w:sz w:val="20"/>
          <w:szCs w:val="20"/>
        </w:rPr>
        <w:t>negative precipitation anomaly events (NPA).</w:t>
      </w:r>
      <w:r w:rsidRPr="00546A30">
        <w:rPr>
          <w:b/>
          <w:bCs/>
          <w:sz w:val="20"/>
          <w:szCs w:val="20"/>
        </w:rPr>
        <w:t xml:space="preserve"> </w:t>
      </w:r>
      <w:r w:rsidRPr="00546A30">
        <w:rPr>
          <w:sz w:val="20"/>
          <w:szCs w:val="20"/>
        </w:rPr>
        <w:t>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the same as</w:t>
      </w:r>
      <w:r w:rsidRPr="00546A30">
        <w:rPr>
          <w:color w:val="000000" w:themeColor="text1"/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a–b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 but for </w:t>
      </w:r>
      <w:r w:rsidRPr="00546A30">
        <w:rPr>
          <w:sz w:val="20"/>
          <w:szCs w:val="20"/>
        </w:rPr>
        <w:t>prediction</w:t>
      </w:r>
      <w:r>
        <w:rPr>
          <w:sz w:val="20"/>
          <w:szCs w:val="20"/>
        </w:rPr>
        <w:t>s</w:t>
      </w:r>
      <w:r w:rsidRPr="00546A30">
        <w:rPr>
          <w:sz w:val="20"/>
          <w:szCs w:val="20"/>
        </w:rPr>
        <w:t xml:space="preserve"> with a lead time of 0 month. (</w:t>
      </w:r>
      <w:r w:rsidRPr="00546A30">
        <w:rPr>
          <w:b/>
          <w:bCs/>
          <w:sz w:val="20"/>
          <w:szCs w:val="20"/>
        </w:rPr>
        <w:t>e–f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the same as</w:t>
      </w:r>
      <w:r w:rsidRPr="00546A30">
        <w:rPr>
          <w:color w:val="000000" w:themeColor="text1"/>
          <w:sz w:val="20"/>
          <w:szCs w:val="20"/>
        </w:rPr>
        <w:t xml:space="preserve"> </w:t>
      </w:r>
      <w:r w:rsidRPr="00546A30">
        <w:rPr>
          <w:sz w:val="20"/>
          <w:szCs w:val="20"/>
        </w:rPr>
        <w:t>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 but for</w:t>
      </w:r>
      <w:r w:rsidRPr="00546A30">
        <w:rPr>
          <w:sz w:val="20"/>
          <w:szCs w:val="20"/>
        </w:rPr>
        <w:t xml:space="preserve"> prediction</w:t>
      </w:r>
      <w:r>
        <w:rPr>
          <w:sz w:val="20"/>
          <w:szCs w:val="20"/>
        </w:rPr>
        <w:t>s</w:t>
      </w:r>
      <w:r w:rsidRPr="00546A30">
        <w:rPr>
          <w:sz w:val="20"/>
          <w:szCs w:val="20"/>
        </w:rPr>
        <w:t xml:space="preserve"> with a lead time of 3 months. The dashed red line corresponds to the area with statistical significance at the 95% confidence level, using a student-</w:t>
      </w:r>
      <w:r w:rsidRPr="00546A30">
        <w:rPr>
          <w:i/>
          <w:iCs/>
          <w:sz w:val="20"/>
          <w:szCs w:val="20"/>
        </w:rPr>
        <w:t>t</w:t>
      </w:r>
      <w:r w:rsidRPr="00546A30">
        <w:rPr>
          <w:sz w:val="20"/>
          <w:szCs w:val="20"/>
        </w:rPr>
        <w:t xml:space="preserve"> test. PPA (NPA) is defined as the years when the regional average precipitation anomalies in South China (107°–123°E, 22°–32°N)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higher (lower) </w:t>
      </w:r>
      <w:r w:rsidRPr="00546A30">
        <w:rPr>
          <w:sz w:val="20"/>
          <w:szCs w:val="20"/>
        </w:rPr>
        <w:lastRenderedPageBreak/>
        <w:t>than +(−)1 standard deviation.</w:t>
      </w:r>
      <w:bookmarkEnd w:id="5"/>
      <w:r w:rsidRPr="00546A30">
        <w:rPr>
          <w:sz w:val="20"/>
          <w:szCs w:val="20"/>
        </w:rPr>
        <w:t xml:space="preserve"> PCC and </w:t>
      </w:r>
      <w:r>
        <w:rPr>
          <w:sz w:val="20"/>
          <w:szCs w:val="20"/>
        </w:rPr>
        <w:t xml:space="preserve">the </w:t>
      </w:r>
      <w:r w:rsidRPr="00546A30">
        <w:rPr>
          <w:sz w:val="20"/>
          <w:szCs w:val="20"/>
        </w:rPr>
        <w:t xml:space="preserve">2-norm value </w:t>
      </w:r>
      <w:r>
        <w:rPr>
          <w:sz w:val="20"/>
          <w:szCs w:val="20"/>
        </w:rPr>
        <w:t xml:space="preserve">are used to </w:t>
      </w:r>
      <w:r w:rsidRPr="00546A30">
        <w:rPr>
          <w:sz w:val="20"/>
          <w:szCs w:val="20"/>
        </w:rPr>
        <w:t>measure the spatial similarity and distance, respectively, of</w:t>
      </w:r>
      <w:r>
        <w:rPr>
          <w:sz w:val="20"/>
          <w:szCs w:val="20"/>
        </w:rPr>
        <w:t xml:space="preserve"> </w:t>
      </w:r>
      <w:r w:rsidRPr="00546A30">
        <w:rPr>
          <w:sz w:val="20"/>
          <w:szCs w:val="20"/>
        </w:rPr>
        <w:t>mid-to-high latitude circulation in the Northern Hemisphere between predicted and observed precipitation anomaly events, shown in upper right corner of 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). Observations are from the ECMWF Fifth-generation Reanalysis (ERA5), and predictions are from the Climate Forecast System version 2 (CFSv2)</w:t>
      </w:r>
      <w:r w:rsidR="006D5741">
        <w:rPr>
          <w:sz w:val="20"/>
          <w:szCs w:val="20"/>
        </w:rPr>
        <w:t>.</w:t>
      </w:r>
      <w:bookmarkStart w:id="6" w:name="_Hlk151726760"/>
      <w:r w:rsidR="006D5741" w:rsidRPr="006D5741">
        <w:rPr>
          <w:sz w:val="20"/>
          <w:szCs w:val="20"/>
        </w:rPr>
        <w:t xml:space="preserve"> </w:t>
      </w:r>
      <w:r w:rsidR="006D5741" w:rsidRPr="00546A30">
        <w:rPr>
          <w:sz w:val="20"/>
          <w:szCs w:val="20"/>
        </w:rPr>
        <w:t>ENSO variability has been removed utilizing the partial correlation method</w:t>
      </w:r>
      <w:bookmarkEnd w:id="6"/>
    </w:p>
    <w:p w14:paraId="259BF06A" w14:textId="73F4DC4E" w:rsidR="009231F8" w:rsidRPr="00AC7385" w:rsidRDefault="009231F8" w:rsidP="004E1F13">
      <w:pPr>
        <w:pStyle w:val="a4"/>
      </w:pPr>
      <w:r>
        <w:br w:type="page"/>
      </w:r>
    </w:p>
    <w:p w14:paraId="6A62D604" w14:textId="7CD90485" w:rsidR="009231F8" w:rsidRDefault="0017581B" w:rsidP="009231F8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2C8F5EC6" wp14:editId="5B3274B3">
            <wp:extent cx="4356000" cy="6965085"/>
            <wp:effectExtent l="0" t="0" r="6985" b="7620"/>
            <wp:docPr id="1942523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236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6000" cy="69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EAA1" w14:textId="151AE920" w:rsidR="006D5741" w:rsidRDefault="006D5741" w:rsidP="006D5741">
      <w:pPr>
        <w:pStyle w:val="a4"/>
        <w:spacing w:before="163" w:after="163"/>
        <w:rPr>
          <w:sz w:val="20"/>
          <w:szCs w:val="20"/>
        </w:rPr>
      </w:pPr>
      <w:r w:rsidRPr="00F81A41">
        <w:rPr>
          <w:b/>
          <w:bCs/>
          <w:sz w:val="20"/>
          <w:szCs w:val="20"/>
        </w:rPr>
        <w:t xml:space="preserve">Fig. </w:t>
      </w:r>
      <w:r>
        <w:rPr>
          <w:b/>
          <w:bCs/>
          <w:sz w:val="20"/>
          <w:szCs w:val="20"/>
        </w:rPr>
        <w:t>S3</w:t>
      </w:r>
      <w:r w:rsidRPr="00546A30">
        <w:rPr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</w:t>
      </w:r>
      <w:r w:rsidRPr="00546A30">
        <w:rPr>
          <w:sz w:val="20"/>
          <w:szCs w:val="20"/>
        </w:rPr>
        <w:t xml:space="preserve">) Composites of 500 hPa geopotential height anomalies in </w:t>
      </w:r>
      <w:r>
        <w:rPr>
          <w:sz w:val="20"/>
          <w:szCs w:val="20"/>
        </w:rPr>
        <w:t xml:space="preserve">the </w:t>
      </w:r>
      <w:r w:rsidRPr="00546A30">
        <w:rPr>
          <w:sz w:val="20"/>
          <w:szCs w:val="20"/>
        </w:rPr>
        <w:t>north</w:t>
      </w:r>
      <w:r>
        <w:rPr>
          <w:sz w:val="20"/>
          <w:szCs w:val="20"/>
        </w:rPr>
        <w:t>ern</w:t>
      </w:r>
      <w:r w:rsidRPr="00546A30">
        <w:rPr>
          <w:sz w:val="20"/>
          <w:szCs w:val="20"/>
        </w:rPr>
        <w:t xml:space="preserve"> hemisphere for observed positive precipitation anomaly events (PPA) </w:t>
      </w:r>
      <w:r>
        <w:rPr>
          <w:sz w:val="20"/>
          <w:szCs w:val="20"/>
        </w:rPr>
        <w:t xml:space="preserve">during </w:t>
      </w:r>
      <w:r w:rsidRPr="00546A30">
        <w:rPr>
          <w:sz w:val="20"/>
          <w:szCs w:val="20"/>
        </w:rPr>
        <w:t xml:space="preserve">boreal winter (December–January–February) </w:t>
      </w:r>
      <w:r>
        <w:rPr>
          <w:sz w:val="20"/>
          <w:szCs w:val="20"/>
        </w:rPr>
        <w:t>from</w:t>
      </w:r>
      <w:r w:rsidRPr="00546A30">
        <w:rPr>
          <w:sz w:val="20"/>
          <w:szCs w:val="20"/>
        </w:rPr>
        <w:t xml:space="preserve"> 1983</w:t>
      </w:r>
      <w:r>
        <w:rPr>
          <w:sz w:val="20"/>
          <w:szCs w:val="20"/>
        </w:rPr>
        <w:t xml:space="preserve"> to </w:t>
      </w:r>
      <w:r w:rsidRPr="00546A30">
        <w:rPr>
          <w:sz w:val="20"/>
          <w:szCs w:val="20"/>
        </w:rPr>
        <w:t>2021. (</w:t>
      </w:r>
      <w:r w:rsidRPr="00546A30">
        <w:rPr>
          <w:b/>
          <w:bCs/>
          <w:sz w:val="20"/>
          <w:szCs w:val="20"/>
        </w:rPr>
        <w:t>b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 w:rsidRPr="00546A30">
        <w:rPr>
          <w:sz w:val="20"/>
          <w:szCs w:val="20"/>
        </w:rPr>
        <w:t>is the same as</w:t>
      </w:r>
      <w:r w:rsidRPr="00546A30">
        <w:rPr>
          <w:color w:val="000000" w:themeColor="text1"/>
          <w:sz w:val="20"/>
          <w:szCs w:val="20"/>
        </w:rPr>
        <w:t xml:space="preserve"> (</w:t>
      </w:r>
      <w:r w:rsidRPr="00546A30">
        <w:rPr>
          <w:b/>
          <w:bCs/>
          <w:color w:val="000000" w:themeColor="text1"/>
          <w:sz w:val="20"/>
          <w:szCs w:val="20"/>
        </w:rPr>
        <w:t>a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, but for observed </w:t>
      </w:r>
      <w:r w:rsidRPr="00546A30">
        <w:rPr>
          <w:sz w:val="20"/>
          <w:szCs w:val="20"/>
        </w:rPr>
        <w:t>negative precipitation anomaly events (NPA).</w:t>
      </w:r>
      <w:r w:rsidRPr="00546A30">
        <w:rPr>
          <w:b/>
          <w:bCs/>
          <w:sz w:val="20"/>
          <w:szCs w:val="20"/>
        </w:rPr>
        <w:t xml:space="preserve"> </w:t>
      </w:r>
      <w:r w:rsidRPr="00546A30">
        <w:rPr>
          <w:sz w:val="20"/>
          <w:szCs w:val="20"/>
        </w:rPr>
        <w:t>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the same as</w:t>
      </w:r>
      <w:r w:rsidRPr="00546A30">
        <w:rPr>
          <w:color w:val="000000" w:themeColor="text1"/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a–b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 but for </w:t>
      </w:r>
      <w:r w:rsidRPr="00546A30">
        <w:rPr>
          <w:sz w:val="20"/>
          <w:szCs w:val="20"/>
        </w:rPr>
        <w:t>prediction</w:t>
      </w:r>
      <w:r>
        <w:rPr>
          <w:sz w:val="20"/>
          <w:szCs w:val="20"/>
        </w:rPr>
        <w:t>s</w:t>
      </w:r>
      <w:r w:rsidRPr="00546A30">
        <w:rPr>
          <w:sz w:val="20"/>
          <w:szCs w:val="20"/>
        </w:rPr>
        <w:t xml:space="preserve"> with a lead time of 0 month. (</w:t>
      </w:r>
      <w:r w:rsidRPr="00546A30">
        <w:rPr>
          <w:b/>
          <w:bCs/>
          <w:sz w:val="20"/>
          <w:szCs w:val="20"/>
        </w:rPr>
        <w:t>e–f</w:t>
      </w:r>
      <w:r w:rsidRPr="00546A30">
        <w:rPr>
          <w:sz w:val="20"/>
          <w:szCs w:val="20"/>
        </w:rPr>
        <w:t>)</w:t>
      </w:r>
      <w:r w:rsidRPr="00546A30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the same as</w:t>
      </w:r>
      <w:r w:rsidRPr="00546A30">
        <w:rPr>
          <w:color w:val="000000" w:themeColor="text1"/>
          <w:sz w:val="20"/>
          <w:szCs w:val="20"/>
        </w:rPr>
        <w:t xml:space="preserve"> </w:t>
      </w:r>
      <w:r w:rsidRPr="00546A30">
        <w:rPr>
          <w:sz w:val="20"/>
          <w:szCs w:val="20"/>
        </w:rPr>
        <w:t>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</w:t>
      </w:r>
      <w:r w:rsidRPr="00546A30">
        <w:rPr>
          <w:color w:val="000000" w:themeColor="text1"/>
          <w:sz w:val="20"/>
          <w:szCs w:val="20"/>
        </w:rPr>
        <w:t xml:space="preserve"> but for</w:t>
      </w:r>
      <w:r w:rsidRPr="00546A30">
        <w:rPr>
          <w:sz w:val="20"/>
          <w:szCs w:val="20"/>
        </w:rPr>
        <w:t xml:space="preserve"> prediction</w:t>
      </w:r>
      <w:r>
        <w:rPr>
          <w:sz w:val="20"/>
          <w:szCs w:val="20"/>
        </w:rPr>
        <w:t>s</w:t>
      </w:r>
      <w:r w:rsidRPr="00546A30">
        <w:rPr>
          <w:sz w:val="20"/>
          <w:szCs w:val="20"/>
        </w:rPr>
        <w:t xml:space="preserve"> with a lead time of 3 months. The dashed red line corresponds to the area with statistical significance at the 95% confidence level, using a student-</w:t>
      </w:r>
      <w:r w:rsidRPr="00546A30">
        <w:rPr>
          <w:i/>
          <w:iCs/>
          <w:sz w:val="20"/>
          <w:szCs w:val="20"/>
        </w:rPr>
        <w:t>t</w:t>
      </w:r>
      <w:r w:rsidRPr="00546A30">
        <w:rPr>
          <w:sz w:val="20"/>
          <w:szCs w:val="20"/>
        </w:rPr>
        <w:t xml:space="preserve"> test. PPA (NPA) is defined as the years when the regional average precipitation anomalies in South China (107°–123°E, 22°–32°N) </w:t>
      </w:r>
      <w:r>
        <w:rPr>
          <w:sz w:val="20"/>
          <w:szCs w:val="20"/>
        </w:rPr>
        <w:t>are</w:t>
      </w:r>
      <w:r w:rsidRPr="00546A30">
        <w:rPr>
          <w:sz w:val="20"/>
          <w:szCs w:val="20"/>
        </w:rPr>
        <w:t xml:space="preserve"> higher (lower) </w:t>
      </w:r>
      <w:r w:rsidRPr="00546A30">
        <w:rPr>
          <w:sz w:val="20"/>
          <w:szCs w:val="20"/>
        </w:rPr>
        <w:lastRenderedPageBreak/>
        <w:t xml:space="preserve">than +(−)1 standard deviation. PCC and </w:t>
      </w:r>
      <w:r>
        <w:rPr>
          <w:sz w:val="20"/>
          <w:szCs w:val="20"/>
        </w:rPr>
        <w:t xml:space="preserve">the </w:t>
      </w:r>
      <w:r w:rsidRPr="00546A30">
        <w:rPr>
          <w:sz w:val="20"/>
          <w:szCs w:val="20"/>
        </w:rPr>
        <w:t xml:space="preserve">2-norm value </w:t>
      </w:r>
      <w:r>
        <w:rPr>
          <w:sz w:val="20"/>
          <w:szCs w:val="20"/>
        </w:rPr>
        <w:t xml:space="preserve">are used to </w:t>
      </w:r>
      <w:r w:rsidRPr="00546A30">
        <w:rPr>
          <w:sz w:val="20"/>
          <w:szCs w:val="20"/>
        </w:rPr>
        <w:t>measure the spatial similarity and distance, respectively, of</w:t>
      </w:r>
      <w:r>
        <w:rPr>
          <w:sz w:val="20"/>
          <w:szCs w:val="20"/>
        </w:rPr>
        <w:t xml:space="preserve"> </w:t>
      </w:r>
      <w:r w:rsidRPr="00546A30">
        <w:rPr>
          <w:sz w:val="20"/>
          <w:szCs w:val="20"/>
        </w:rPr>
        <w:t>mid-to-high latitude circulation in the Northern Hemisphere between predicted and observed precipitation anomaly events, shown in upper right corner of (</w:t>
      </w:r>
      <w:r w:rsidRPr="00546A30">
        <w:rPr>
          <w:b/>
          <w:bCs/>
          <w:sz w:val="20"/>
          <w:szCs w:val="20"/>
        </w:rPr>
        <w:t>c–d</w:t>
      </w:r>
      <w:r w:rsidRPr="00546A30">
        <w:rPr>
          <w:sz w:val="20"/>
          <w:szCs w:val="20"/>
        </w:rPr>
        <w:t>). Observations are from the ECMWF Fifth-generation Reanalysis (ERA5), and predictions are from the Climate Forecast System version 2 (CFSv2)</w:t>
      </w:r>
      <w:r>
        <w:rPr>
          <w:sz w:val="20"/>
          <w:szCs w:val="20"/>
        </w:rPr>
        <w:t>.</w:t>
      </w:r>
      <w:r w:rsidRPr="006D5741">
        <w:rPr>
          <w:sz w:val="20"/>
          <w:szCs w:val="20"/>
        </w:rPr>
        <w:t xml:space="preserve"> </w:t>
      </w:r>
      <w:r>
        <w:rPr>
          <w:sz w:val="20"/>
          <w:szCs w:val="20"/>
        </w:rPr>
        <w:t>Chukchi</w:t>
      </w:r>
      <w:r w:rsidRPr="00546A30">
        <w:rPr>
          <w:sz w:val="20"/>
          <w:szCs w:val="20"/>
        </w:rPr>
        <w:t xml:space="preserve"> Sea ice variability has been removed utilizing the partial correlation method</w:t>
      </w:r>
    </w:p>
    <w:p w14:paraId="6CB94A8A" w14:textId="3CA3D83A" w:rsidR="009231F8" w:rsidRPr="009231F8" w:rsidRDefault="009231F8" w:rsidP="009231F8">
      <w:pPr>
        <w:pStyle w:val="a4"/>
        <w:spacing w:before="156" w:after="156"/>
      </w:pPr>
      <w:r>
        <w:br w:type="page"/>
      </w:r>
    </w:p>
    <w:p w14:paraId="1B6D9056" w14:textId="77777777" w:rsidR="009231F8" w:rsidRDefault="009231F8" w:rsidP="009231F8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02B0C770" wp14:editId="52DFC477">
            <wp:extent cx="5040000" cy="5425919"/>
            <wp:effectExtent l="0" t="0" r="8255" b="3810"/>
            <wp:docPr id="341347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47647" name="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42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1718C" w14:textId="6CB8563E" w:rsidR="006D5741" w:rsidRPr="006D5741" w:rsidRDefault="006D5741" w:rsidP="006D5741">
      <w:pPr>
        <w:pStyle w:val="a4"/>
        <w:spacing w:before="163" w:after="163"/>
        <w:rPr>
          <w:sz w:val="20"/>
          <w:szCs w:val="20"/>
        </w:rPr>
      </w:pPr>
      <w:r w:rsidRPr="00074194">
        <w:rPr>
          <w:b/>
          <w:bCs/>
          <w:sz w:val="20"/>
          <w:szCs w:val="20"/>
        </w:rPr>
        <w:t xml:space="preserve">Fig. </w:t>
      </w:r>
      <w:r>
        <w:rPr>
          <w:b/>
          <w:bCs/>
          <w:sz w:val="20"/>
          <w:szCs w:val="20"/>
        </w:rPr>
        <w:t>S4</w:t>
      </w:r>
      <w:r w:rsidRPr="00546A30">
        <w:rPr>
          <w:sz w:val="20"/>
          <w:szCs w:val="20"/>
        </w:rPr>
        <w:t xml:space="preserve"> (</w:t>
      </w:r>
      <w:r w:rsidRPr="00546A30">
        <w:rPr>
          <w:b/>
          <w:bCs/>
          <w:sz w:val="20"/>
          <w:szCs w:val="20"/>
        </w:rPr>
        <w:t>a</w:t>
      </w:r>
      <w:r w:rsidRPr="00546A30">
        <w:rPr>
          <w:sz w:val="20"/>
          <w:szCs w:val="20"/>
        </w:rPr>
        <w:t>)</w:t>
      </w:r>
      <w:r w:rsidRPr="006D5741">
        <w:rPr>
          <w:sz w:val="20"/>
          <w:szCs w:val="20"/>
        </w:rPr>
        <w:t xml:space="preserve"> Composites of the 850 hPa horizontal wind (vectors), 700 hPa vertical velocity (colored dots), and precipitation (shaded) anomalies for mega-La Niña events during boreal winter (December–January–February) from 1983 to 2021. (</w:t>
      </w:r>
      <w:r w:rsidRPr="006D5741">
        <w:rPr>
          <w:b/>
          <w:bCs/>
          <w:sz w:val="20"/>
          <w:szCs w:val="20"/>
        </w:rPr>
        <w:t>b</w:t>
      </w:r>
      <w:r w:rsidRPr="006D5741">
        <w:rPr>
          <w:sz w:val="20"/>
          <w:szCs w:val="20"/>
        </w:rPr>
        <w:t>)</w:t>
      </w:r>
      <w:r w:rsidRPr="006D5741">
        <w:rPr>
          <w:b/>
          <w:bCs/>
          <w:sz w:val="20"/>
          <w:szCs w:val="20"/>
        </w:rPr>
        <w:t xml:space="preserve"> </w:t>
      </w:r>
      <w:r w:rsidRPr="006D5741">
        <w:rPr>
          <w:color w:val="000000" w:themeColor="text1"/>
          <w:sz w:val="20"/>
          <w:szCs w:val="20"/>
        </w:rPr>
        <w:t>is the same as (</w:t>
      </w:r>
      <w:r w:rsidRPr="006D5741">
        <w:rPr>
          <w:b/>
          <w:bCs/>
          <w:color w:val="000000" w:themeColor="text1"/>
          <w:sz w:val="20"/>
          <w:szCs w:val="20"/>
        </w:rPr>
        <w:t>a</w:t>
      </w:r>
      <w:r w:rsidRPr="006D5741">
        <w:rPr>
          <w:sz w:val="20"/>
          <w:szCs w:val="20"/>
        </w:rPr>
        <w:t>)</w:t>
      </w:r>
      <w:r w:rsidRPr="006D5741">
        <w:rPr>
          <w:color w:val="000000" w:themeColor="text1"/>
          <w:sz w:val="20"/>
          <w:szCs w:val="20"/>
        </w:rPr>
        <w:t xml:space="preserve">, but for </w:t>
      </w:r>
      <w:proofErr w:type="spellStart"/>
      <w:r w:rsidRPr="006D5741">
        <w:rPr>
          <w:sz w:val="20"/>
          <w:szCs w:val="20"/>
        </w:rPr>
        <w:t>Equa</w:t>
      </w:r>
      <w:proofErr w:type="spellEnd"/>
      <w:r w:rsidRPr="006D5741">
        <w:rPr>
          <w:sz w:val="20"/>
          <w:szCs w:val="20"/>
        </w:rPr>
        <w:t>. La Niña events.</w:t>
      </w:r>
      <w:r w:rsidRPr="006D5741">
        <w:rPr>
          <w:b/>
          <w:bCs/>
          <w:sz w:val="20"/>
          <w:szCs w:val="20"/>
        </w:rPr>
        <w:t xml:space="preserve"> (c–d</w:t>
      </w:r>
      <w:r w:rsidRPr="006D5741">
        <w:rPr>
          <w:sz w:val="20"/>
          <w:szCs w:val="20"/>
        </w:rPr>
        <w:t>) are the same as</w:t>
      </w:r>
      <w:r w:rsidRPr="006D5741">
        <w:rPr>
          <w:color w:val="000000" w:themeColor="text1"/>
          <w:sz w:val="20"/>
          <w:szCs w:val="20"/>
        </w:rPr>
        <w:t xml:space="preserve"> (</w:t>
      </w:r>
      <w:r w:rsidRPr="006D5741">
        <w:rPr>
          <w:b/>
          <w:bCs/>
          <w:sz w:val="20"/>
          <w:szCs w:val="20"/>
        </w:rPr>
        <w:t>a–b</w:t>
      </w:r>
      <w:r w:rsidRPr="006D5741">
        <w:rPr>
          <w:sz w:val="20"/>
          <w:szCs w:val="20"/>
        </w:rPr>
        <w:t>)</w:t>
      </w:r>
      <w:r w:rsidRPr="006D5741">
        <w:rPr>
          <w:color w:val="000000" w:themeColor="text1"/>
          <w:sz w:val="20"/>
          <w:szCs w:val="20"/>
        </w:rPr>
        <w:t>, but for</w:t>
      </w:r>
      <w:r w:rsidRPr="006D5741">
        <w:rPr>
          <w:sz w:val="20"/>
          <w:szCs w:val="20"/>
        </w:rPr>
        <w:t xml:space="preserve"> predictions with a lead time of 0 months. (</w:t>
      </w:r>
      <w:r w:rsidRPr="006D5741">
        <w:rPr>
          <w:b/>
          <w:bCs/>
          <w:sz w:val="20"/>
          <w:szCs w:val="20"/>
        </w:rPr>
        <w:t>e–f</w:t>
      </w:r>
      <w:r w:rsidRPr="006D5741">
        <w:rPr>
          <w:sz w:val="20"/>
          <w:szCs w:val="20"/>
        </w:rPr>
        <w:t>) are the same as</w:t>
      </w:r>
      <w:r w:rsidRPr="006D5741">
        <w:rPr>
          <w:color w:val="000000" w:themeColor="text1"/>
          <w:sz w:val="20"/>
          <w:szCs w:val="20"/>
        </w:rPr>
        <w:t xml:space="preserve"> (</w:t>
      </w:r>
      <w:r w:rsidRPr="006D5741">
        <w:rPr>
          <w:b/>
          <w:bCs/>
          <w:sz w:val="20"/>
          <w:szCs w:val="20"/>
        </w:rPr>
        <w:t>a–b</w:t>
      </w:r>
      <w:r w:rsidRPr="006D5741">
        <w:rPr>
          <w:sz w:val="20"/>
          <w:szCs w:val="20"/>
        </w:rPr>
        <w:t>)</w:t>
      </w:r>
      <w:r w:rsidRPr="006D5741">
        <w:rPr>
          <w:color w:val="000000" w:themeColor="text1"/>
          <w:sz w:val="20"/>
          <w:szCs w:val="20"/>
        </w:rPr>
        <w:t xml:space="preserve">, but for </w:t>
      </w:r>
      <w:r w:rsidRPr="006D5741">
        <w:rPr>
          <w:sz w:val="20"/>
          <w:szCs w:val="20"/>
        </w:rPr>
        <w:t xml:space="preserve">predictions with a lead time of 3 months. The specific definitions for mega-La Niña and </w:t>
      </w:r>
      <w:proofErr w:type="spellStart"/>
      <w:r w:rsidRPr="006D5741">
        <w:rPr>
          <w:sz w:val="20"/>
          <w:szCs w:val="20"/>
        </w:rPr>
        <w:t>Equa</w:t>
      </w:r>
      <w:proofErr w:type="spellEnd"/>
      <w:r w:rsidRPr="006D5741">
        <w:rPr>
          <w:sz w:val="20"/>
          <w:szCs w:val="20"/>
        </w:rPr>
        <w:t>. La Niña can be found in Wang et al.'s 201</w:t>
      </w:r>
      <w:r>
        <w:rPr>
          <w:sz w:val="20"/>
          <w:szCs w:val="20"/>
        </w:rPr>
        <w:t>3</w:t>
      </w:r>
      <w:r w:rsidRPr="006D5741">
        <w:rPr>
          <w:sz w:val="20"/>
          <w:szCs w:val="20"/>
        </w:rPr>
        <w:t xml:space="preserve"> publication. The numerical annotations in the upper right corner of each subfigure represent the regional average values of precipitation anomalies over South China (107°–123°E, 22°–32°N). Observations are from the ECMWF Fifth-generation Reanalysis (ERA5), and predictions are from the Climate Forecast System version 2 (CFSv2)</w:t>
      </w:r>
    </w:p>
    <w:p w14:paraId="22066631" w14:textId="7D51B2F4" w:rsidR="00182EAB" w:rsidRDefault="00182EAB" w:rsidP="009231F8">
      <w:pPr>
        <w:pStyle w:val="a4"/>
      </w:pPr>
    </w:p>
    <w:sectPr w:rsidR="00182EAB" w:rsidSect="00A161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E3E82" w14:textId="77777777" w:rsidR="00844F8E" w:rsidRDefault="00844F8E" w:rsidP="005E34FA">
      <w:pPr>
        <w:spacing w:line="240" w:lineRule="auto"/>
        <w:ind w:firstLine="480"/>
      </w:pPr>
      <w:r>
        <w:separator/>
      </w:r>
    </w:p>
  </w:endnote>
  <w:endnote w:type="continuationSeparator" w:id="0">
    <w:p w14:paraId="54672F1E" w14:textId="77777777" w:rsidR="00844F8E" w:rsidRDefault="00844F8E" w:rsidP="005E34F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3682" w14:textId="77777777" w:rsidR="009231F8" w:rsidRDefault="009231F8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722026064"/>
      <w:docPartObj>
        <w:docPartGallery w:val="Page Numbers (Bottom of Page)"/>
        <w:docPartUnique/>
      </w:docPartObj>
    </w:sdtPr>
    <w:sdtContent>
      <w:p w14:paraId="7900216A" w14:textId="743F1697" w:rsidR="004D6A90" w:rsidRPr="004D6A90" w:rsidRDefault="004D6A90">
        <w:pPr>
          <w:pStyle w:val="a7"/>
          <w:ind w:firstLine="480"/>
          <w:jc w:val="center"/>
          <w:rPr>
            <w:rFonts w:ascii="Times New Roman" w:hAnsi="Times New Roman"/>
          </w:rPr>
        </w:pPr>
        <w:r w:rsidRPr="004D6A90">
          <w:rPr>
            <w:rFonts w:ascii="Times New Roman" w:hAnsi="Times New Roman"/>
          </w:rPr>
          <w:fldChar w:fldCharType="begin"/>
        </w:r>
        <w:r w:rsidRPr="004D6A90">
          <w:rPr>
            <w:rFonts w:ascii="Times New Roman" w:hAnsi="Times New Roman"/>
          </w:rPr>
          <w:instrText>PAGE   \* MERGEFORMAT</w:instrText>
        </w:r>
        <w:r w:rsidRPr="004D6A90">
          <w:rPr>
            <w:rFonts w:ascii="Times New Roman" w:hAnsi="Times New Roman"/>
          </w:rPr>
          <w:fldChar w:fldCharType="separate"/>
        </w:r>
        <w:r w:rsidRPr="004D6A90">
          <w:rPr>
            <w:rFonts w:ascii="Times New Roman" w:hAnsi="Times New Roman"/>
            <w:lang w:val="zh-CN"/>
          </w:rPr>
          <w:t>2</w:t>
        </w:r>
        <w:r w:rsidRPr="004D6A90">
          <w:rPr>
            <w:rFonts w:ascii="Times New Roman" w:hAnsi="Times New Roman"/>
          </w:rPr>
          <w:fldChar w:fldCharType="end"/>
        </w:r>
      </w:p>
    </w:sdtContent>
  </w:sdt>
  <w:p w14:paraId="75AB2E8F" w14:textId="77777777" w:rsidR="009231F8" w:rsidRPr="004D6A90" w:rsidRDefault="009231F8">
    <w:pPr>
      <w:ind w:firstLine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8E8F6" w14:textId="77777777" w:rsidR="009231F8" w:rsidRDefault="009231F8">
    <w:pPr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E0EF" w14:textId="77777777" w:rsidR="00844F8E" w:rsidRDefault="00844F8E" w:rsidP="005E34FA">
      <w:pPr>
        <w:spacing w:line="240" w:lineRule="auto"/>
        <w:ind w:firstLine="480"/>
      </w:pPr>
      <w:r>
        <w:separator/>
      </w:r>
    </w:p>
  </w:footnote>
  <w:footnote w:type="continuationSeparator" w:id="0">
    <w:p w14:paraId="26B384C4" w14:textId="77777777" w:rsidR="00844F8E" w:rsidRDefault="00844F8E" w:rsidP="005E34F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7C425" w14:textId="77777777" w:rsidR="009231F8" w:rsidRDefault="009231F8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32E6" w14:textId="77777777" w:rsidR="009231F8" w:rsidRDefault="009231F8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AF6F" w14:textId="77777777" w:rsidR="009231F8" w:rsidRDefault="009231F8">
    <w:pPr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F5"/>
    <w:rsid w:val="00034BF7"/>
    <w:rsid w:val="000A6D26"/>
    <w:rsid w:val="000B4D8D"/>
    <w:rsid w:val="00133121"/>
    <w:rsid w:val="0017581B"/>
    <w:rsid w:val="00182EAB"/>
    <w:rsid w:val="001F06A0"/>
    <w:rsid w:val="002B0F3B"/>
    <w:rsid w:val="003808EA"/>
    <w:rsid w:val="003C1261"/>
    <w:rsid w:val="004371D5"/>
    <w:rsid w:val="004D6A90"/>
    <w:rsid w:val="004E1F13"/>
    <w:rsid w:val="005B1B29"/>
    <w:rsid w:val="005E34FA"/>
    <w:rsid w:val="00600B51"/>
    <w:rsid w:val="00602124"/>
    <w:rsid w:val="006D5741"/>
    <w:rsid w:val="006F4C4B"/>
    <w:rsid w:val="008108D1"/>
    <w:rsid w:val="008123E5"/>
    <w:rsid w:val="008358C9"/>
    <w:rsid w:val="00844F8E"/>
    <w:rsid w:val="008503DB"/>
    <w:rsid w:val="008A1AA3"/>
    <w:rsid w:val="008A78F5"/>
    <w:rsid w:val="009231F8"/>
    <w:rsid w:val="00925CC0"/>
    <w:rsid w:val="00950BE0"/>
    <w:rsid w:val="00A161C7"/>
    <w:rsid w:val="00B93C25"/>
    <w:rsid w:val="00C81FF6"/>
    <w:rsid w:val="00EA41E2"/>
    <w:rsid w:val="00F0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A2594"/>
  <w14:defaultImageDpi w14:val="32767"/>
  <w15:chartTrackingRefBased/>
  <w15:docId w15:val="{0C9B2AFE-20E4-4015-BF97-426C1C7C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1C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34FA"/>
    <w:pPr>
      <w:keepNext/>
      <w:keepLines/>
      <w:spacing w:before="120" w:line="240" w:lineRule="auto"/>
      <w:ind w:firstLineChars="0" w:firstLine="0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级"/>
    <w:basedOn w:val="a3"/>
    <w:rsid w:val="009231F8"/>
    <w:pPr>
      <w:spacing w:beforeLines="50" w:before="50" w:afterLines="50" w:after="50"/>
      <w:ind w:firstLineChars="0" w:firstLine="0"/>
      <w:outlineLvl w:val="0"/>
    </w:pPr>
    <w:rPr>
      <w:rFonts w:eastAsia="黑体"/>
      <w:sz w:val="32"/>
    </w:rPr>
  </w:style>
  <w:style w:type="paragraph" w:styleId="a3">
    <w:name w:val="List Paragraph"/>
    <w:basedOn w:val="a"/>
    <w:uiPriority w:val="34"/>
    <w:qFormat/>
    <w:rsid w:val="009231F8"/>
    <w:pPr>
      <w:ind w:firstLine="420"/>
    </w:pPr>
  </w:style>
  <w:style w:type="paragraph" w:customStyle="1" w:styleId="2">
    <w:name w:val="2级"/>
    <w:basedOn w:val="a"/>
    <w:link w:val="20"/>
    <w:rsid w:val="009231F8"/>
    <w:pPr>
      <w:spacing w:beforeLines="50" w:before="163" w:afterLines="50" w:after="163"/>
      <w:jc w:val="left"/>
      <w:outlineLvl w:val="1"/>
    </w:pPr>
    <w:rPr>
      <w:rFonts w:eastAsia="黑体"/>
      <w:noProof/>
      <w:sz w:val="28"/>
    </w:rPr>
  </w:style>
  <w:style w:type="character" w:customStyle="1" w:styleId="20">
    <w:name w:val="2级 字符"/>
    <w:link w:val="2"/>
    <w:rsid w:val="009231F8"/>
    <w:rPr>
      <w:rFonts w:ascii="Times New Roman" w:eastAsia="黑体" w:hAnsi="Times New Roman" w:cs="Times New Roman"/>
      <w:noProof/>
      <w:sz w:val="28"/>
      <w:szCs w:val="24"/>
    </w:rPr>
  </w:style>
  <w:style w:type="paragraph" w:customStyle="1" w:styleId="3">
    <w:name w:val="3级"/>
    <w:basedOn w:val="a3"/>
    <w:link w:val="30"/>
    <w:rsid w:val="009231F8"/>
    <w:pPr>
      <w:spacing w:beforeLines="50" w:before="50" w:afterLines="50" w:after="50"/>
      <w:ind w:firstLineChars="0" w:firstLine="0"/>
      <w:jc w:val="left"/>
      <w:outlineLvl w:val="2"/>
    </w:pPr>
    <w:rPr>
      <w:rFonts w:eastAsia="黑体"/>
      <w:sz w:val="28"/>
    </w:rPr>
  </w:style>
  <w:style w:type="character" w:customStyle="1" w:styleId="30">
    <w:name w:val="3级 字符"/>
    <w:link w:val="3"/>
    <w:rsid w:val="009231F8"/>
    <w:rPr>
      <w:rFonts w:ascii="Times New Roman" w:eastAsia="黑体" w:hAnsi="Times New Roman" w:cs="Times New Roman"/>
      <w:sz w:val="28"/>
      <w:szCs w:val="24"/>
    </w:rPr>
  </w:style>
  <w:style w:type="paragraph" w:customStyle="1" w:styleId="a4">
    <w:name w:val="图释"/>
    <w:basedOn w:val="a"/>
    <w:qFormat/>
    <w:rsid w:val="009231F8"/>
    <w:pPr>
      <w:spacing w:after="120" w:line="240" w:lineRule="auto"/>
      <w:ind w:firstLineChars="0" w:firstLine="0"/>
    </w:pPr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5E34FA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styleId="a5">
    <w:name w:val="Hyperlink"/>
    <w:basedOn w:val="a0"/>
    <w:uiPriority w:val="99"/>
    <w:unhideWhenUsed/>
    <w:rsid w:val="00F0213F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8358C9"/>
  </w:style>
  <w:style w:type="paragraph" w:styleId="a7">
    <w:name w:val="footer"/>
    <w:basedOn w:val="a"/>
    <w:link w:val="a8"/>
    <w:uiPriority w:val="99"/>
    <w:unhideWhenUsed/>
    <w:rsid w:val="004D6A90"/>
    <w:pPr>
      <w:widowControl/>
      <w:tabs>
        <w:tab w:val="center" w:pos="4680"/>
        <w:tab w:val="right" w:pos="9360"/>
      </w:tabs>
      <w:spacing w:line="240" w:lineRule="auto"/>
      <w:ind w:firstLineChars="0" w:firstLine="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a8">
    <w:name w:val="页脚 字符"/>
    <w:basedOn w:val="a0"/>
    <w:link w:val="a7"/>
    <w:uiPriority w:val="99"/>
    <w:rsid w:val="004D6A90"/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zl@ouc.edu.cn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ljp@ouc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世昕 真</dc:creator>
  <cp:keywords/>
  <dc:description/>
  <cp:lastModifiedBy>世昕 真</cp:lastModifiedBy>
  <cp:revision>16</cp:revision>
  <dcterms:created xsi:type="dcterms:W3CDTF">2023-11-19T13:50:00Z</dcterms:created>
  <dcterms:modified xsi:type="dcterms:W3CDTF">2023-12-03T14:35:00Z</dcterms:modified>
</cp:coreProperties>
</file>