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imes New Roman" w:hAnsi="Times New Roman"/>
          <w:sz w:val="24"/>
          <w:szCs w:val="24"/>
        </w:rPr>
      </w:pPr>
      <w:r>
        <w:rPr>
          <w:rFonts w:hint="eastAsia" w:ascii="Times New Roman" w:hAnsi="Times New Roman"/>
          <w:b/>
          <w:bCs/>
          <w:sz w:val="24"/>
          <w:szCs w:val="24"/>
        </w:rPr>
        <w:t>S</w:t>
      </w:r>
      <w:r>
        <w:rPr>
          <w:rFonts w:ascii="Times New Roman" w:hAnsi="Times New Roman"/>
          <w:b/>
          <w:bCs/>
          <w:sz w:val="24"/>
          <w:szCs w:val="24"/>
        </w:rPr>
        <w:t>upplementary</w:t>
      </w:r>
      <w:r>
        <w:rPr>
          <w:rFonts w:hint="eastAsia" w:ascii="Times New Roman" w:hAnsi="Times New Roman"/>
          <w:b/>
          <w:bCs/>
          <w:sz w:val="24"/>
          <w:szCs w:val="24"/>
          <w:lang w:val="en-US" w:eastAsia="zh-CN"/>
        </w:rPr>
        <w:t xml:space="preserve"> </w:t>
      </w:r>
      <w:r>
        <w:rPr>
          <w:rFonts w:ascii="Times New Roman" w:hAnsi="Times New Roman"/>
          <w:b/>
          <w:bCs/>
          <w:sz w:val="24"/>
          <w:szCs w:val="24"/>
        </w:rPr>
        <w:t>Table 1</w:t>
      </w:r>
      <w:r>
        <w:rPr>
          <w:rFonts w:ascii="Times New Roman" w:hAnsi="Times New Roman"/>
          <w:sz w:val="24"/>
          <w:szCs w:val="24"/>
        </w:rPr>
        <w:t xml:space="preserve"> Baseline characteristics of BC patients</w:t>
      </w:r>
    </w:p>
    <w:tbl>
      <w:tblPr>
        <w:tblStyle w:val="4"/>
        <w:tblW w:w="6191" w:type="dxa"/>
        <w:tblInd w:w="0"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34"/>
        <w:gridCol w:w="1957"/>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single" w:color="auto" w:sz="6" w:space="0"/>
              <w:bottom w:val="single" w:color="auto" w:sz="12" w:space="0"/>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Variables</w:t>
            </w:r>
          </w:p>
        </w:tc>
        <w:tc>
          <w:tcPr>
            <w:tcW w:w="1957" w:type="dxa"/>
            <w:tcBorders>
              <w:top w:val="single" w:color="auto" w:sz="6" w:space="0"/>
              <w:bottom w:val="single" w:color="auto" w:sz="12" w:space="0"/>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Total (n = 1390)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single" w:color="auto" w:sz="12" w:space="0"/>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Follow-up Time, Median (Q1, Q3)</w:t>
            </w:r>
          </w:p>
        </w:tc>
        <w:tc>
          <w:tcPr>
            <w:tcW w:w="1957" w:type="dxa"/>
            <w:tcBorders>
              <w:top w:val="single" w:color="auto" w:sz="12" w:space="0"/>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34 (19.25, 53)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Age, Median (Q1, Q3)</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49 (44, 56)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BMI, Median (Q1, Q3)</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23.11 (21.23, 25.24)</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Noninvasive BC,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1201 (86)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189 (14)</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 stage,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T1</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520 (37)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T2</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733 (53)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T3</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103 (7)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T4</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3 (0)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Tis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10 (1)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T0</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 (0)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Tx</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17 (1)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 stage,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Nx</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 (0)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N0</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810 (58)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bookmarkStart w:id="0" w:name="_RSLoc_0"/>
            <w:bookmarkEnd w:id="0"/>
            <w:bookmarkStart w:id="1" w:name="_RSLoc_2"/>
            <w:bookmarkStart w:id="2" w:name="_RSLoc_1"/>
            <w:r>
              <w:rPr>
                <w:rFonts w:ascii="Times New Roman" w:hAnsi="Times New Roman"/>
                <w:kern w:val="0"/>
                <w:sz w:val="24"/>
                <w:szCs w:val="24"/>
                <w:lang w:bidi="ar"/>
              </w:rPr>
              <w:t>N1</w:t>
            </w:r>
            <w:bookmarkEnd w:id="1"/>
            <w:bookmarkEnd w:id="2"/>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318 (23)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N2</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147 (11)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N3</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113 (8)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M stage,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Mx</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 (0)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M0</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1373 (99)</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M1</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13 (1)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Axillary lymph node dissection (ALND),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1093 (79)</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297 (21)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Wound dehiscence, infection or nonhealing,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1361 (98)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29 (2)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Chemotherapy,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1137 (82)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253 (18)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Radiation therapy,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218 (16)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1172 (84)</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bottom"/>
          </w:tcPr>
          <w:p>
            <w:pPr>
              <w:widowControl/>
              <w:spacing w:line="276" w:lineRule="auto"/>
              <w:jc w:val="left"/>
              <w:textAlignment w:val="bottom"/>
              <w:rPr>
                <w:rFonts w:ascii="Times New Roman" w:hAnsi="Times New Roman"/>
                <w:kern w:val="0"/>
                <w:sz w:val="24"/>
                <w:szCs w:val="24"/>
                <w:lang w:bidi="ar"/>
              </w:rPr>
            </w:pPr>
            <w:r>
              <w:rPr>
                <w:rFonts w:ascii="Times New Roman" w:hAnsi="Times New Roman"/>
                <w:sz w:val="24"/>
                <w:szCs w:val="24"/>
                <w:shd w:val="clear" w:color="auto" w:fill="FFFFFF"/>
              </w:rPr>
              <w:t>E</w:t>
            </w:r>
            <w:r>
              <w:rPr>
                <w:rFonts w:ascii="Times New Roman" w:hAnsi="Times New Roman" w:eastAsia="Segoe UI"/>
                <w:sz w:val="24"/>
                <w:szCs w:val="24"/>
                <w:shd w:val="clear" w:color="auto" w:fill="FFFFFF"/>
              </w:rPr>
              <w:t>ndocrine therapy</w:t>
            </w:r>
            <w:r>
              <w:rPr>
                <w:rFonts w:ascii="Times New Roman" w:hAnsi="Times New Roman"/>
                <w:kern w:val="0"/>
                <w:sz w:val="24"/>
                <w:szCs w:val="24"/>
                <w:lang w:bidi="ar"/>
              </w:rPr>
              <w:t>,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533 (38)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857 (62)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Targeted therapy,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165 (12)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1225 (88)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Preoperative light diet,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767 (55)</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623 (45)</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Wound drain placement,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1350 (97)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40 (3)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Ports,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700 (50)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690 (50)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PICCs,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1074 (77)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316 (23)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Functional exercise of affected limb,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Everyday</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422 (30)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Occasionally</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943 (68)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Never</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25 (2)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Postoperative sex life,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476 (34)</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914 (66)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Pain of the disease,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595 (43)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795 (57)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Hairpiece (wig),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1058 (76)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332 (24)</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bookmarkStart w:id="3" w:name="_Hlk150178062"/>
            <w:r>
              <w:rPr>
                <w:rFonts w:ascii="Times New Roman" w:hAnsi="Times New Roman"/>
                <w:kern w:val="0"/>
                <w:sz w:val="24"/>
                <w:szCs w:val="24"/>
                <w:lang w:bidi="ar"/>
              </w:rPr>
              <w:t>Prosthetic breast</w:t>
            </w:r>
            <w:bookmarkEnd w:id="3"/>
            <w:r>
              <w:rPr>
                <w:rFonts w:ascii="Times New Roman" w:hAnsi="Times New Roman"/>
                <w:kern w:val="0"/>
                <w:sz w:val="24"/>
                <w:szCs w:val="24"/>
                <w:lang w:bidi="ar"/>
              </w:rPr>
              <w:t>,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976 (70)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414 (30)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Light makeup, n (%)</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No</w:t>
            </w:r>
          </w:p>
        </w:tc>
        <w:tc>
          <w:tcPr>
            <w:tcW w:w="1957" w:type="dxa"/>
            <w:tcBorders>
              <w:top w:val="nil"/>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1385 (100)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34" w:type="dxa"/>
            <w:tcBorders>
              <w:top w:val="nil"/>
              <w:bottom w:val="single" w:color="auto" w:sz="6" w:space="0"/>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Yes</w:t>
            </w:r>
          </w:p>
        </w:tc>
        <w:tc>
          <w:tcPr>
            <w:tcW w:w="1957" w:type="dxa"/>
            <w:tcBorders>
              <w:top w:val="nil"/>
              <w:bottom w:val="single" w:color="auto" w:sz="6" w:space="0"/>
            </w:tcBorders>
            <w:noWrap/>
            <w:vAlign w:val="center"/>
          </w:tcPr>
          <w:p>
            <w:pPr>
              <w:widowControl/>
              <w:spacing w:line="276" w:lineRule="auto"/>
              <w:jc w:val="left"/>
              <w:textAlignment w:val="bottom"/>
              <w:rPr>
                <w:rFonts w:ascii="Times New Roman" w:hAnsi="Times New Roman"/>
                <w:kern w:val="0"/>
                <w:sz w:val="24"/>
                <w:szCs w:val="24"/>
                <w:lang w:bidi="ar"/>
              </w:rPr>
            </w:pPr>
            <w:r>
              <w:rPr>
                <w:rFonts w:ascii="Times New Roman" w:hAnsi="Times New Roman"/>
                <w:kern w:val="0"/>
                <w:sz w:val="24"/>
                <w:szCs w:val="24"/>
                <w:lang w:bidi="ar"/>
              </w:rPr>
              <w:t>5 (0)</w:t>
            </w:r>
          </w:p>
        </w:tc>
      </w:tr>
    </w:tbl>
    <w:p>
      <w:pPr>
        <w:spacing w:line="360" w:lineRule="auto"/>
        <w:rPr>
          <w:rFonts w:ascii="Arial" w:hAnsi="Arial" w:cs="Arial"/>
          <w:b/>
          <w:bCs/>
          <w:spacing w:val="8"/>
          <w:sz w:val="24"/>
          <w:szCs w:val="24"/>
        </w:rPr>
      </w:pPr>
    </w:p>
    <w:p>
      <w:pPr>
        <w:spacing w:line="360" w:lineRule="auto"/>
        <w:rPr>
          <w:rFonts w:ascii="Times New Roman" w:hAnsi="Times New Roman"/>
          <w:sz w:val="24"/>
          <w:szCs w:val="24"/>
        </w:rPr>
      </w:pPr>
      <w:r>
        <w:rPr>
          <w:rFonts w:hint="eastAsia" w:ascii="Times New Roman" w:hAnsi="Times New Roman"/>
          <w:b/>
          <w:bCs/>
          <w:sz w:val="24"/>
          <w:szCs w:val="24"/>
        </w:rPr>
        <w:t>S</w:t>
      </w:r>
      <w:r>
        <w:rPr>
          <w:rFonts w:ascii="Times New Roman" w:hAnsi="Times New Roman"/>
          <w:b/>
          <w:bCs/>
          <w:sz w:val="24"/>
          <w:szCs w:val="24"/>
        </w:rPr>
        <w:t>upplementary</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Table </w:t>
      </w:r>
      <w:r>
        <w:rPr>
          <w:rFonts w:hint="eastAsia" w:ascii="Times New Roman" w:hAnsi="Times New Roman"/>
          <w:b/>
          <w:bCs/>
          <w:sz w:val="24"/>
          <w:szCs w:val="24"/>
          <w:lang w:val="en-US" w:eastAsia="zh-CN"/>
        </w:rPr>
        <w:t>2</w:t>
      </w:r>
      <w:r>
        <w:rPr>
          <w:rFonts w:ascii="Arial" w:hAnsi="Arial" w:cs="Arial"/>
          <w:b/>
          <w:bCs/>
          <w:spacing w:val="8"/>
          <w:sz w:val="24"/>
          <w:szCs w:val="24"/>
        </w:rPr>
        <w:t xml:space="preserve"> </w:t>
      </w:r>
      <w:r>
        <w:rPr>
          <w:rFonts w:ascii="Times New Roman" w:hAnsi="Times New Roman"/>
          <w:spacing w:val="8"/>
          <w:sz w:val="24"/>
          <w:szCs w:val="24"/>
        </w:rPr>
        <w:t>Univariate and Multivariate Cox Regression Analysis</w:t>
      </w:r>
    </w:p>
    <w:tbl>
      <w:tblPr>
        <w:tblStyle w:val="4"/>
        <w:tblW w:w="8903" w:type="dxa"/>
        <w:jc w:val="center"/>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09"/>
        <w:gridCol w:w="1225"/>
        <w:gridCol w:w="1453"/>
        <w:gridCol w:w="240"/>
        <w:gridCol w:w="1395"/>
        <w:gridCol w:w="1881"/>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tcBorders>
              <w:top w:val="single" w:color="auto" w:sz="6" w:space="0"/>
              <w:left w:val="nil"/>
              <w:bottom w:val="nil"/>
              <w:right w:val="nil"/>
            </w:tcBorders>
            <w:noWrap/>
            <w:vAlign w:val="bottom"/>
          </w:tcPr>
          <w:p>
            <w:pPr>
              <w:rPr>
                <w:rFonts w:ascii="Times New Roman" w:hAnsi="Times New Roman"/>
                <w:b/>
                <w:bCs/>
                <w:sz w:val="24"/>
                <w:szCs w:val="24"/>
              </w:rPr>
            </w:pPr>
          </w:p>
        </w:tc>
        <w:tc>
          <w:tcPr>
            <w:tcW w:w="2678" w:type="dxa"/>
            <w:gridSpan w:val="2"/>
            <w:tcBorders>
              <w:top w:val="single" w:color="000000" w:themeColor="text1" w:sz="6" w:space="0"/>
              <w:left w:val="nil"/>
              <w:bottom w:val="single" w:color="000000" w:themeColor="text1" w:sz="6" w:space="0"/>
              <w:right w:val="nil"/>
            </w:tcBorders>
            <w:noWrap/>
            <w:vAlign w:val="bottom"/>
          </w:tcPr>
          <w:p>
            <w:pPr>
              <w:rPr>
                <w:rFonts w:ascii="Times New Roman" w:hAnsi="Times New Roman"/>
                <w:b/>
                <w:bCs/>
                <w:sz w:val="24"/>
                <w:szCs w:val="24"/>
              </w:rPr>
            </w:pPr>
            <w:r>
              <w:rPr>
                <w:rFonts w:ascii="Times New Roman" w:hAnsi="Times New Roman"/>
                <w:b/>
                <w:bCs/>
                <w:sz w:val="24"/>
                <w:szCs w:val="24"/>
              </w:rPr>
              <w:t>Univariate Cox analysis</w:t>
            </w:r>
          </w:p>
        </w:tc>
        <w:tc>
          <w:tcPr>
            <w:tcW w:w="240" w:type="dxa"/>
            <w:tcBorders>
              <w:top w:val="single" w:color="000000" w:themeColor="text1" w:sz="6" w:space="0"/>
              <w:left w:val="nil"/>
              <w:bottom w:val="nil"/>
              <w:right w:val="nil"/>
            </w:tcBorders>
            <w:vAlign w:val="bottom"/>
          </w:tcPr>
          <w:p>
            <w:pPr>
              <w:rPr>
                <w:rFonts w:ascii="Times New Roman" w:hAnsi="Times New Roman"/>
                <w:b/>
                <w:bCs/>
                <w:sz w:val="24"/>
                <w:szCs w:val="24"/>
              </w:rPr>
            </w:pPr>
          </w:p>
        </w:tc>
        <w:tc>
          <w:tcPr>
            <w:tcW w:w="3276" w:type="dxa"/>
            <w:gridSpan w:val="2"/>
            <w:tcBorders>
              <w:top w:val="single" w:color="000000" w:themeColor="text1" w:sz="6" w:space="0"/>
              <w:left w:val="nil"/>
              <w:bottom w:val="single" w:color="000000" w:themeColor="text1" w:sz="6" w:space="0"/>
              <w:right w:val="nil"/>
            </w:tcBorders>
            <w:noWrap/>
            <w:vAlign w:val="bottom"/>
          </w:tcPr>
          <w:p>
            <w:pPr>
              <w:rPr>
                <w:rFonts w:ascii="Times New Roman" w:hAnsi="Times New Roman"/>
                <w:b/>
                <w:bCs/>
                <w:sz w:val="24"/>
                <w:szCs w:val="24"/>
              </w:rPr>
            </w:pPr>
            <w:r>
              <w:rPr>
                <w:rFonts w:ascii="Times New Roman" w:hAnsi="Times New Roman"/>
                <w:b/>
                <w:bCs/>
                <w:sz w:val="24"/>
                <w:szCs w:val="24"/>
              </w:rPr>
              <w:t>Multivariate Cox analysis</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tcBorders>
              <w:top w:val="nil"/>
              <w:left w:val="nil"/>
              <w:bottom w:val="single" w:color="000000" w:themeColor="text1" w:sz="12" w:space="0"/>
              <w:right w:val="nil"/>
            </w:tcBorders>
            <w:noWrap/>
            <w:vAlign w:val="bottom"/>
          </w:tcPr>
          <w:p>
            <w:pPr>
              <w:rPr>
                <w:rFonts w:ascii="Times New Roman" w:hAnsi="Times New Roman"/>
                <w:b/>
                <w:bCs/>
                <w:sz w:val="24"/>
                <w:szCs w:val="24"/>
              </w:rPr>
            </w:pPr>
          </w:p>
        </w:tc>
        <w:tc>
          <w:tcPr>
            <w:tcW w:w="1225" w:type="dxa"/>
            <w:tcBorders>
              <w:top w:val="single" w:color="000000" w:themeColor="text1" w:sz="6" w:space="0"/>
              <w:left w:val="nil"/>
              <w:bottom w:val="single" w:color="000000" w:themeColor="text1" w:sz="12" w:space="0"/>
              <w:right w:val="nil"/>
            </w:tcBorders>
            <w:noWrap/>
            <w:vAlign w:val="bottom"/>
          </w:tcPr>
          <w:p>
            <w:pPr>
              <w:rPr>
                <w:rFonts w:ascii="Times New Roman" w:hAnsi="Times New Roman"/>
                <w:b/>
                <w:bCs/>
                <w:sz w:val="24"/>
                <w:szCs w:val="24"/>
              </w:rPr>
            </w:pPr>
            <w:r>
              <w:rPr>
                <w:rFonts w:ascii="Times New Roman" w:hAnsi="Times New Roman"/>
                <w:b/>
                <w:bCs/>
                <w:sz w:val="24"/>
                <w:szCs w:val="24"/>
              </w:rPr>
              <w:t>P Value</w:t>
            </w:r>
          </w:p>
        </w:tc>
        <w:tc>
          <w:tcPr>
            <w:tcW w:w="1453" w:type="dxa"/>
            <w:tcBorders>
              <w:top w:val="single" w:color="000000" w:themeColor="text1" w:sz="6" w:space="0"/>
              <w:left w:val="nil"/>
              <w:bottom w:val="single" w:color="000000" w:themeColor="text1" w:sz="12" w:space="0"/>
              <w:right w:val="nil"/>
            </w:tcBorders>
            <w:noWrap/>
            <w:vAlign w:val="bottom"/>
          </w:tcPr>
          <w:p>
            <w:pPr>
              <w:rPr>
                <w:rFonts w:ascii="Times New Roman" w:hAnsi="Times New Roman"/>
                <w:b/>
                <w:bCs/>
                <w:sz w:val="24"/>
                <w:szCs w:val="24"/>
              </w:rPr>
            </w:pPr>
            <w:r>
              <w:rPr>
                <w:rFonts w:ascii="Times New Roman" w:hAnsi="Times New Roman"/>
                <w:b/>
                <w:bCs/>
                <w:sz w:val="24"/>
                <w:szCs w:val="24"/>
              </w:rPr>
              <w:t>HR (95% CI)</w:t>
            </w:r>
          </w:p>
        </w:tc>
        <w:tc>
          <w:tcPr>
            <w:tcW w:w="240" w:type="dxa"/>
            <w:tcBorders>
              <w:top w:val="nil"/>
              <w:left w:val="nil"/>
              <w:bottom w:val="single" w:color="000000" w:themeColor="text1" w:sz="12" w:space="0"/>
              <w:right w:val="nil"/>
            </w:tcBorders>
            <w:vAlign w:val="bottom"/>
          </w:tcPr>
          <w:p>
            <w:pPr>
              <w:rPr>
                <w:rFonts w:ascii="Times New Roman" w:hAnsi="Times New Roman"/>
                <w:b/>
                <w:bCs/>
                <w:sz w:val="24"/>
                <w:szCs w:val="24"/>
              </w:rPr>
            </w:pPr>
          </w:p>
        </w:tc>
        <w:tc>
          <w:tcPr>
            <w:tcW w:w="1395" w:type="dxa"/>
            <w:tcBorders>
              <w:top w:val="single" w:color="000000" w:themeColor="text1" w:sz="6" w:space="0"/>
              <w:left w:val="nil"/>
              <w:bottom w:val="single" w:color="000000" w:themeColor="text1" w:sz="6" w:space="0"/>
              <w:right w:val="nil"/>
            </w:tcBorders>
            <w:noWrap/>
            <w:vAlign w:val="bottom"/>
          </w:tcPr>
          <w:p>
            <w:pPr>
              <w:rPr>
                <w:rFonts w:ascii="Times New Roman" w:hAnsi="Times New Roman"/>
                <w:b/>
                <w:bCs/>
                <w:sz w:val="24"/>
                <w:szCs w:val="24"/>
              </w:rPr>
            </w:pPr>
            <w:r>
              <w:rPr>
                <w:rFonts w:ascii="Times New Roman" w:hAnsi="Times New Roman"/>
                <w:b/>
                <w:bCs/>
                <w:sz w:val="24"/>
                <w:szCs w:val="24"/>
              </w:rPr>
              <w:t>P Value</w:t>
            </w:r>
          </w:p>
        </w:tc>
        <w:tc>
          <w:tcPr>
            <w:tcW w:w="1881" w:type="dxa"/>
            <w:tcBorders>
              <w:top w:val="single" w:color="000000" w:themeColor="text1" w:sz="6" w:space="0"/>
              <w:left w:val="nil"/>
              <w:bottom w:val="single" w:color="000000" w:themeColor="text1" w:sz="6" w:space="0"/>
              <w:right w:val="nil"/>
            </w:tcBorders>
            <w:noWrap/>
            <w:vAlign w:val="bottom"/>
          </w:tcPr>
          <w:p>
            <w:pPr>
              <w:rPr>
                <w:rFonts w:ascii="Times New Roman" w:hAnsi="Times New Roman"/>
                <w:b/>
                <w:bCs/>
                <w:sz w:val="24"/>
                <w:szCs w:val="24"/>
              </w:rPr>
            </w:pPr>
            <w:r>
              <w:rPr>
                <w:rFonts w:ascii="Times New Roman" w:hAnsi="Times New Roman"/>
                <w:b/>
                <w:bCs/>
                <w:sz w:val="24"/>
                <w:szCs w:val="24"/>
              </w:rPr>
              <w:t>HR (95% CI)</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tcBorders>
              <w:top w:val="nil"/>
              <w:right w:val="nil"/>
            </w:tcBorders>
            <w:noWrap/>
            <w:vAlign w:val="bottom"/>
          </w:tcPr>
          <w:p>
            <w:pPr>
              <w:rPr>
                <w:rFonts w:ascii="Times New Roman" w:hAnsi="Times New Roman"/>
                <w:sz w:val="24"/>
                <w:szCs w:val="24"/>
              </w:rPr>
            </w:pPr>
            <w:r>
              <w:rPr>
                <w:rFonts w:ascii="Times New Roman" w:hAnsi="Times New Roman"/>
                <w:sz w:val="24"/>
                <w:szCs w:val="24"/>
              </w:rPr>
              <w:t>Age</w:t>
            </w:r>
          </w:p>
        </w:tc>
        <w:tc>
          <w:tcPr>
            <w:tcW w:w="1225" w:type="dxa"/>
            <w:tcBorders>
              <w:top w:val="single" w:color="000000" w:themeColor="text1" w:sz="12" w:space="0"/>
              <w:left w:val="nil"/>
            </w:tcBorders>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tcBorders>
              <w:top w:val="single" w:color="000000" w:themeColor="text1" w:sz="12" w:space="0"/>
            </w:tcBorders>
            <w:noWrap/>
            <w:vAlign w:val="bottom"/>
          </w:tcPr>
          <w:p>
            <w:pPr>
              <w:rPr>
                <w:rFonts w:ascii="Times New Roman" w:hAnsi="Times New Roman"/>
                <w:sz w:val="24"/>
                <w:szCs w:val="24"/>
              </w:rPr>
            </w:pPr>
            <w:r>
              <w:rPr>
                <w:rFonts w:ascii="Times New Roman" w:hAnsi="Times New Roman"/>
                <w:sz w:val="24"/>
                <w:szCs w:val="24"/>
              </w:rPr>
              <w:t>1.02 (1.01-1.04)</w:t>
            </w:r>
          </w:p>
        </w:tc>
        <w:tc>
          <w:tcPr>
            <w:tcW w:w="1395" w:type="dxa"/>
            <w:tcBorders>
              <w:top w:val="single" w:color="auto" w:sz="12" w:space="0"/>
            </w:tcBorders>
            <w:noWrap/>
            <w:vAlign w:val="bottom"/>
          </w:tcPr>
          <w:p>
            <w:pPr>
              <w:rPr>
                <w:rFonts w:ascii="Times New Roman" w:hAnsi="Times New Roman"/>
                <w:sz w:val="24"/>
                <w:szCs w:val="24"/>
              </w:rPr>
            </w:pPr>
            <w:r>
              <w:rPr>
                <w:rFonts w:ascii="Times New Roman" w:hAnsi="Times New Roman"/>
                <w:sz w:val="24"/>
                <w:szCs w:val="24"/>
              </w:rPr>
              <w:t>0.523</w:t>
            </w:r>
          </w:p>
        </w:tc>
        <w:tc>
          <w:tcPr>
            <w:tcW w:w="1881" w:type="dxa"/>
            <w:tcBorders>
              <w:top w:val="single" w:color="auto" w:sz="12" w:space="0"/>
            </w:tcBorders>
            <w:noWrap/>
            <w:vAlign w:val="bottom"/>
          </w:tcPr>
          <w:p>
            <w:pPr>
              <w:rPr>
                <w:rFonts w:ascii="Times New Roman" w:hAnsi="Times New Roman"/>
                <w:sz w:val="24"/>
                <w:szCs w:val="24"/>
              </w:rPr>
            </w:pPr>
            <w:r>
              <w:rPr>
                <w:rFonts w:ascii="Times New Roman" w:hAnsi="Times New Roman"/>
                <w:sz w:val="24"/>
                <w:szCs w:val="24"/>
              </w:rPr>
              <w:t>0.99 (0.97-1.01)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BMI</w:t>
            </w:r>
          </w:p>
        </w:tc>
        <w:tc>
          <w:tcPr>
            <w:tcW w:w="1225" w:type="dxa"/>
            <w:noWrap/>
            <w:vAlign w:val="bottom"/>
          </w:tcPr>
          <w:p>
            <w:pPr>
              <w:rPr>
                <w:rFonts w:ascii="Times New Roman" w:hAnsi="Times New Roman"/>
                <w:sz w:val="24"/>
                <w:szCs w:val="24"/>
              </w:rPr>
            </w:pPr>
            <w:r>
              <w:rPr>
                <w:rFonts w:ascii="Times New Roman" w:hAnsi="Times New Roman"/>
                <w:sz w:val="24"/>
                <w:szCs w:val="24"/>
              </w:rPr>
              <w:t>0.378</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0.97 (0.91-1.04)</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Noninvasive breast cancer</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0.14 (0.03-0.55)</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0.14 (0.03-0.62)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 stage</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322"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T2</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T1</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0.35 (0.21-0.58)</w:t>
            </w:r>
          </w:p>
        </w:tc>
        <w:tc>
          <w:tcPr>
            <w:tcW w:w="1395" w:type="dxa"/>
            <w:noWrap/>
            <w:vAlign w:val="bottom"/>
          </w:tcPr>
          <w:p>
            <w:pPr>
              <w:rPr>
                <w:rFonts w:ascii="Times New Roman" w:hAnsi="Times New Roman"/>
                <w:sz w:val="24"/>
                <w:szCs w:val="24"/>
              </w:rPr>
            </w:pPr>
            <w:r>
              <w:rPr>
                <w:rFonts w:ascii="Times New Roman" w:hAnsi="Times New Roman"/>
                <w:sz w:val="24"/>
                <w:szCs w:val="24"/>
              </w:rPr>
              <w:t>0.574</w:t>
            </w:r>
          </w:p>
        </w:tc>
        <w:tc>
          <w:tcPr>
            <w:tcW w:w="1881" w:type="dxa"/>
            <w:noWrap/>
            <w:vAlign w:val="bottom"/>
          </w:tcPr>
          <w:p>
            <w:pPr>
              <w:rPr>
                <w:rFonts w:ascii="Times New Roman" w:hAnsi="Times New Roman"/>
                <w:sz w:val="24"/>
                <w:szCs w:val="24"/>
              </w:rPr>
            </w:pPr>
            <w:r>
              <w:rPr>
                <w:rFonts w:ascii="Times New Roman" w:hAnsi="Times New Roman"/>
                <w:sz w:val="24"/>
                <w:szCs w:val="24"/>
              </w:rPr>
              <w:t>0.85 (0.50-1.48)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T3</w:t>
            </w:r>
          </w:p>
        </w:tc>
        <w:tc>
          <w:tcPr>
            <w:tcW w:w="1225" w:type="dxa"/>
            <w:noWrap/>
            <w:vAlign w:val="bottom"/>
          </w:tcPr>
          <w:p>
            <w:pPr>
              <w:rPr>
                <w:rFonts w:ascii="Times New Roman" w:hAnsi="Times New Roman"/>
                <w:sz w:val="24"/>
                <w:szCs w:val="24"/>
              </w:rPr>
            </w:pPr>
            <w:r>
              <w:rPr>
                <w:rFonts w:ascii="Times New Roman" w:hAnsi="Times New Roman"/>
                <w:sz w:val="24"/>
                <w:szCs w:val="24"/>
              </w:rPr>
              <w:t>0.441</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1.30 (0.67-2.53)</w:t>
            </w:r>
          </w:p>
        </w:tc>
        <w:tc>
          <w:tcPr>
            <w:tcW w:w="1395" w:type="dxa"/>
            <w:noWrap/>
            <w:vAlign w:val="bottom"/>
          </w:tcPr>
          <w:p>
            <w:pPr>
              <w:rPr>
                <w:rFonts w:ascii="Times New Roman" w:hAnsi="Times New Roman"/>
                <w:sz w:val="24"/>
                <w:szCs w:val="24"/>
              </w:rPr>
            </w:pPr>
            <w:r>
              <w:rPr>
                <w:rFonts w:ascii="Times New Roman" w:hAnsi="Times New Roman"/>
                <w:sz w:val="24"/>
                <w:szCs w:val="24"/>
              </w:rPr>
              <w:t>0.727</w:t>
            </w:r>
          </w:p>
        </w:tc>
        <w:tc>
          <w:tcPr>
            <w:tcW w:w="1881" w:type="dxa"/>
            <w:noWrap/>
            <w:vAlign w:val="bottom"/>
          </w:tcPr>
          <w:p>
            <w:pPr>
              <w:rPr>
                <w:rFonts w:ascii="Times New Roman" w:hAnsi="Times New Roman"/>
                <w:sz w:val="24"/>
                <w:szCs w:val="24"/>
              </w:rPr>
            </w:pPr>
            <w:r>
              <w:rPr>
                <w:rFonts w:ascii="Times New Roman" w:hAnsi="Times New Roman"/>
                <w:sz w:val="24"/>
                <w:szCs w:val="24"/>
              </w:rPr>
              <w:t>0.88 (0.43-1.81)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T4</w:t>
            </w:r>
          </w:p>
        </w:tc>
        <w:tc>
          <w:tcPr>
            <w:tcW w:w="1225" w:type="dxa"/>
            <w:noWrap/>
            <w:vAlign w:val="bottom"/>
          </w:tcPr>
          <w:p>
            <w:pPr>
              <w:rPr>
                <w:rFonts w:ascii="Times New Roman" w:hAnsi="Times New Roman"/>
                <w:sz w:val="24"/>
                <w:szCs w:val="24"/>
              </w:rPr>
            </w:pPr>
            <w:r>
              <w:rPr>
                <w:rFonts w:ascii="Times New Roman" w:hAnsi="Times New Roman"/>
                <w:sz w:val="24"/>
                <w:szCs w:val="24"/>
              </w:rPr>
              <w:t>0.997</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0.00 (0.00 - Inf)</w:t>
            </w:r>
          </w:p>
        </w:tc>
        <w:tc>
          <w:tcPr>
            <w:tcW w:w="1395" w:type="dxa"/>
            <w:noWrap/>
            <w:vAlign w:val="bottom"/>
          </w:tcPr>
          <w:p>
            <w:pPr>
              <w:rPr>
                <w:rFonts w:ascii="Times New Roman" w:hAnsi="Times New Roman"/>
                <w:sz w:val="24"/>
                <w:szCs w:val="24"/>
              </w:rPr>
            </w:pPr>
            <w:r>
              <w:rPr>
                <w:rFonts w:ascii="Times New Roman" w:hAnsi="Times New Roman"/>
                <w:sz w:val="24"/>
                <w:szCs w:val="24"/>
              </w:rPr>
              <w:t>0.998</w:t>
            </w:r>
          </w:p>
        </w:tc>
        <w:tc>
          <w:tcPr>
            <w:tcW w:w="1881" w:type="dxa"/>
            <w:noWrap/>
            <w:vAlign w:val="bottom"/>
          </w:tcPr>
          <w:p>
            <w:pPr>
              <w:rPr>
                <w:rFonts w:ascii="Times New Roman" w:hAnsi="Times New Roman"/>
                <w:sz w:val="24"/>
                <w:szCs w:val="24"/>
              </w:rPr>
            </w:pPr>
            <w:r>
              <w:rPr>
                <w:rFonts w:ascii="Times New Roman" w:hAnsi="Times New Roman"/>
                <w:sz w:val="24"/>
                <w:szCs w:val="24"/>
              </w:rPr>
              <w:t>0.00 (0.00 - Inf)</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Tis</w:t>
            </w:r>
          </w:p>
        </w:tc>
        <w:tc>
          <w:tcPr>
            <w:tcW w:w="1225" w:type="dxa"/>
            <w:noWrap/>
            <w:vAlign w:val="bottom"/>
          </w:tcPr>
          <w:p>
            <w:pPr>
              <w:rPr>
                <w:rFonts w:ascii="Times New Roman" w:hAnsi="Times New Roman"/>
                <w:sz w:val="24"/>
                <w:szCs w:val="24"/>
              </w:rPr>
            </w:pPr>
            <w:r>
              <w:rPr>
                <w:rFonts w:ascii="Times New Roman" w:hAnsi="Times New Roman"/>
                <w:sz w:val="24"/>
                <w:szCs w:val="24"/>
              </w:rPr>
              <w:t>0.995</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0.00 (0.00 - Inf)</w:t>
            </w:r>
          </w:p>
        </w:tc>
        <w:tc>
          <w:tcPr>
            <w:tcW w:w="1395" w:type="dxa"/>
            <w:noWrap/>
            <w:vAlign w:val="bottom"/>
          </w:tcPr>
          <w:p>
            <w:pPr>
              <w:rPr>
                <w:rFonts w:ascii="Times New Roman" w:hAnsi="Times New Roman"/>
                <w:sz w:val="24"/>
                <w:szCs w:val="24"/>
              </w:rPr>
            </w:pPr>
            <w:r>
              <w:rPr>
                <w:rFonts w:ascii="Times New Roman" w:hAnsi="Times New Roman"/>
                <w:sz w:val="24"/>
                <w:szCs w:val="24"/>
              </w:rPr>
              <w:t>0.996</w:t>
            </w:r>
          </w:p>
        </w:tc>
        <w:tc>
          <w:tcPr>
            <w:tcW w:w="1881" w:type="dxa"/>
            <w:noWrap/>
            <w:vAlign w:val="bottom"/>
          </w:tcPr>
          <w:p>
            <w:pPr>
              <w:rPr>
                <w:rFonts w:ascii="Times New Roman" w:hAnsi="Times New Roman"/>
                <w:sz w:val="24"/>
                <w:szCs w:val="24"/>
              </w:rPr>
            </w:pPr>
            <w:r>
              <w:rPr>
                <w:rFonts w:ascii="Times New Roman" w:hAnsi="Times New Roman"/>
                <w:sz w:val="24"/>
                <w:szCs w:val="24"/>
              </w:rPr>
              <w:t>0.00 (0.00 - Inf)</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T0</w:t>
            </w:r>
          </w:p>
        </w:tc>
        <w:tc>
          <w:tcPr>
            <w:tcW w:w="1225" w:type="dxa"/>
            <w:noWrap/>
            <w:vAlign w:val="bottom"/>
          </w:tcPr>
          <w:p>
            <w:pPr>
              <w:rPr>
                <w:rFonts w:ascii="Times New Roman" w:hAnsi="Times New Roman"/>
                <w:sz w:val="24"/>
                <w:szCs w:val="24"/>
              </w:rPr>
            </w:pPr>
            <w:r>
              <w:rPr>
                <w:rFonts w:ascii="Times New Roman" w:hAnsi="Times New Roman"/>
                <w:sz w:val="24"/>
                <w:szCs w:val="24"/>
              </w:rPr>
              <w:t>0.850</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0.83 (0.11-5.96)</w:t>
            </w:r>
          </w:p>
        </w:tc>
        <w:tc>
          <w:tcPr>
            <w:tcW w:w="1395" w:type="dxa"/>
            <w:noWrap/>
            <w:vAlign w:val="bottom"/>
          </w:tcPr>
          <w:p>
            <w:pPr>
              <w:rPr>
                <w:rFonts w:ascii="Times New Roman" w:hAnsi="Times New Roman"/>
                <w:sz w:val="24"/>
                <w:szCs w:val="24"/>
              </w:rPr>
            </w:pPr>
            <w:r>
              <w:rPr>
                <w:rFonts w:ascii="Times New Roman" w:hAnsi="Times New Roman"/>
                <w:sz w:val="24"/>
                <w:szCs w:val="24"/>
              </w:rPr>
              <w:t>0.702</w:t>
            </w:r>
          </w:p>
        </w:tc>
        <w:tc>
          <w:tcPr>
            <w:tcW w:w="1881" w:type="dxa"/>
            <w:noWrap/>
            <w:vAlign w:val="bottom"/>
          </w:tcPr>
          <w:p>
            <w:pPr>
              <w:rPr>
                <w:rFonts w:ascii="Times New Roman" w:hAnsi="Times New Roman"/>
                <w:sz w:val="24"/>
                <w:szCs w:val="24"/>
              </w:rPr>
            </w:pPr>
            <w:r>
              <w:rPr>
                <w:rFonts w:ascii="Times New Roman" w:hAnsi="Times New Roman"/>
                <w:sz w:val="24"/>
                <w:szCs w:val="24"/>
              </w:rPr>
              <w:t>0.30 (0.00-133.81)</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Tx</w:t>
            </w:r>
          </w:p>
        </w:tc>
        <w:tc>
          <w:tcPr>
            <w:tcW w:w="1225" w:type="dxa"/>
            <w:noWrap/>
            <w:vAlign w:val="bottom"/>
          </w:tcPr>
          <w:p>
            <w:pPr>
              <w:rPr>
                <w:rFonts w:ascii="Times New Roman" w:hAnsi="Times New Roman"/>
                <w:sz w:val="24"/>
                <w:szCs w:val="24"/>
              </w:rPr>
            </w:pPr>
            <w:r>
              <w:rPr>
                <w:rFonts w:ascii="Times New Roman" w:hAnsi="Times New Roman"/>
                <w:sz w:val="24"/>
                <w:szCs w:val="24"/>
              </w:rPr>
              <w:t>0.998</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0.00 (0.00 - Inf)</w:t>
            </w:r>
          </w:p>
        </w:tc>
        <w:tc>
          <w:tcPr>
            <w:tcW w:w="1395" w:type="dxa"/>
            <w:noWrap/>
            <w:vAlign w:val="bottom"/>
          </w:tcPr>
          <w:p>
            <w:pPr>
              <w:rPr>
                <w:rFonts w:ascii="Times New Roman" w:hAnsi="Times New Roman"/>
                <w:sz w:val="24"/>
                <w:szCs w:val="24"/>
              </w:rPr>
            </w:pPr>
            <w:r>
              <w:rPr>
                <w:rFonts w:ascii="Times New Roman" w:hAnsi="Times New Roman"/>
                <w:sz w:val="24"/>
                <w:szCs w:val="24"/>
              </w:rPr>
              <w:t>0.998</w:t>
            </w:r>
          </w:p>
        </w:tc>
        <w:tc>
          <w:tcPr>
            <w:tcW w:w="1881" w:type="dxa"/>
            <w:noWrap/>
            <w:vAlign w:val="bottom"/>
          </w:tcPr>
          <w:p>
            <w:pPr>
              <w:rPr>
                <w:rFonts w:ascii="Times New Roman" w:hAnsi="Times New Roman"/>
                <w:sz w:val="24"/>
                <w:szCs w:val="24"/>
              </w:rPr>
            </w:pPr>
            <w:r>
              <w:rPr>
                <w:rFonts w:ascii="Times New Roman" w:hAnsi="Times New Roman"/>
                <w:sz w:val="24"/>
                <w:szCs w:val="24"/>
              </w:rPr>
              <w:t>0.00 (0.00 - Inf)</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 stage</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N3</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N0</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0.13 (0.08-0.22)</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0.29 (0.16-0.50)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N1</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0.20 (0.11-0.37)</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0.46 (0.24-0.87)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N2</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0.48 (0.27-0.86)</w:t>
            </w:r>
          </w:p>
        </w:tc>
        <w:tc>
          <w:tcPr>
            <w:tcW w:w="1395" w:type="dxa"/>
            <w:noWrap/>
            <w:vAlign w:val="bottom"/>
          </w:tcPr>
          <w:p>
            <w:pPr>
              <w:rPr>
                <w:rFonts w:ascii="Times New Roman" w:hAnsi="Times New Roman"/>
                <w:sz w:val="24"/>
                <w:szCs w:val="24"/>
              </w:rPr>
            </w:pPr>
            <w:r>
              <w:rPr>
                <w:rFonts w:ascii="Times New Roman" w:hAnsi="Times New Roman"/>
                <w:sz w:val="24"/>
                <w:szCs w:val="24"/>
              </w:rPr>
              <w:t>0.710</w:t>
            </w:r>
          </w:p>
        </w:tc>
        <w:tc>
          <w:tcPr>
            <w:tcW w:w="1881" w:type="dxa"/>
            <w:noWrap/>
            <w:vAlign w:val="bottom"/>
          </w:tcPr>
          <w:p>
            <w:pPr>
              <w:rPr>
                <w:rFonts w:ascii="Times New Roman" w:hAnsi="Times New Roman"/>
                <w:sz w:val="24"/>
                <w:szCs w:val="24"/>
              </w:rPr>
            </w:pPr>
            <w:r>
              <w:rPr>
                <w:rFonts w:ascii="Times New Roman" w:hAnsi="Times New Roman"/>
                <w:sz w:val="24"/>
                <w:szCs w:val="24"/>
              </w:rPr>
              <w:t>0.89 (0.47-1.66)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Nx</w:t>
            </w:r>
          </w:p>
        </w:tc>
        <w:tc>
          <w:tcPr>
            <w:tcW w:w="1225" w:type="dxa"/>
            <w:noWrap/>
            <w:vAlign w:val="bottom"/>
          </w:tcPr>
          <w:p>
            <w:pPr>
              <w:rPr>
                <w:rFonts w:ascii="Times New Roman" w:hAnsi="Times New Roman"/>
                <w:sz w:val="24"/>
                <w:szCs w:val="24"/>
              </w:rPr>
            </w:pPr>
            <w:r>
              <w:rPr>
                <w:rFonts w:ascii="Times New Roman" w:hAnsi="Times New Roman"/>
                <w:sz w:val="24"/>
                <w:szCs w:val="24"/>
              </w:rPr>
              <w:t>0.076</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6.13 (0.83-45.54)</w:t>
            </w:r>
          </w:p>
        </w:tc>
        <w:tc>
          <w:tcPr>
            <w:tcW w:w="1395" w:type="dxa"/>
            <w:noWrap/>
            <w:vAlign w:val="bottom"/>
          </w:tcPr>
          <w:p>
            <w:pPr>
              <w:rPr>
                <w:rFonts w:ascii="Times New Roman" w:hAnsi="Times New Roman"/>
                <w:sz w:val="24"/>
                <w:szCs w:val="24"/>
              </w:rPr>
            </w:pPr>
            <w:r>
              <w:rPr>
                <w:rFonts w:ascii="Times New Roman" w:hAnsi="Times New Roman"/>
                <w:sz w:val="24"/>
                <w:szCs w:val="24"/>
              </w:rPr>
              <w:t>0.242</w:t>
            </w:r>
          </w:p>
        </w:tc>
        <w:tc>
          <w:tcPr>
            <w:tcW w:w="1881" w:type="dxa"/>
            <w:noWrap/>
            <w:vAlign w:val="bottom"/>
          </w:tcPr>
          <w:p>
            <w:pPr>
              <w:rPr>
                <w:rFonts w:ascii="Times New Roman" w:hAnsi="Times New Roman"/>
                <w:sz w:val="24"/>
                <w:szCs w:val="24"/>
              </w:rPr>
            </w:pPr>
            <w:r>
              <w:rPr>
                <w:rFonts w:ascii="Times New Roman" w:hAnsi="Times New Roman"/>
                <w:sz w:val="24"/>
                <w:szCs w:val="24"/>
              </w:rPr>
              <w:t>38.09 (0.09-16908.72)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M stage</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M0</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M1</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12.06 (5.25-27.71)</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4.78 (1.80-12.72)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Mx</w:t>
            </w:r>
          </w:p>
        </w:tc>
        <w:tc>
          <w:tcPr>
            <w:tcW w:w="1225" w:type="dxa"/>
            <w:noWrap/>
            <w:vAlign w:val="bottom"/>
          </w:tcPr>
          <w:p>
            <w:pPr>
              <w:rPr>
                <w:rFonts w:ascii="Times New Roman" w:hAnsi="Times New Roman"/>
                <w:sz w:val="24"/>
                <w:szCs w:val="24"/>
              </w:rPr>
            </w:pPr>
            <w:r>
              <w:rPr>
                <w:rFonts w:ascii="Times New Roman" w:hAnsi="Times New Roman"/>
                <w:sz w:val="24"/>
                <w:szCs w:val="24"/>
              </w:rPr>
              <w:t>0.192</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3.72 (0.52-26.76)</w:t>
            </w:r>
          </w:p>
        </w:tc>
        <w:tc>
          <w:tcPr>
            <w:tcW w:w="1395" w:type="dxa"/>
            <w:noWrap/>
            <w:vAlign w:val="bottom"/>
          </w:tcPr>
          <w:p>
            <w:pPr>
              <w:rPr>
                <w:rFonts w:ascii="Times New Roman" w:hAnsi="Times New Roman"/>
                <w:sz w:val="24"/>
                <w:szCs w:val="24"/>
              </w:rPr>
            </w:pPr>
            <w:r>
              <w:rPr>
                <w:rFonts w:ascii="Times New Roman" w:hAnsi="Times New Roman"/>
                <w:sz w:val="24"/>
                <w:szCs w:val="24"/>
              </w:rPr>
              <w:t>0.058</w:t>
            </w:r>
          </w:p>
        </w:tc>
        <w:tc>
          <w:tcPr>
            <w:tcW w:w="1881" w:type="dxa"/>
            <w:noWrap/>
            <w:vAlign w:val="bottom"/>
          </w:tcPr>
          <w:p>
            <w:pPr>
              <w:rPr>
                <w:rFonts w:ascii="Times New Roman" w:hAnsi="Times New Roman"/>
                <w:sz w:val="24"/>
                <w:szCs w:val="24"/>
              </w:rPr>
            </w:pPr>
            <w:r>
              <w:rPr>
                <w:rFonts w:ascii="Times New Roman" w:hAnsi="Times New Roman"/>
                <w:sz w:val="24"/>
                <w:szCs w:val="24"/>
              </w:rPr>
              <w:t>8.10 (0.93-70.45)</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Axillary lymph node dissection</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0.02 (0.00-0.16)</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0.08 (0.01-0.57)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Wound dehiscence, infection or nonhealing</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3.11 (1.14-8.50)</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8.31 (2.78-24.86)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Chemotherapy</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ascii="Times New Roman" w:hAnsi="Times New Roman"/>
                <w:sz w:val="24"/>
                <w:szCs w:val="24"/>
              </w:rPr>
              <w:t>0.339</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1.29 (0.77-2.15)</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Radiation therapy</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ascii="Times New Roman" w:hAnsi="Times New Roman"/>
                <w:sz w:val="24"/>
                <w:szCs w:val="24"/>
              </w:rPr>
              <w:t>0.350</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1.31 (0.74-2.32)</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Endocrine therapy</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0.05 (0.02-0.14)</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0.09 (0.03-0.28)</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center"/>
          </w:tcPr>
          <w:p>
            <w:pPr>
              <w:rPr>
                <w:rFonts w:ascii="Times New Roman" w:hAnsi="Times New Roman"/>
                <w:sz w:val="24"/>
                <w:szCs w:val="24"/>
              </w:rPr>
            </w:pPr>
            <w:r>
              <w:rPr>
                <w:rFonts w:ascii="Times New Roman" w:hAnsi="Times New Roman"/>
                <w:sz w:val="24"/>
                <w:szCs w:val="24"/>
              </w:rPr>
              <w:t>Targeted therapy</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r>
              <w:rPr>
                <w:rFonts w:ascii="Times New Roman" w:hAnsi="Times New Roman"/>
                <w:sz w:val="24"/>
                <w:szCs w:val="24"/>
              </w:rPr>
              <w:t>0.087</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0.49 (0.21-1.11)</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center"/>
          </w:tcPr>
          <w:p>
            <w:pPr>
              <w:rPr>
                <w:rFonts w:ascii="Times New Roman" w:hAnsi="Times New Roman"/>
                <w:sz w:val="24"/>
                <w:szCs w:val="24"/>
              </w:rPr>
            </w:pPr>
            <w:r>
              <w:rPr>
                <w:rFonts w:ascii="Times New Roman" w:hAnsi="Times New Roman"/>
                <w:sz w:val="24"/>
                <w:szCs w:val="24"/>
              </w:rPr>
              <w:t>Preoperative light diet</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0.53 (0.35-0.80)</w:t>
            </w:r>
          </w:p>
        </w:tc>
        <w:tc>
          <w:tcPr>
            <w:tcW w:w="1395" w:type="dxa"/>
            <w:noWrap/>
            <w:vAlign w:val="bottom"/>
          </w:tcPr>
          <w:p>
            <w:pPr>
              <w:rPr>
                <w:rFonts w:ascii="Times New Roman" w:hAnsi="Times New Roman"/>
                <w:sz w:val="24"/>
                <w:szCs w:val="24"/>
              </w:rPr>
            </w:pPr>
            <w:r>
              <w:rPr>
                <w:rFonts w:ascii="Times New Roman" w:hAnsi="Times New Roman"/>
                <w:sz w:val="24"/>
                <w:szCs w:val="24"/>
              </w:rPr>
              <w:t>0.167</w:t>
            </w:r>
          </w:p>
        </w:tc>
        <w:tc>
          <w:tcPr>
            <w:tcW w:w="1881" w:type="dxa"/>
            <w:noWrap/>
            <w:vAlign w:val="bottom"/>
          </w:tcPr>
          <w:p>
            <w:pPr>
              <w:rPr>
                <w:rFonts w:ascii="Times New Roman" w:hAnsi="Times New Roman"/>
                <w:sz w:val="24"/>
                <w:szCs w:val="24"/>
              </w:rPr>
            </w:pPr>
            <w:r>
              <w:rPr>
                <w:rFonts w:ascii="Times New Roman" w:hAnsi="Times New Roman"/>
                <w:sz w:val="24"/>
                <w:szCs w:val="24"/>
              </w:rPr>
              <w:t>0.73 (0.46-1.14)</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center"/>
          </w:tcPr>
          <w:p>
            <w:pPr>
              <w:rPr>
                <w:rFonts w:ascii="Times New Roman" w:hAnsi="Times New Roman"/>
                <w:sz w:val="24"/>
                <w:szCs w:val="24"/>
              </w:rPr>
            </w:pPr>
            <w:r>
              <w:rPr>
                <w:rFonts w:ascii="Times New Roman" w:hAnsi="Times New Roman"/>
                <w:sz w:val="24"/>
                <w:szCs w:val="24"/>
              </w:rPr>
              <w:t>Wound drain placement</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3.20 (1.29-7.95)</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4.97 (1.85-13.32)</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Ports</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0.46 (0.29-0.72)</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0.36 (0.22-0.59)</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PICCs</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ascii="Times New Roman" w:hAnsi="Times New Roman"/>
                <w:sz w:val="24"/>
                <w:szCs w:val="24"/>
              </w:rPr>
              <w:t>0.274</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1.27 (0.83-1.95)</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center"/>
          </w:tcPr>
          <w:p>
            <w:pPr>
              <w:rPr>
                <w:rFonts w:ascii="Times New Roman" w:hAnsi="Times New Roman"/>
                <w:sz w:val="24"/>
                <w:szCs w:val="24"/>
              </w:rPr>
            </w:pPr>
            <w:r>
              <w:rPr>
                <w:rFonts w:ascii="Times New Roman" w:hAnsi="Times New Roman"/>
                <w:sz w:val="24"/>
                <w:szCs w:val="24"/>
              </w:rPr>
              <w:t>Functional exercise of affected limb</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Occasionally</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Everyday</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3.26 (2.14-4.95)</w:t>
            </w:r>
          </w:p>
        </w:tc>
        <w:tc>
          <w:tcPr>
            <w:tcW w:w="1395" w:type="dxa"/>
            <w:noWrap/>
            <w:vAlign w:val="bottom"/>
          </w:tcPr>
          <w:p>
            <w:pPr>
              <w:rPr>
                <w:rFonts w:ascii="Times New Roman" w:hAnsi="Times New Roman"/>
                <w:sz w:val="24"/>
                <w:szCs w:val="24"/>
              </w:rPr>
            </w:pPr>
            <w:r>
              <w:rPr>
                <w:rFonts w:ascii="Times New Roman" w:hAnsi="Times New Roman"/>
                <w:sz w:val="24"/>
                <w:szCs w:val="24"/>
              </w:rPr>
              <w:t>0.051</w:t>
            </w:r>
          </w:p>
        </w:tc>
        <w:tc>
          <w:tcPr>
            <w:tcW w:w="1881" w:type="dxa"/>
            <w:noWrap/>
            <w:vAlign w:val="bottom"/>
          </w:tcPr>
          <w:p>
            <w:pPr>
              <w:rPr>
                <w:rFonts w:ascii="Times New Roman" w:hAnsi="Times New Roman"/>
                <w:sz w:val="24"/>
                <w:szCs w:val="24"/>
              </w:rPr>
            </w:pPr>
            <w:r>
              <w:rPr>
                <w:rFonts w:ascii="Times New Roman" w:hAnsi="Times New Roman"/>
                <w:sz w:val="24"/>
                <w:szCs w:val="24"/>
              </w:rPr>
              <w:t>1.58 (1.00-2.50)</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Never</w:t>
            </w:r>
          </w:p>
        </w:tc>
        <w:tc>
          <w:tcPr>
            <w:tcW w:w="1225" w:type="dxa"/>
            <w:noWrap/>
            <w:vAlign w:val="bottom"/>
          </w:tcPr>
          <w:p>
            <w:pPr>
              <w:rPr>
                <w:rFonts w:ascii="Times New Roman" w:hAnsi="Times New Roman"/>
                <w:sz w:val="24"/>
                <w:szCs w:val="24"/>
              </w:rPr>
            </w:pPr>
            <w:r>
              <w:rPr>
                <w:rFonts w:ascii="Times New Roman" w:hAnsi="Times New Roman"/>
                <w:sz w:val="24"/>
                <w:szCs w:val="24"/>
              </w:rPr>
              <w:t>0.061</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2.67 (0.96-7.48)</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3.07 (1.05-9.03)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Postoperative sex life</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0.02 (0.01-0.09)</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0.08 (0.02-0.35)</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Pain of the disease</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0.37 (0.21-0.64)</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0.45 (0.25-0.83)</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Hairpiece</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0.54 (0.32-0.91)</w:t>
            </w:r>
          </w:p>
        </w:tc>
        <w:tc>
          <w:tcPr>
            <w:tcW w:w="1395" w:type="dxa"/>
            <w:noWrap/>
            <w:vAlign w:val="bottom"/>
          </w:tcPr>
          <w:p>
            <w:pPr>
              <w:rPr>
                <w:rFonts w:ascii="Times New Roman" w:hAnsi="Times New Roman"/>
                <w:sz w:val="24"/>
                <w:szCs w:val="24"/>
              </w:rPr>
            </w:pPr>
            <w:r>
              <w:rPr>
                <w:rFonts w:ascii="Times New Roman" w:hAnsi="Times New Roman"/>
                <w:sz w:val="24"/>
                <w:szCs w:val="24"/>
              </w:rPr>
              <w:t>0.151</w:t>
            </w:r>
          </w:p>
        </w:tc>
        <w:tc>
          <w:tcPr>
            <w:tcW w:w="1881" w:type="dxa"/>
            <w:noWrap/>
            <w:vAlign w:val="bottom"/>
          </w:tcPr>
          <w:p>
            <w:pPr>
              <w:rPr>
                <w:rFonts w:ascii="Times New Roman" w:hAnsi="Times New Roman"/>
                <w:sz w:val="24"/>
                <w:szCs w:val="24"/>
              </w:rPr>
            </w:pPr>
            <w:r>
              <w:rPr>
                <w:rFonts w:ascii="Times New Roman" w:hAnsi="Times New Roman"/>
                <w:sz w:val="24"/>
                <w:szCs w:val="24"/>
              </w:rPr>
              <w:t>0.66 (0.38-1.16)</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Prosthetic breast</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No</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r>
              <w:rPr>
                <w:rFonts w:ascii="Times New Roman" w:hAnsi="Times New Roman"/>
                <w:sz w:val="24"/>
                <w:szCs w:val="24"/>
              </w:rPr>
              <w:t>Reference</w:t>
            </w: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r>
              <w:rPr>
                <w:rFonts w:ascii="Times New Roman" w:hAnsi="Times New Roman"/>
                <w:sz w:val="24"/>
                <w:szCs w:val="24"/>
              </w:rPr>
              <w:t>Reference</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Yes</w:t>
            </w:r>
          </w:p>
        </w:tc>
        <w:tc>
          <w:tcPr>
            <w:tcW w:w="1225" w:type="dxa"/>
            <w:noWrap/>
            <w:vAlign w:val="bottom"/>
          </w:tcPr>
          <w:p>
            <w:pPr>
              <w:rPr>
                <w:rFonts w:ascii="Times New Roman" w:hAnsi="Times New Roman"/>
                <w:sz w:val="24"/>
                <w:szCs w:val="24"/>
              </w:rPr>
            </w:pPr>
            <w:r>
              <w:rPr>
                <w:rFonts w:hint="eastAsia" w:ascii="Times New Roman" w:hAnsi="Times New Roman"/>
                <w:sz w:val="24"/>
                <w:szCs w:val="24"/>
              </w:rPr>
              <w:t>***</w:t>
            </w:r>
          </w:p>
        </w:tc>
        <w:tc>
          <w:tcPr>
            <w:tcW w:w="1693" w:type="dxa"/>
            <w:gridSpan w:val="2"/>
            <w:noWrap/>
            <w:vAlign w:val="bottom"/>
          </w:tcPr>
          <w:p>
            <w:pPr>
              <w:rPr>
                <w:rFonts w:ascii="Times New Roman" w:hAnsi="Times New Roman"/>
                <w:sz w:val="24"/>
                <w:szCs w:val="24"/>
              </w:rPr>
            </w:pPr>
            <w:r>
              <w:rPr>
                <w:rFonts w:ascii="Times New Roman" w:hAnsi="Times New Roman"/>
                <w:sz w:val="24"/>
                <w:szCs w:val="24"/>
              </w:rPr>
              <w:t>0.07 (0.02-0.18)</w:t>
            </w:r>
          </w:p>
        </w:tc>
        <w:tc>
          <w:tcPr>
            <w:tcW w:w="1395" w:type="dxa"/>
            <w:noWrap/>
            <w:vAlign w:val="bottom"/>
          </w:tcPr>
          <w:p>
            <w:pPr>
              <w:rPr>
                <w:rFonts w:ascii="Times New Roman" w:hAnsi="Times New Roman"/>
                <w:sz w:val="24"/>
                <w:szCs w:val="24"/>
              </w:rPr>
            </w:pPr>
            <w:r>
              <w:rPr>
                <w:rFonts w:hint="eastAsia" w:ascii="Times New Roman" w:hAnsi="Times New Roman"/>
                <w:sz w:val="24"/>
                <w:szCs w:val="24"/>
              </w:rPr>
              <w:t>*</w:t>
            </w:r>
          </w:p>
        </w:tc>
        <w:tc>
          <w:tcPr>
            <w:tcW w:w="1881" w:type="dxa"/>
            <w:noWrap/>
            <w:vAlign w:val="bottom"/>
          </w:tcPr>
          <w:p>
            <w:pPr>
              <w:rPr>
                <w:rFonts w:ascii="Times New Roman" w:hAnsi="Times New Roman"/>
                <w:sz w:val="24"/>
                <w:szCs w:val="24"/>
              </w:rPr>
            </w:pPr>
            <w:r>
              <w:rPr>
                <w:rFonts w:ascii="Times New Roman" w:hAnsi="Times New Roman"/>
                <w:sz w:val="24"/>
                <w:szCs w:val="24"/>
              </w:rPr>
              <w:t>0.31 (0.11-0.87)</w:t>
            </w: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noWrap/>
            <w:vAlign w:val="bottom"/>
          </w:tcPr>
          <w:p>
            <w:pPr>
              <w:rPr>
                <w:rFonts w:ascii="Times New Roman" w:hAnsi="Times New Roman"/>
                <w:sz w:val="24"/>
                <w:szCs w:val="24"/>
              </w:rPr>
            </w:pPr>
            <w:r>
              <w:rPr>
                <w:rFonts w:ascii="Times New Roman" w:hAnsi="Times New Roman"/>
                <w:sz w:val="24"/>
                <w:szCs w:val="24"/>
              </w:rPr>
              <w:t>Light makeup</w:t>
            </w:r>
          </w:p>
        </w:tc>
        <w:tc>
          <w:tcPr>
            <w:tcW w:w="1225" w:type="dxa"/>
            <w:noWrap/>
            <w:vAlign w:val="bottom"/>
          </w:tcPr>
          <w:p>
            <w:pPr>
              <w:rPr>
                <w:rFonts w:ascii="Times New Roman" w:hAnsi="Times New Roman"/>
                <w:sz w:val="24"/>
                <w:szCs w:val="24"/>
              </w:rPr>
            </w:pPr>
          </w:p>
        </w:tc>
        <w:tc>
          <w:tcPr>
            <w:tcW w:w="1693" w:type="dxa"/>
            <w:gridSpan w:val="2"/>
            <w:noWrap/>
            <w:vAlign w:val="bottom"/>
          </w:tcPr>
          <w:p>
            <w:pPr>
              <w:rPr>
                <w:rFonts w:ascii="Times New Roman" w:hAnsi="Times New Roman"/>
                <w:sz w:val="24"/>
                <w:szCs w:val="24"/>
              </w:rPr>
            </w:pPr>
          </w:p>
        </w:tc>
        <w:tc>
          <w:tcPr>
            <w:tcW w:w="1395" w:type="dxa"/>
            <w:noWrap/>
            <w:vAlign w:val="bottom"/>
          </w:tcPr>
          <w:p>
            <w:pPr>
              <w:rPr>
                <w:rFonts w:ascii="Times New Roman" w:hAnsi="Times New Roman"/>
                <w:sz w:val="24"/>
                <w:szCs w:val="24"/>
              </w:rPr>
            </w:pPr>
          </w:p>
        </w:tc>
        <w:tc>
          <w:tcPr>
            <w:tcW w:w="1881" w:type="dxa"/>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09" w:type="dxa"/>
            <w:tcBorders>
              <w:bottom w:val="nil"/>
            </w:tcBorders>
            <w:noWrap/>
            <w:vAlign w:val="bottom"/>
          </w:tcPr>
          <w:p>
            <w:pPr>
              <w:rPr>
                <w:rFonts w:ascii="Times New Roman" w:hAnsi="Times New Roman"/>
                <w:sz w:val="24"/>
                <w:szCs w:val="24"/>
              </w:rPr>
            </w:pPr>
            <w:r>
              <w:rPr>
                <w:rFonts w:ascii="Times New Roman" w:hAnsi="Times New Roman"/>
                <w:sz w:val="24"/>
                <w:szCs w:val="24"/>
              </w:rPr>
              <w:t>No</w:t>
            </w:r>
          </w:p>
        </w:tc>
        <w:tc>
          <w:tcPr>
            <w:tcW w:w="1225" w:type="dxa"/>
            <w:tcBorders>
              <w:bottom w:val="nil"/>
            </w:tcBorders>
            <w:noWrap/>
            <w:vAlign w:val="bottom"/>
          </w:tcPr>
          <w:p>
            <w:pPr>
              <w:rPr>
                <w:rFonts w:ascii="Times New Roman" w:hAnsi="Times New Roman"/>
                <w:sz w:val="24"/>
                <w:szCs w:val="24"/>
              </w:rPr>
            </w:pPr>
          </w:p>
        </w:tc>
        <w:tc>
          <w:tcPr>
            <w:tcW w:w="1693" w:type="dxa"/>
            <w:gridSpan w:val="2"/>
            <w:tcBorders>
              <w:bottom w:val="nil"/>
            </w:tcBorders>
            <w:noWrap/>
            <w:vAlign w:val="bottom"/>
          </w:tcPr>
          <w:p>
            <w:pPr>
              <w:rPr>
                <w:rFonts w:ascii="Times New Roman" w:hAnsi="Times New Roman"/>
                <w:sz w:val="24"/>
                <w:szCs w:val="24"/>
              </w:rPr>
            </w:pPr>
            <w:r>
              <w:rPr>
                <w:rFonts w:ascii="Times New Roman" w:hAnsi="Times New Roman"/>
                <w:sz w:val="24"/>
                <w:szCs w:val="24"/>
              </w:rPr>
              <w:t>Reference</w:t>
            </w:r>
          </w:p>
        </w:tc>
        <w:tc>
          <w:tcPr>
            <w:tcW w:w="1395" w:type="dxa"/>
            <w:tcBorders>
              <w:bottom w:val="nil"/>
            </w:tcBorders>
            <w:noWrap/>
            <w:vAlign w:val="bottom"/>
          </w:tcPr>
          <w:p>
            <w:pPr>
              <w:rPr>
                <w:rFonts w:ascii="Times New Roman" w:hAnsi="Times New Roman"/>
                <w:sz w:val="24"/>
                <w:szCs w:val="24"/>
              </w:rPr>
            </w:pPr>
          </w:p>
        </w:tc>
        <w:tc>
          <w:tcPr>
            <w:tcW w:w="1881" w:type="dxa"/>
            <w:tcBorders>
              <w:bottom w:val="nil"/>
            </w:tcBorders>
            <w:noWrap/>
            <w:vAlign w:val="bottom"/>
          </w:tcPr>
          <w:p>
            <w:pPr>
              <w:rPr>
                <w:rFonts w:ascii="Times New Roman" w:hAnsi="Times New Roman"/>
                <w:sz w:val="24"/>
                <w:szCs w:val="24"/>
              </w:rPr>
            </w:pPr>
          </w:p>
        </w:tc>
      </w:tr>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rPr>
          <w:trHeight w:val="285" w:hRule="atLeast"/>
          <w:jc w:val="center"/>
        </w:trPr>
        <w:tc>
          <w:tcPr>
            <w:tcW w:w="2709" w:type="dxa"/>
            <w:tcBorders>
              <w:top w:val="nil"/>
              <w:bottom w:val="single" w:color="auto" w:sz="6" w:space="0"/>
            </w:tcBorders>
            <w:noWrap/>
            <w:vAlign w:val="bottom"/>
          </w:tcPr>
          <w:p>
            <w:pPr>
              <w:rPr>
                <w:rFonts w:ascii="Times New Roman" w:hAnsi="Times New Roman"/>
                <w:sz w:val="24"/>
                <w:szCs w:val="24"/>
              </w:rPr>
            </w:pPr>
            <w:r>
              <w:rPr>
                <w:rFonts w:ascii="Times New Roman" w:hAnsi="Times New Roman"/>
                <w:sz w:val="24"/>
                <w:szCs w:val="24"/>
              </w:rPr>
              <w:t>Yes</w:t>
            </w:r>
          </w:p>
        </w:tc>
        <w:tc>
          <w:tcPr>
            <w:tcW w:w="1225" w:type="dxa"/>
            <w:tcBorders>
              <w:top w:val="nil"/>
              <w:bottom w:val="single" w:color="auto" w:sz="6" w:space="0"/>
            </w:tcBorders>
            <w:noWrap/>
            <w:vAlign w:val="bottom"/>
          </w:tcPr>
          <w:p>
            <w:pPr>
              <w:rPr>
                <w:rFonts w:ascii="Times New Roman" w:hAnsi="Times New Roman"/>
                <w:sz w:val="24"/>
                <w:szCs w:val="24"/>
              </w:rPr>
            </w:pPr>
            <w:r>
              <w:rPr>
                <w:rFonts w:ascii="Times New Roman" w:hAnsi="Times New Roman"/>
                <w:sz w:val="24"/>
                <w:szCs w:val="24"/>
              </w:rPr>
              <w:t>0.307</w:t>
            </w:r>
          </w:p>
        </w:tc>
        <w:tc>
          <w:tcPr>
            <w:tcW w:w="1693" w:type="dxa"/>
            <w:gridSpan w:val="2"/>
            <w:tcBorders>
              <w:top w:val="nil"/>
              <w:bottom w:val="single" w:color="auto" w:sz="6" w:space="0"/>
            </w:tcBorders>
            <w:noWrap/>
            <w:vAlign w:val="bottom"/>
          </w:tcPr>
          <w:p>
            <w:pPr>
              <w:rPr>
                <w:rFonts w:ascii="Times New Roman" w:hAnsi="Times New Roman"/>
                <w:sz w:val="24"/>
                <w:szCs w:val="24"/>
              </w:rPr>
            </w:pPr>
            <w:r>
              <w:rPr>
                <w:rFonts w:ascii="Times New Roman" w:hAnsi="Times New Roman"/>
                <w:sz w:val="24"/>
                <w:szCs w:val="24"/>
              </w:rPr>
              <w:t>2.80 (0.39-20.10)</w:t>
            </w:r>
          </w:p>
        </w:tc>
        <w:tc>
          <w:tcPr>
            <w:tcW w:w="1395" w:type="dxa"/>
            <w:tcBorders>
              <w:top w:val="nil"/>
              <w:bottom w:val="single" w:color="auto" w:sz="6" w:space="0"/>
            </w:tcBorders>
            <w:noWrap/>
            <w:vAlign w:val="bottom"/>
          </w:tcPr>
          <w:p>
            <w:pPr>
              <w:rPr>
                <w:rFonts w:ascii="Times New Roman" w:hAnsi="Times New Roman"/>
                <w:sz w:val="24"/>
                <w:szCs w:val="24"/>
              </w:rPr>
            </w:pPr>
          </w:p>
        </w:tc>
        <w:tc>
          <w:tcPr>
            <w:tcW w:w="1881" w:type="dxa"/>
            <w:tcBorders>
              <w:top w:val="nil"/>
              <w:bottom w:val="single" w:color="auto" w:sz="6" w:space="0"/>
            </w:tcBorders>
            <w:noWrap/>
            <w:vAlign w:val="bottom"/>
          </w:tcPr>
          <w:p>
            <w:pPr>
              <w:rPr>
                <w:rFonts w:ascii="Times New Roman" w:hAnsi="Times New Roman"/>
                <w:sz w:val="24"/>
                <w:szCs w:val="24"/>
              </w:rPr>
            </w:pPr>
          </w:p>
        </w:tc>
      </w:tr>
    </w:tbl>
    <w:p>
      <w:r>
        <w:rPr>
          <w:rFonts w:ascii="Times New Roman" w:hAnsi="Times New Roman"/>
          <w:sz w:val="24"/>
          <w:szCs w:val="24"/>
          <w:lang w:bidi="ar"/>
        </w:rPr>
        <w:t>* P &lt; 0.05, ** P &lt; 0.01, *** P &lt; 0.</w:t>
      </w:r>
      <w:r>
        <w:rPr>
          <w:rFonts w:hint="eastAsia" w:ascii="Times New Roman" w:hAnsi="Times New Roman"/>
          <w:sz w:val="24"/>
          <w:szCs w:val="24"/>
          <w:lang w:bidi="ar"/>
        </w:rPr>
        <w:t>001</w:t>
      </w:r>
      <w:r>
        <w:rPr>
          <w:rFonts w:ascii="Times New Roman" w:hAnsi="Times New Roman"/>
          <w:sz w:val="24"/>
          <w:szCs w:val="24"/>
        </w:rPr>
        <w:t>. In the 95% confidence interval (CI) for the hazard ratio (HR), 'Inf' indicates that the upper limit of the interval is infinite. This suggests that the effect of the variable is considered highly significant in the statistical analysis.</w:t>
      </w:r>
    </w:p>
    <w:sectPr>
      <w:footerReference r:id="rId3" w:type="default"/>
      <w:pgSz w:w="11906" w:h="16838"/>
      <w:pgMar w:top="1440" w:right="1800" w:bottom="1440" w:left="1800" w:header="851" w:footer="992" w:gutter="0"/>
      <w:lnNumType w:countBy="0"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4"/>
        <w:lang w:val="en-US" w:eastAsia="zh-CN" w:bidi="ar-SA"/>
      </w:rPr>
      <w:id w:val="462540075"/>
    </w:sdtPr>
    <w:sdtEndPr>
      <w:rPr>
        <w:rFonts w:ascii="Calibri" w:hAnsi="Calibri" w:eastAsia="宋体" w:cs="Times New Roman"/>
        <w:kern w:val="2"/>
        <w:sz w:val="21"/>
        <w:szCs w:val="24"/>
        <w:lang w:val="en-US" w:eastAsia="zh-CN" w:bidi="ar-SA"/>
      </w:rPr>
    </w:sdtEndPr>
    <w:sdtContent>
      <w:p>
        <w:pPr>
          <w:pStyle w:val="2"/>
          <w:jc w:val="center"/>
        </w:pPr>
      </w:p>
      <w:p>
        <w:pPr>
          <w:pStyle w:val="2"/>
          <w:jc w:val="center"/>
        </w:pPr>
        <w:r>
          <w:fldChar w:fldCharType="begin"/>
        </w:r>
        <w:r>
          <w:instrText xml:space="preserve">PAGE   \* MERGEFORMAT</w:instrText>
        </w:r>
        <w:r>
          <w:fldChar w:fldCharType="separate"/>
        </w:r>
        <w: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yZmZlM2RiNzNkODYzMmRmMzE4MjFlOTcxMTVjYTIifQ=="/>
  </w:docVars>
  <w:rsids>
    <w:rsidRoot w:val="65134D53"/>
    <w:rsid w:val="32805DAB"/>
    <w:rsid w:val="334212B2"/>
    <w:rsid w:val="366E70D8"/>
    <w:rsid w:val="38821599"/>
    <w:rsid w:val="5AFF16B3"/>
    <w:rsid w:val="65134D53"/>
    <w:rsid w:val="73DB2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3">
    <w:name w:val="Normal (Web)"/>
    <w:qFormat/>
    <w:uiPriority w:val="0"/>
    <w:pPr>
      <w:widowControl w:val="0"/>
      <w:spacing w:beforeAutospacing="1" w:afterAutospacing="1"/>
      <w:jc w:val="left"/>
    </w:pPr>
    <w:rPr>
      <w:rFonts w:ascii="Calibri" w:hAnsi="Calibri" w:eastAsia="宋体" w:cs="Times New Roman"/>
      <w:kern w:val="0"/>
      <w:sz w:val="24"/>
      <w:szCs w:val="24"/>
      <w:lang w:val="en-US" w:eastAsia="zh-CN" w:bidi="ar-SA"/>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uiPriority w:val="0"/>
    <w:rPr>
      <w:color w:val="0000FF"/>
      <w:u w:val="single"/>
    </w:rPr>
  </w:style>
  <w:style w:type="paragraph" w:customStyle="1" w:styleId="8">
    <w:name w:val="书目1"/>
    <w:qFormat/>
    <w:uiPriority w:val="0"/>
    <w:pPr>
      <w:widowControl w:val="0"/>
      <w:tabs>
        <w:tab w:val="left" w:pos="384"/>
      </w:tabs>
      <w:ind w:left="384" w:hanging="384"/>
      <w:jc w:val="both"/>
    </w:pPr>
    <w:rPr>
      <w:rFonts w:ascii="Calibri" w:hAnsi="Calibri" w:eastAsia="宋体" w:cs="Times New Roman"/>
      <w:kern w:val="2"/>
      <w:sz w:val="21"/>
      <w:szCs w:val="24"/>
      <w:lang w:val="en-US" w:eastAsia="zh-CN" w:bidi="ar-SA"/>
    </w:rPr>
  </w:style>
  <w:style w:type="paragraph" w:customStyle="1" w:styleId="9">
    <w:name w:val="Bibliography"/>
    <w:next w:val="1"/>
    <w:semiHidden/>
    <w:unhideWhenUsed/>
    <w:qFormat/>
    <w:uiPriority w:val="37"/>
    <w:pPr>
      <w:widowControl w:val="0"/>
      <w:ind w:left="720" w:hanging="72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2023-12-04T02:21:00Z</dcterms:created>
  <dc:creator>美森</dc:creator>
  <cp:lastModifiedBy>美森</cp:lastModifiedBy>
  <dcterms:modified xsi:type="dcterms:W3CDTF">2023-12-04T03:20:50Z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ZOTERO_PREF_1">
    <vt:lpwstr>1</vt:lpwstr>
  </property>
  <property fmtid="{D5CDD505-2E9C-101B-9397-08002B2CF9AE}" pid="4" name="ZOTERO_PREF_2">
    <vt:lpwstr>1</vt:lpwstr>
  </property>
  <property fmtid="{D5CDD505-2E9C-101B-9397-08002B2CF9AE}" pid="5" name="ICV">
    <vt:lpwstr>A19EDC50CE174A149D6B5D15B2B99C3B_11</vt:lpwstr>
  </property>
</Properties>
</file>